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rPr>
        <w:id w:val="1020360"/>
        <w:docPartObj>
          <w:docPartGallery w:val="Cover Pages"/>
          <w:docPartUnique/>
        </w:docPartObj>
      </w:sdtPr>
      <w:sdtEndPr>
        <w:rPr>
          <w:rFonts w:ascii="Arial" w:eastAsia="Calibri" w:hAnsi="Arial" w:cs="Times New Roman"/>
          <w:caps w:val="0"/>
        </w:rPr>
      </w:sdtEndPr>
      <w:sdtContent>
        <w:tbl>
          <w:tblPr>
            <w:tblW w:w="5000" w:type="pct"/>
            <w:jc w:val="center"/>
            <w:tblLook w:val="04A0" w:firstRow="1" w:lastRow="0" w:firstColumn="1" w:lastColumn="0" w:noHBand="0" w:noVBand="1"/>
          </w:tblPr>
          <w:tblGrid>
            <w:gridCol w:w="10466"/>
          </w:tblGrid>
          <w:tr w:rsidR="005874E7" w14:paraId="3432E5BD" w14:textId="77777777" w:rsidTr="00C90C75">
            <w:trPr>
              <w:trHeight w:val="2880"/>
              <w:jc w:val="center"/>
            </w:trPr>
            <w:tc>
              <w:tcPr>
                <w:tcW w:w="5000" w:type="pct"/>
              </w:tcPr>
              <w:p w14:paraId="4BA88685" w14:textId="77777777" w:rsidR="0017092D" w:rsidRPr="00B661F8" w:rsidRDefault="0017092D" w:rsidP="00B661F8">
                <w:pPr>
                  <w:pStyle w:val="Header"/>
                  <w:rPr>
                    <w:rFonts w:asciiTheme="minorHAnsi" w:hAnsiTheme="minorHAnsi"/>
                    <w:b/>
                    <w:sz w:val="2"/>
                    <w:szCs w:val="2"/>
                  </w:rPr>
                </w:pPr>
              </w:p>
              <w:p w14:paraId="1B3D8764" w14:textId="77777777" w:rsidR="00B661F8" w:rsidRPr="00B22854" w:rsidRDefault="00B661F8" w:rsidP="00B661F8">
                <w:pPr>
                  <w:pStyle w:val="Header"/>
                  <w:jc w:val="center"/>
                  <w:rPr>
                    <w:rFonts w:ascii="Calibri Light" w:hAnsi="Calibri Light"/>
                    <w:b/>
                    <w:bCs/>
                    <w:sz w:val="36"/>
                    <w:szCs w:val="36"/>
                    <w:lang w:val="en-GB"/>
                  </w:rPr>
                </w:pPr>
                <w:r w:rsidRPr="00B22854">
                  <w:rPr>
                    <w:rFonts w:ascii="Calibri Light" w:hAnsi="Calibri Light"/>
                    <w:b/>
                    <w:noProof/>
                    <w:sz w:val="36"/>
                    <w:szCs w:val="36"/>
                    <w:lang w:eastAsia="en-AU"/>
                  </w:rPr>
                  <w:drawing>
                    <wp:inline distT="0" distB="0" distL="0" distR="0" wp14:anchorId="63727A51" wp14:editId="39CB50B0">
                      <wp:extent cx="944989" cy="797592"/>
                      <wp:effectExtent l="19050" t="0" r="7511" b="0"/>
                      <wp:docPr id="9" name="Picture 9"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2" cstate="print"/>
                              <a:srcRect l="6934" t="9615" r="4741"/>
                              <a:stretch>
                                <a:fillRect/>
                              </a:stretch>
                            </pic:blipFill>
                            <pic:spPr bwMode="auto">
                              <a:xfrm>
                                <a:off x="0" y="0"/>
                                <a:ext cx="944989" cy="797592"/>
                              </a:xfrm>
                              <a:prstGeom prst="rect">
                                <a:avLst/>
                              </a:prstGeom>
                              <a:noFill/>
                              <a:ln w="9525">
                                <a:noFill/>
                                <a:miter lim="800000"/>
                                <a:headEnd/>
                                <a:tailEnd/>
                              </a:ln>
                            </pic:spPr>
                          </pic:pic>
                        </a:graphicData>
                      </a:graphic>
                    </wp:inline>
                  </w:drawing>
                </w:r>
              </w:p>
              <w:p w14:paraId="227FD076" w14:textId="77777777" w:rsidR="00B661F8" w:rsidRPr="00B22854" w:rsidRDefault="00B661F8" w:rsidP="00B661F8">
                <w:pPr>
                  <w:pStyle w:val="Header"/>
                  <w:jc w:val="center"/>
                  <w:rPr>
                    <w:rFonts w:ascii="Calibri Light" w:hAnsi="Calibri Light"/>
                    <w:b/>
                    <w:bCs/>
                    <w:sz w:val="20"/>
                    <w:lang w:val="en-GB"/>
                  </w:rPr>
                </w:pPr>
              </w:p>
              <w:p w14:paraId="1C6CFD23" w14:textId="77777777" w:rsidR="00B661F8" w:rsidRPr="00B22854" w:rsidRDefault="00B661F8" w:rsidP="00B661F8">
                <w:pPr>
                  <w:jc w:val="center"/>
                  <w:rPr>
                    <w:rFonts w:asciiTheme="minorHAnsi" w:hAnsiTheme="minorHAnsi"/>
                    <w:b/>
                    <w:sz w:val="32"/>
                    <w:szCs w:val="32"/>
                  </w:rPr>
                </w:pPr>
                <w:r w:rsidRPr="00B22854">
                  <w:rPr>
                    <w:rFonts w:asciiTheme="minorHAnsi" w:hAnsiTheme="minorHAnsi"/>
                    <w:b/>
                    <w:sz w:val="32"/>
                    <w:szCs w:val="32"/>
                  </w:rPr>
                  <w:t>Office of the National Wind Farm Commissioner</w:t>
                </w:r>
              </w:p>
              <w:p w14:paraId="1C37D905" w14:textId="77777777" w:rsidR="005874E7" w:rsidRPr="00B22854" w:rsidRDefault="005874E7" w:rsidP="002350B7">
                <w:pPr>
                  <w:pStyle w:val="Header"/>
                  <w:jc w:val="center"/>
                  <w:rPr>
                    <w:rFonts w:asciiTheme="minorHAnsi" w:hAnsiTheme="minorHAnsi"/>
                    <w:b/>
                    <w:sz w:val="32"/>
                    <w:szCs w:val="32"/>
                  </w:rPr>
                </w:pPr>
              </w:p>
              <w:p w14:paraId="258D5C3A" w14:textId="77777777" w:rsidR="005874E7" w:rsidRDefault="005874E7" w:rsidP="00C90C75">
                <w:pPr>
                  <w:pStyle w:val="NoSpacing"/>
                  <w:jc w:val="center"/>
                  <w:rPr>
                    <w:rFonts w:asciiTheme="majorHAnsi" w:eastAsiaTheme="majorEastAsia" w:hAnsiTheme="majorHAnsi" w:cstheme="majorBidi"/>
                    <w:caps/>
                  </w:rPr>
                </w:pPr>
              </w:p>
              <w:p w14:paraId="3B17D485" w14:textId="79BA15A4" w:rsidR="005874E7" w:rsidRDefault="00DD77A5" w:rsidP="00DD77A5">
                <w:pPr>
                  <w:pStyle w:val="NoSpacing"/>
                  <w:tabs>
                    <w:tab w:val="left" w:pos="3196"/>
                  </w:tabs>
                  <w:rPr>
                    <w:rFonts w:asciiTheme="majorHAnsi" w:eastAsiaTheme="majorEastAsia" w:hAnsiTheme="majorHAnsi" w:cstheme="majorBidi"/>
                    <w:caps/>
                  </w:rPr>
                </w:pPr>
                <w:r>
                  <w:rPr>
                    <w:rFonts w:asciiTheme="majorHAnsi" w:eastAsiaTheme="majorEastAsia" w:hAnsiTheme="majorHAnsi" w:cstheme="majorBidi"/>
                    <w:caps/>
                  </w:rPr>
                  <w:tab/>
                </w:r>
              </w:p>
              <w:p w14:paraId="1C40B5AE" w14:textId="77777777" w:rsidR="005874E7" w:rsidRDefault="005874E7" w:rsidP="00C90C75">
                <w:pPr>
                  <w:pStyle w:val="NoSpacing"/>
                  <w:jc w:val="center"/>
                  <w:rPr>
                    <w:rFonts w:asciiTheme="majorHAnsi" w:eastAsiaTheme="majorEastAsia" w:hAnsiTheme="majorHAnsi" w:cstheme="majorBidi"/>
                    <w:caps/>
                  </w:rPr>
                </w:pPr>
              </w:p>
              <w:p w14:paraId="798692FF" w14:textId="77777777" w:rsidR="005874E7" w:rsidRDefault="005874E7" w:rsidP="00C90C75">
                <w:pPr>
                  <w:pStyle w:val="NoSpacing"/>
                  <w:jc w:val="center"/>
                  <w:rPr>
                    <w:rFonts w:asciiTheme="majorHAnsi" w:eastAsiaTheme="majorEastAsia" w:hAnsiTheme="majorHAnsi" w:cstheme="majorBidi"/>
                    <w:caps/>
                  </w:rPr>
                </w:pPr>
              </w:p>
              <w:p w14:paraId="3AC24915" w14:textId="77777777" w:rsidR="005874E7" w:rsidRDefault="005874E7" w:rsidP="00C90C75">
                <w:pPr>
                  <w:pStyle w:val="NoSpacing"/>
                  <w:jc w:val="center"/>
                  <w:rPr>
                    <w:rFonts w:asciiTheme="majorHAnsi" w:eastAsiaTheme="majorEastAsia" w:hAnsiTheme="majorHAnsi" w:cstheme="majorBidi"/>
                    <w:caps/>
                  </w:rPr>
                </w:pPr>
              </w:p>
              <w:p w14:paraId="4A7A7BA0" w14:textId="77777777" w:rsidR="005874E7" w:rsidRDefault="005874E7" w:rsidP="00C90C75">
                <w:pPr>
                  <w:pStyle w:val="NoSpacing"/>
                  <w:jc w:val="center"/>
                  <w:rPr>
                    <w:rFonts w:asciiTheme="majorHAnsi" w:eastAsiaTheme="majorEastAsia" w:hAnsiTheme="majorHAnsi" w:cstheme="majorBidi"/>
                    <w:caps/>
                  </w:rPr>
                </w:pPr>
              </w:p>
              <w:p w14:paraId="57E59086" w14:textId="77777777" w:rsidR="005874E7" w:rsidRDefault="005874E7" w:rsidP="00C90C75">
                <w:pPr>
                  <w:pStyle w:val="NoSpacing"/>
                  <w:jc w:val="center"/>
                  <w:rPr>
                    <w:rFonts w:asciiTheme="majorHAnsi" w:eastAsiaTheme="majorEastAsia" w:hAnsiTheme="majorHAnsi" w:cstheme="majorBidi"/>
                    <w:caps/>
                  </w:rPr>
                </w:pPr>
              </w:p>
              <w:p w14:paraId="1CE657FF" w14:textId="77777777" w:rsidR="005874E7" w:rsidRDefault="005874E7" w:rsidP="00C90C75">
                <w:pPr>
                  <w:pStyle w:val="NoSpacing"/>
                  <w:jc w:val="center"/>
                  <w:rPr>
                    <w:rFonts w:asciiTheme="majorHAnsi" w:eastAsiaTheme="majorEastAsia" w:hAnsiTheme="majorHAnsi" w:cstheme="majorBidi"/>
                    <w:caps/>
                  </w:rPr>
                </w:pPr>
              </w:p>
              <w:p w14:paraId="4BCA9A04" w14:textId="77777777" w:rsidR="005874E7" w:rsidRDefault="005874E7" w:rsidP="00C90C75">
                <w:pPr>
                  <w:pStyle w:val="NoSpacing"/>
                  <w:jc w:val="center"/>
                  <w:rPr>
                    <w:rFonts w:asciiTheme="majorHAnsi" w:eastAsiaTheme="majorEastAsia" w:hAnsiTheme="majorHAnsi" w:cstheme="majorBidi"/>
                    <w:caps/>
                  </w:rPr>
                </w:pPr>
              </w:p>
              <w:p w14:paraId="36837720" w14:textId="77777777" w:rsidR="005874E7" w:rsidRDefault="005874E7" w:rsidP="00C90C75">
                <w:pPr>
                  <w:pStyle w:val="NoSpacing"/>
                  <w:jc w:val="center"/>
                  <w:rPr>
                    <w:rFonts w:asciiTheme="majorHAnsi" w:eastAsiaTheme="majorEastAsia" w:hAnsiTheme="majorHAnsi" w:cstheme="majorBidi"/>
                    <w:caps/>
                  </w:rPr>
                </w:pPr>
              </w:p>
              <w:p w14:paraId="6C7DE123" w14:textId="77777777" w:rsidR="005874E7" w:rsidRDefault="005874E7" w:rsidP="00C90C75">
                <w:pPr>
                  <w:pStyle w:val="NoSpacing"/>
                  <w:jc w:val="center"/>
                  <w:rPr>
                    <w:rFonts w:asciiTheme="majorHAnsi" w:eastAsiaTheme="majorEastAsia" w:hAnsiTheme="majorHAnsi" w:cstheme="majorBidi"/>
                    <w:caps/>
                  </w:rPr>
                </w:pPr>
              </w:p>
            </w:tc>
          </w:tr>
          <w:tr w:rsidR="005874E7" w14:paraId="7FC6479E" w14:textId="77777777" w:rsidTr="00C90C75">
            <w:trPr>
              <w:trHeight w:val="1440"/>
              <w:jc w:val="center"/>
            </w:trPr>
            <w:tc>
              <w:tcPr>
                <w:tcW w:w="5000" w:type="pct"/>
                <w:tcBorders>
                  <w:bottom w:val="single" w:sz="12" w:space="0" w:color="943634" w:themeColor="accent2" w:themeShade="BF"/>
                </w:tcBorders>
                <w:vAlign w:val="center"/>
              </w:tcPr>
              <w:p w14:paraId="1FA45E67" w14:textId="77777777" w:rsidR="005874E7" w:rsidRDefault="00425A42" w:rsidP="00A77154">
                <w:pPr>
                  <w:pStyle w:val="NoSpacing"/>
                  <w:jc w:val="center"/>
                  <w:rPr>
                    <w:rFonts w:asciiTheme="majorHAnsi" w:eastAsiaTheme="majorEastAsia" w:hAnsiTheme="majorHAnsi" w:cstheme="majorBidi"/>
                    <w:sz w:val="80"/>
                    <w:szCs w:val="80"/>
                  </w:rPr>
                </w:pPr>
                <w:r w:rsidRPr="007E4E70">
                  <w:rPr>
                    <w:rFonts w:asciiTheme="majorHAnsi" w:eastAsiaTheme="majorEastAsia" w:hAnsiTheme="majorHAnsi" w:cstheme="majorBidi"/>
                    <w:sz w:val="80"/>
                    <w:szCs w:val="80"/>
                  </w:rPr>
                  <w:t>Annual Report</w:t>
                </w:r>
              </w:p>
            </w:tc>
          </w:tr>
          <w:tr w:rsidR="005874E7" w14:paraId="1582D19C" w14:textId="77777777" w:rsidTr="00C90C75">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12" w:space="0" w:color="943634" w:themeColor="accent2" w:themeShade="BF"/>
                    </w:tcBorders>
                    <w:vAlign w:val="center"/>
                  </w:tcPr>
                  <w:p w14:paraId="74B66D0F" w14:textId="77777777" w:rsidR="005874E7" w:rsidRDefault="00425A42" w:rsidP="00C90C75">
                    <w:pPr>
                      <w:pStyle w:val="NoSpacing"/>
                      <w:jc w:val="center"/>
                      <w:rPr>
                        <w:rFonts w:asciiTheme="majorHAnsi" w:eastAsiaTheme="majorEastAsia" w:hAnsiTheme="majorHAnsi" w:cstheme="majorBidi"/>
                        <w:sz w:val="44"/>
                        <w:szCs w:val="44"/>
                      </w:rPr>
                    </w:pPr>
                    <w:r w:rsidRPr="008C4F7C">
                      <w:rPr>
                        <w:rFonts w:asciiTheme="majorHAnsi" w:eastAsiaTheme="majorEastAsia" w:hAnsiTheme="majorHAnsi" w:cstheme="majorBidi"/>
                        <w:sz w:val="44"/>
                        <w:szCs w:val="44"/>
                      </w:rPr>
                      <w:t>to the Parliament of Australia</w:t>
                    </w:r>
                  </w:p>
                </w:tc>
              </w:sdtContent>
            </w:sdt>
          </w:tr>
          <w:tr w:rsidR="005874E7" w14:paraId="2E6D8324" w14:textId="77777777" w:rsidTr="00C90C75">
            <w:trPr>
              <w:trHeight w:val="360"/>
              <w:jc w:val="center"/>
            </w:trPr>
            <w:tc>
              <w:tcPr>
                <w:tcW w:w="5000" w:type="pct"/>
                <w:vAlign w:val="center"/>
              </w:tcPr>
              <w:p w14:paraId="56B01C92" w14:textId="77777777" w:rsidR="00425A42" w:rsidRDefault="00425A42" w:rsidP="00C90C75">
                <w:pPr>
                  <w:spacing w:after="0" w:line="240" w:lineRule="auto"/>
                  <w:jc w:val="center"/>
                  <w:rPr>
                    <w:rFonts w:asciiTheme="minorHAnsi" w:hAnsiTheme="minorHAnsi"/>
                    <w:b/>
                    <w:sz w:val="24"/>
                    <w:szCs w:val="24"/>
                  </w:rPr>
                </w:pPr>
              </w:p>
              <w:p w14:paraId="3D44F125" w14:textId="77777777" w:rsidR="00425A42" w:rsidRDefault="00425A42" w:rsidP="00C90C75">
                <w:pPr>
                  <w:spacing w:after="0" w:line="240" w:lineRule="auto"/>
                  <w:jc w:val="center"/>
                  <w:rPr>
                    <w:rFonts w:asciiTheme="minorHAnsi" w:hAnsiTheme="minorHAnsi"/>
                    <w:b/>
                    <w:sz w:val="24"/>
                    <w:szCs w:val="24"/>
                  </w:rPr>
                </w:pPr>
              </w:p>
              <w:p w14:paraId="18E3E5B2" w14:textId="77777777" w:rsidR="00425A42" w:rsidRDefault="00425A42" w:rsidP="00C90C75">
                <w:pPr>
                  <w:spacing w:after="0" w:line="240" w:lineRule="auto"/>
                  <w:jc w:val="center"/>
                  <w:rPr>
                    <w:rFonts w:asciiTheme="minorHAnsi" w:hAnsiTheme="minorHAnsi"/>
                    <w:b/>
                    <w:sz w:val="24"/>
                    <w:szCs w:val="24"/>
                  </w:rPr>
                </w:pPr>
              </w:p>
              <w:p w14:paraId="79EF9B8D" w14:textId="77777777" w:rsidR="00425A42" w:rsidRDefault="00425A42" w:rsidP="00C90C75">
                <w:pPr>
                  <w:spacing w:after="0" w:line="240" w:lineRule="auto"/>
                  <w:jc w:val="center"/>
                  <w:rPr>
                    <w:rFonts w:asciiTheme="minorHAnsi" w:hAnsiTheme="minorHAnsi"/>
                    <w:b/>
                    <w:sz w:val="24"/>
                    <w:szCs w:val="24"/>
                  </w:rPr>
                </w:pPr>
              </w:p>
              <w:p w14:paraId="782F71C5" w14:textId="77777777" w:rsidR="00425A42" w:rsidRDefault="00425A42" w:rsidP="00C90C75">
                <w:pPr>
                  <w:spacing w:after="0" w:line="240" w:lineRule="auto"/>
                  <w:jc w:val="center"/>
                  <w:rPr>
                    <w:rFonts w:asciiTheme="minorHAnsi" w:hAnsiTheme="minorHAnsi"/>
                    <w:b/>
                    <w:sz w:val="24"/>
                    <w:szCs w:val="24"/>
                  </w:rPr>
                </w:pPr>
                <w:r>
                  <w:rPr>
                    <w:rFonts w:asciiTheme="minorHAnsi" w:hAnsiTheme="minorHAnsi"/>
                    <w:b/>
                    <w:sz w:val="24"/>
                    <w:szCs w:val="24"/>
                  </w:rPr>
                  <w:t>ANNUAL REPORT</w:t>
                </w:r>
              </w:p>
              <w:p w14:paraId="4F2C9504" w14:textId="77777777" w:rsidR="005874E7" w:rsidRPr="00B22854" w:rsidRDefault="005874E7" w:rsidP="00C90C75">
                <w:pPr>
                  <w:spacing w:after="0" w:line="240" w:lineRule="auto"/>
                  <w:jc w:val="center"/>
                  <w:rPr>
                    <w:rFonts w:asciiTheme="minorHAnsi" w:hAnsiTheme="minorHAnsi"/>
                    <w:b/>
                    <w:sz w:val="24"/>
                    <w:szCs w:val="24"/>
                  </w:rPr>
                </w:pPr>
                <w:r>
                  <w:rPr>
                    <w:rFonts w:asciiTheme="minorHAnsi" w:hAnsiTheme="minorHAnsi"/>
                    <w:b/>
                    <w:sz w:val="24"/>
                    <w:szCs w:val="24"/>
                  </w:rPr>
                  <w:t>Year Ending:</w:t>
                </w:r>
                <w:r w:rsidR="006F22E0">
                  <w:rPr>
                    <w:rFonts w:asciiTheme="minorHAnsi" w:hAnsiTheme="minorHAnsi"/>
                    <w:b/>
                    <w:sz w:val="24"/>
                    <w:szCs w:val="24"/>
                  </w:rPr>
                  <w:t xml:space="preserve"> </w:t>
                </w:r>
                <w:r>
                  <w:rPr>
                    <w:rFonts w:asciiTheme="minorHAnsi" w:hAnsiTheme="minorHAnsi"/>
                    <w:b/>
                    <w:sz w:val="24"/>
                    <w:szCs w:val="24"/>
                  </w:rPr>
                  <w:t xml:space="preserve">31 December </w:t>
                </w:r>
                <w:r w:rsidRPr="00B22854">
                  <w:rPr>
                    <w:rFonts w:asciiTheme="minorHAnsi" w:hAnsiTheme="minorHAnsi"/>
                    <w:b/>
                    <w:sz w:val="24"/>
                    <w:szCs w:val="24"/>
                  </w:rPr>
                  <w:t>20</w:t>
                </w:r>
                <w:r w:rsidR="00557E79">
                  <w:rPr>
                    <w:rFonts w:asciiTheme="minorHAnsi" w:hAnsiTheme="minorHAnsi"/>
                    <w:b/>
                    <w:sz w:val="24"/>
                    <w:szCs w:val="24"/>
                  </w:rPr>
                  <w:t>20</w:t>
                </w:r>
              </w:p>
              <w:p w14:paraId="7C5D9D6E" w14:textId="77777777" w:rsidR="005874E7" w:rsidRDefault="005874E7" w:rsidP="00D1422A">
                <w:pPr>
                  <w:spacing w:after="0" w:line="240" w:lineRule="auto"/>
                  <w:jc w:val="center"/>
                  <w:rPr>
                    <w:b/>
                    <w:bCs/>
                  </w:rPr>
                </w:pPr>
              </w:p>
            </w:tc>
          </w:tr>
        </w:tbl>
        <w:p w14:paraId="3A4CD16C" w14:textId="77777777" w:rsidR="005874E7" w:rsidRDefault="005874E7" w:rsidP="005874E7"/>
        <w:p w14:paraId="300AF1CE" w14:textId="77777777" w:rsidR="005874E7" w:rsidRDefault="005874E7" w:rsidP="005874E7"/>
        <w:p w14:paraId="2EEB2FF2" w14:textId="77777777" w:rsidR="00EF4A08" w:rsidRDefault="00F72FA4" w:rsidP="005874E7">
          <w:pPr>
            <w:spacing w:after="0" w:line="240" w:lineRule="auto"/>
          </w:pPr>
        </w:p>
      </w:sdtContent>
    </w:sdt>
    <w:p w14:paraId="746857BB" w14:textId="0958A66B" w:rsidR="003E23E9" w:rsidRDefault="003E23E9"/>
    <w:p w14:paraId="2AA72D57" w14:textId="77777777" w:rsidR="003E23E9" w:rsidRPr="003E23E9" w:rsidRDefault="003E23E9" w:rsidP="003E23E9"/>
    <w:p w14:paraId="45F80701" w14:textId="77777777" w:rsidR="003E23E9" w:rsidRPr="003E23E9" w:rsidRDefault="003E23E9" w:rsidP="003E23E9"/>
    <w:p w14:paraId="20043A9A" w14:textId="77777777" w:rsidR="003E23E9" w:rsidRPr="003E23E9" w:rsidRDefault="003E23E9" w:rsidP="003E23E9"/>
    <w:p w14:paraId="533662F3" w14:textId="77777777" w:rsidR="003E23E9" w:rsidRPr="003E23E9" w:rsidRDefault="003E23E9" w:rsidP="003E23E9"/>
    <w:p w14:paraId="69ED4A99" w14:textId="77777777" w:rsidR="003E23E9" w:rsidRPr="003E23E9" w:rsidRDefault="003E23E9" w:rsidP="003E23E9"/>
    <w:p w14:paraId="28F519B5" w14:textId="04227AF9" w:rsidR="003E23E9" w:rsidRDefault="003E23E9" w:rsidP="003E23E9">
      <w:pPr>
        <w:tabs>
          <w:tab w:val="left" w:pos="6083"/>
        </w:tabs>
      </w:pPr>
      <w:r>
        <w:tab/>
      </w:r>
    </w:p>
    <w:p w14:paraId="5A438720" w14:textId="6BA3C0A5" w:rsidR="003E23E9" w:rsidRPr="003E23E9" w:rsidRDefault="003E23E9" w:rsidP="003E23E9">
      <w:pPr>
        <w:tabs>
          <w:tab w:val="left" w:pos="6083"/>
        </w:tabs>
        <w:sectPr w:rsidR="003E23E9" w:rsidRPr="003E23E9" w:rsidSect="00C90C75">
          <w:footerReference w:type="even" r:id="rId13"/>
          <w:headerReference w:type="first" r:id="rId14"/>
          <w:footerReference w:type="first" r:id="rId15"/>
          <w:pgSz w:w="11906" w:h="16838"/>
          <w:pgMar w:top="720" w:right="720" w:bottom="720" w:left="720" w:header="454" w:footer="425" w:gutter="0"/>
          <w:cols w:space="708"/>
          <w:titlePg/>
          <w:docGrid w:linePitch="360"/>
        </w:sectPr>
      </w:pPr>
      <w:r>
        <w:tab/>
      </w:r>
    </w:p>
    <w:p w14:paraId="504E066A" w14:textId="4E823642" w:rsidR="00EF4A08" w:rsidRDefault="00EF4A08"/>
    <w:p w14:paraId="5914B74C" w14:textId="2E18C419" w:rsidR="005874E7" w:rsidRPr="00CE58AE" w:rsidRDefault="00C65B0A" w:rsidP="005874E7">
      <w:pPr>
        <w:spacing w:after="120" w:line="240" w:lineRule="auto"/>
        <w:rPr>
          <w:rFonts w:cs="Arial"/>
        </w:rPr>
      </w:pPr>
      <w:r w:rsidRPr="00C65B0A">
        <w:rPr>
          <w:rFonts w:cs="Arial"/>
        </w:rPr>
        <w:t>30 April</w:t>
      </w:r>
      <w:r w:rsidR="005874E7" w:rsidRPr="00C65B0A">
        <w:rPr>
          <w:rFonts w:cs="Arial"/>
        </w:rPr>
        <w:t xml:space="preserve"> 20</w:t>
      </w:r>
      <w:r w:rsidR="00F9398A" w:rsidRPr="00C65B0A">
        <w:rPr>
          <w:rFonts w:cs="Arial"/>
        </w:rPr>
        <w:t>2</w:t>
      </w:r>
      <w:r w:rsidR="00557E79" w:rsidRPr="00C65B0A">
        <w:rPr>
          <w:rFonts w:cs="Arial"/>
        </w:rPr>
        <w:t>1</w:t>
      </w:r>
    </w:p>
    <w:p w14:paraId="0AC8B95A" w14:textId="77777777" w:rsidR="005874E7" w:rsidRPr="00CE58AE" w:rsidRDefault="005874E7" w:rsidP="005874E7">
      <w:pPr>
        <w:spacing w:after="120" w:line="240" w:lineRule="auto"/>
        <w:rPr>
          <w:rFonts w:cs="Arial"/>
        </w:rPr>
      </w:pPr>
    </w:p>
    <w:p w14:paraId="517B63E6" w14:textId="77777777" w:rsidR="005874E7" w:rsidRPr="00CE58AE" w:rsidRDefault="005874E7" w:rsidP="005874E7">
      <w:pPr>
        <w:spacing w:after="0" w:line="264" w:lineRule="auto"/>
        <w:rPr>
          <w:rFonts w:cs="Arial"/>
        </w:rPr>
      </w:pPr>
      <w:r w:rsidRPr="00CE58AE">
        <w:rPr>
          <w:rFonts w:cs="Arial"/>
        </w:rPr>
        <w:t xml:space="preserve">The Hon </w:t>
      </w:r>
      <w:r w:rsidR="00A77A86">
        <w:rPr>
          <w:rFonts w:cs="Arial"/>
        </w:rPr>
        <w:t xml:space="preserve">Angus Taylor </w:t>
      </w:r>
      <w:r w:rsidRPr="00CE58AE">
        <w:rPr>
          <w:rFonts w:cs="Arial"/>
        </w:rPr>
        <w:t xml:space="preserve">MP </w:t>
      </w:r>
    </w:p>
    <w:p w14:paraId="05B43CDC" w14:textId="77777777" w:rsidR="005874E7" w:rsidRPr="00CE58AE" w:rsidRDefault="005874E7" w:rsidP="005874E7">
      <w:pPr>
        <w:spacing w:after="0" w:line="264" w:lineRule="auto"/>
        <w:rPr>
          <w:rFonts w:cs="Arial"/>
        </w:rPr>
      </w:pPr>
      <w:r w:rsidRPr="00CE58AE">
        <w:rPr>
          <w:rFonts w:cs="Arial"/>
        </w:rPr>
        <w:t xml:space="preserve">Minister for Energy </w:t>
      </w:r>
      <w:r w:rsidR="00F9398A">
        <w:rPr>
          <w:rFonts w:cs="Arial"/>
        </w:rPr>
        <w:t>and Emissions Reduction</w:t>
      </w:r>
    </w:p>
    <w:p w14:paraId="6E8F7047" w14:textId="77777777" w:rsidR="005874E7" w:rsidRPr="00CE58AE" w:rsidRDefault="005874E7" w:rsidP="005874E7">
      <w:pPr>
        <w:spacing w:after="0" w:line="264" w:lineRule="auto"/>
        <w:rPr>
          <w:rFonts w:cs="Arial"/>
        </w:rPr>
      </w:pPr>
      <w:r w:rsidRPr="00CE58AE">
        <w:rPr>
          <w:rFonts w:cs="Arial"/>
        </w:rPr>
        <w:t xml:space="preserve">Parliament House </w:t>
      </w:r>
    </w:p>
    <w:p w14:paraId="0FD34204" w14:textId="77777777" w:rsidR="005874E7" w:rsidRPr="00CE58AE" w:rsidRDefault="005874E7" w:rsidP="005874E7">
      <w:pPr>
        <w:spacing w:after="0" w:line="264" w:lineRule="auto"/>
        <w:rPr>
          <w:rFonts w:cs="Arial"/>
        </w:rPr>
      </w:pPr>
      <w:r w:rsidRPr="00CE58AE">
        <w:rPr>
          <w:rFonts w:cs="Arial"/>
        </w:rPr>
        <w:t>CANBERRA</w:t>
      </w:r>
      <w:r w:rsidR="006F22E0">
        <w:rPr>
          <w:rFonts w:cs="Arial"/>
        </w:rPr>
        <w:t xml:space="preserve"> </w:t>
      </w:r>
      <w:r w:rsidRPr="00CE58AE">
        <w:rPr>
          <w:rFonts w:cs="Arial"/>
        </w:rPr>
        <w:t>ACT</w:t>
      </w:r>
      <w:r w:rsidR="006F22E0">
        <w:rPr>
          <w:rFonts w:cs="Arial"/>
        </w:rPr>
        <w:t xml:space="preserve"> </w:t>
      </w:r>
      <w:r w:rsidRPr="00CE58AE">
        <w:rPr>
          <w:rFonts w:cs="Arial"/>
        </w:rPr>
        <w:t>2600</w:t>
      </w:r>
    </w:p>
    <w:p w14:paraId="36984E6C" w14:textId="77777777" w:rsidR="005874E7" w:rsidRPr="00CE58AE" w:rsidRDefault="005874E7" w:rsidP="005874E7">
      <w:pPr>
        <w:spacing w:after="120" w:line="240" w:lineRule="auto"/>
        <w:rPr>
          <w:rFonts w:cs="Arial"/>
        </w:rPr>
      </w:pPr>
    </w:p>
    <w:p w14:paraId="0C055D34" w14:textId="77777777" w:rsidR="005874E7" w:rsidRPr="00CE58AE" w:rsidRDefault="005874E7" w:rsidP="005874E7">
      <w:pPr>
        <w:tabs>
          <w:tab w:val="left" w:pos="4410"/>
        </w:tabs>
        <w:spacing w:after="120" w:line="240" w:lineRule="auto"/>
        <w:rPr>
          <w:rFonts w:cs="Arial"/>
        </w:rPr>
      </w:pPr>
      <w:r w:rsidRPr="00CE58AE">
        <w:rPr>
          <w:rFonts w:cs="Arial"/>
        </w:rPr>
        <w:tab/>
      </w:r>
    </w:p>
    <w:p w14:paraId="44D550CF" w14:textId="77777777" w:rsidR="005874E7" w:rsidRPr="00CE58AE" w:rsidRDefault="005874E7" w:rsidP="00C20262">
      <w:pPr>
        <w:spacing w:after="120" w:line="240" w:lineRule="auto"/>
        <w:rPr>
          <w:rFonts w:cs="Arial"/>
        </w:rPr>
      </w:pPr>
      <w:r w:rsidRPr="00CE58AE">
        <w:rPr>
          <w:rFonts w:cs="Arial"/>
        </w:rPr>
        <w:t>Dear Minister</w:t>
      </w:r>
      <w:r w:rsidRPr="00CE58AE">
        <w:rPr>
          <w:rFonts w:cs="Arial"/>
        </w:rPr>
        <w:br/>
      </w:r>
    </w:p>
    <w:p w14:paraId="4689E286" w14:textId="45DB045C" w:rsidR="005874E7" w:rsidRPr="00CE58AE" w:rsidRDefault="00387948" w:rsidP="00387948">
      <w:pPr>
        <w:spacing w:line="240" w:lineRule="auto"/>
        <w:rPr>
          <w:rFonts w:cs="Arial"/>
          <w:b/>
        </w:rPr>
      </w:pPr>
      <w:r>
        <w:rPr>
          <w:rFonts w:cs="Arial"/>
          <w:b/>
        </w:rPr>
        <w:t xml:space="preserve">Re: </w:t>
      </w:r>
      <w:r w:rsidR="00FD3664" w:rsidRPr="00CE58AE">
        <w:rPr>
          <w:rFonts w:cs="Arial"/>
          <w:b/>
        </w:rPr>
        <w:t>20</w:t>
      </w:r>
      <w:r w:rsidR="00557E79">
        <w:rPr>
          <w:rFonts w:cs="Arial"/>
          <w:b/>
        </w:rPr>
        <w:t>20</w:t>
      </w:r>
      <w:r w:rsidR="00FD3664" w:rsidRPr="00CE58AE">
        <w:rPr>
          <w:rFonts w:cs="Arial"/>
          <w:b/>
        </w:rPr>
        <w:t xml:space="preserve"> </w:t>
      </w:r>
      <w:r w:rsidR="005874E7" w:rsidRPr="00CE58AE">
        <w:rPr>
          <w:rFonts w:cs="Arial"/>
          <w:b/>
        </w:rPr>
        <w:t xml:space="preserve">Annual Report </w:t>
      </w:r>
      <w:r w:rsidR="009D67B5">
        <w:rPr>
          <w:rFonts w:cs="Arial"/>
          <w:b/>
        </w:rPr>
        <w:t>of</w:t>
      </w:r>
      <w:r w:rsidR="005874E7" w:rsidRPr="00CE58AE">
        <w:rPr>
          <w:rFonts w:cs="Arial"/>
          <w:b/>
        </w:rPr>
        <w:t xml:space="preserve"> the Office of the National Wind Farm Commissioner </w:t>
      </w:r>
    </w:p>
    <w:p w14:paraId="32C419E7" w14:textId="77777777" w:rsidR="005874E7" w:rsidRPr="00CE58AE" w:rsidRDefault="005874E7" w:rsidP="00C20262">
      <w:pPr>
        <w:spacing w:line="264" w:lineRule="auto"/>
        <w:rPr>
          <w:rFonts w:cs="Arial"/>
        </w:rPr>
      </w:pPr>
      <w:r w:rsidRPr="00CE58AE">
        <w:rPr>
          <w:rFonts w:cs="Arial"/>
        </w:rPr>
        <w:t>Pursuant to the National Wind Farm Commissioner’s Terms of Referen</w:t>
      </w:r>
      <w:r w:rsidR="00C20262">
        <w:rPr>
          <w:rFonts w:cs="Arial"/>
        </w:rPr>
        <w:t xml:space="preserve">ce, I am pleased to provide </w:t>
      </w:r>
      <w:r w:rsidR="009A2D4F">
        <w:rPr>
          <w:rFonts w:cs="Arial"/>
        </w:rPr>
        <w:t>the </w:t>
      </w:r>
      <w:r w:rsidR="00FD3664">
        <w:rPr>
          <w:rFonts w:cs="Arial"/>
        </w:rPr>
        <w:t>20</w:t>
      </w:r>
      <w:r w:rsidR="00557E79">
        <w:rPr>
          <w:rFonts w:cs="Arial"/>
        </w:rPr>
        <w:t>20</w:t>
      </w:r>
      <w:r w:rsidR="00FD3664">
        <w:rPr>
          <w:rFonts w:cs="Arial"/>
        </w:rPr>
        <w:t xml:space="preserve"> </w:t>
      </w:r>
      <w:r w:rsidRPr="00CE58AE">
        <w:rPr>
          <w:rFonts w:cs="Arial"/>
        </w:rPr>
        <w:t>Annual Report to the Australian Parliament on the activities of the Office of the N</w:t>
      </w:r>
      <w:r w:rsidR="001054B4">
        <w:rPr>
          <w:rFonts w:cs="Arial"/>
        </w:rPr>
        <w:t>ational Wind Farm Commissioner.</w:t>
      </w:r>
    </w:p>
    <w:p w14:paraId="116604AC" w14:textId="77777777" w:rsidR="00783E91" w:rsidRDefault="005874E7" w:rsidP="00C20262">
      <w:pPr>
        <w:spacing w:line="264" w:lineRule="auto"/>
        <w:rPr>
          <w:rFonts w:cs="Arial"/>
        </w:rPr>
      </w:pPr>
      <w:r w:rsidRPr="00CE58AE">
        <w:rPr>
          <w:rFonts w:cs="Arial"/>
        </w:rPr>
        <w:t>Th</w:t>
      </w:r>
      <w:r w:rsidR="00F512CB">
        <w:rPr>
          <w:rFonts w:cs="Arial"/>
        </w:rPr>
        <w:t>is</w:t>
      </w:r>
      <w:r w:rsidRPr="00CE58AE">
        <w:rPr>
          <w:rFonts w:cs="Arial"/>
        </w:rPr>
        <w:t xml:space="preserve"> </w:t>
      </w:r>
      <w:r w:rsidR="00411F50">
        <w:rPr>
          <w:rFonts w:cs="Arial"/>
        </w:rPr>
        <w:t>r</w:t>
      </w:r>
      <w:r w:rsidRPr="00CE58AE">
        <w:rPr>
          <w:rFonts w:cs="Arial"/>
        </w:rPr>
        <w:t xml:space="preserve">eport covers </w:t>
      </w:r>
      <w:r w:rsidR="00C20262">
        <w:rPr>
          <w:rFonts w:cs="Arial"/>
        </w:rPr>
        <w:t xml:space="preserve">the Office’s </w:t>
      </w:r>
      <w:r w:rsidRPr="00CE58AE">
        <w:rPr>
          <w:rFonts w:cs="Arial"/>
        </w:rPr>
        <w:t xml:space="preserve">activities </w:t>
      </w:r>
      <w:r w:rsidR="00C20262">
        <w:rPr>
          <w:rFonts w:cs="Arial"/>
        </w:rPr>
        <w:t xml:space="preserve">for the </w:t>
      </w:r>
      <w:r w:rsidR="00C20262" w:rsidRPr="00F47E6D">
        <w:rPr>
          <w:rFonts w:cs="Arial"/>
        </w:rPr>
        <w:t xml:space="preserve">period of </w:t>
      </w:r>
      <w:r w:rsidR="00C20262">
        <w:rPr>
          <w:rFonts w:cs="Arial"/>
        </w:rPr>
        <w:t xml:space="preserve">1 January </w:t>
      </w:r>
      <w:r w:rsidR="00FD3664">
        <w:rPr>
          <w:rFonts w:cs="Arial"/>
        </w:rPr>
        <w:t>20</w:t>
      </w:r>
      <w:r w:rsidR="00557E79">
        <w:rPr>
          <w:rFonts w:cs="Arial"/>
        </w:rPr>
        <w:t>20</w:t>
      </w:r>
      <w:r w:rsidR="00FD3664">
        <w:rPr>
          <w:rFonts w:cs="Arial"/>
        </w:rPr>
        <w:t xml:space="preserve"> </w:t>
      </w:r>
      <w:r w:rsidR="00C20262">
        <w:rPr>
          <w:rFonts w:cs="Arial"/>
        </w:rPr>
        <w:t xml:space="preserve">through </w:t>
      </w:r>
      <w:r w:rsidR="00C20262" w:rsidRPr="00F47E6D">
        <w:rPr>
          <w:rFonts w:cs="Arial"/>
        </w:rPr>
        <w:t xml:space="preserve">to </w:t>
      </w:r>
      <w:r w:rsidR="00C20262">
        <w:rPr>
          <w:rFonts w:cs="Arial"/>
        </w:rPr>
        <w:t xml:space="preserve">31 December </w:t>
      </w:r>
      <w:r w:rsidR="00FD3664">
        <w:rPr>
          <w:rFonts w:cs="Arial"/>
        </w:rPr>
        <w:t>20</w:t>
      </w:r>
      <w:r w:rsidR="00557E79">
        <w:rPr>
          <w:rFonts w:cs="Arial"/>
        </w:rPr>
        <w:t>20</w:t>
      </w:r>
      <w:r w:rsidRPr="00CE58AE">
        <w:rPr>
          <w:rFonts w:cs="Arial"/>
        </w:rPr>
        <w:t xml:space="preserve">. </w:t>
      </w:r>
      <w:r w:rsidR="00F512CB">
        <w:rPr>
          <w:rFonts w:cs="Arial"/>
        </w:rPr>
        <w:t xml:space="preserve">We again </w:t>
      </w:r>
      <w:r w:rsidRPr="00CE58AE">
        <w:rPr>
          <w:rFonts w:cs="Arial"/>
        </w:rPr>
        <w:t xml:space="preserve">include a number of observations about the governance, development and operation of wind </w:t>
      </w:r>
      <w:r w:rsidR="00F512CB">
        <w:rPr>
          <w:rFonts w:cs="Arial"/>
        </w:rPr>
        <w:t xml:space="preserve">and solar </w:t>
      </w:r>
      <w:r w:rsidRPr="00CE58AE">
        <w:rPr>
          <w:rFonts w:cs="Arial"/>
        </w:rPr>
        <w:t xml:space="preserve">farm projects along with </w:t>
      </w:r>
      <w:r w:rsidR="00F512CB">
        <w:rPr>
          <w:rFonts w:cs="Arial"/>
        </w:rPr>
        <w:t>r</w:t>
      </w:r>
      <w:r w:rsidRPr="00CE58AE">
        <w:rPr>
          <w:rFonts w:cs="Arial"/>
        </w:rPr>
        <w:t>ecommendations for consideration.</w:t>
      </w:r>
    </w:p>
    <w:p w14:paraId="282289FD" w14:textId="23335F05" w:rsidR="005874E7" w:rsidRPr="00CE58AE" w:rsidRDefault="00783E91" w:rsidP="00C20262">
      <w:pPr>
        <w:spacing w:line="264" w:lineRule="auto"/>
        <w:rPr>
          <w:rFonts w:cs="Arial"/>
        </w:rPr>
      </w:pPr>
      <w:r>
        <w:rPr>
          <w:rFonts w:cs="Arial"/>
        </w:rPr>
        <w:t>This is the final report issued as the National Wind Farm Commissioner</w:t>
      </w:r>
      <w:r w:rsidR="005874E7" w:rsidRPr="00CE58AE">
        <w:rPr>
          <w:rFonts w:cs="Arial"/>
        </w:rPr>
        <w:t xml:space="preserve"> </w:t>
      </w:r>
      <w:r>
        <w:rPr>
          <w:rFonts w:cs="Arial"/>
        </w:rPr>
        <w:t>as the role title is now known as the Australian Energy Infrastructure Commissioner.</w:t>
      </w:r>
    </w:p>
    <w:p w14:paraId="501464EF" w14:textId="77777777" w:rsidR="005874E7" w:rsidRPr="00CE58AE" w:rsidRDefault="005874E7" w:rsidP="00C20262">
      <w:pPr>
        <w:spacing w:line="264" w:lineRule="auto"/>
        <w:rPr>
          <w:rFonts w:cs="Arial"/>
        </w:rPr>
      </w:pPr>
      <w:r w:rsidRPr="00CE58AE">
        <w:rPr>
          <w:rFonts w:cs="Arial"/>
        </w:rPr>
        <w:t xml:space="preserve">I look forward to discussing the </w:t>
      </w:r>
      <w:r w:rsidR="00411F50">
        <w:rPr>
          <w:rFonts w:cs="Arial"/>
        </w:rPr>
        <w:t>r</w:t>
      </w:r>
      <w:r w:rsidRPr="00CE58AE">
        <w:rPr>
          <w:rFonts w:cs="Arial"/>
        </w:rPr>
        <w:t>eport with stakeholders in due course.</w:t>
      </w:r>
    </w:p>
    <w:p w14:paraId="3970FD3E" w14:textId="77777777" w:rsidR="005874E7" w:rsidRPr="00CE58AE" w:rsidRDefault="005874E7" w:rsidP="005874E7">
      <w:pPr>
        <w:spacing w:after="120" w:line="240" w:lineRule="auto"/>
        <w:rPr>
          <w:rFonts w:cs="Arial"/>
        </w:rPr>
      </w:pPr>
      <w:r w:rsidRPr="00CE58AE">
        <w:rPr>
          <w:rFonts w:cs="Arial"/>
        </w:rPr>
        <w:t>Sincerely</w:t>
      </w:r>
    </w:p>
    <w:p w14:paraId="3EAFF3E3" w14:textId="77777777" w:rsidR="005874E7" w:rsidRPr="00CE58AE" w:rsidRDefault="005874E7" w:rsidP="005874E7">
      <w:pPr>
        <w:spacing w:after="120" w:line="240" w:lineRule="auto"/>
        <w:rPr>
          <w:rFonts w:cs="Arial"/>
        </w:rPr>
      </w:pPr>
      <w:r w:rsidRPr="00CE58AE">
        <w:rPr>
          <w:rFonts w:cs="Arial"/>
          <w:noProof/>
          <w:lang w:eastAsia="en-AU"/>
        </w:rPr>
        <w:drawing>
          <wp:anchor distT="0" distB="0" distL="114300" distR="114300" simplePos="0" relativeHeight="251658242" behindDoc="0" locked="0" layoutInCell="1" allowOverlap="1" wp14:anchorId="47E352EB" wp14:editId="76F0D92F">
            <wp:simplePos x="460858" y="5859475"/>
            <wp:positionH relativeFrom="column">
              <wp:align>left</wp:align>
            </wp:positionH>
            <wp:positionV relativeFrom="paragraph">
              <wp:align>top</wp:align>
            </wp:positionV>
            <wp:extent cx="857250" cy="586699"/>
            <wp:effectExtent l="0" t="0" r="0" b="4445"/>
            <wp:wrapSquare wrapText="bothSides"/>
            <wp:docPr id="10" name="Picture 10"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0" cy="586699"/>
                    </a:xfrm>
                    <a:prstGeom prst="rect">
                      <a:avLst/>
                    </a:prstGeom>
                    <a:noFill/>
                    <a:ln>
                      <a:noFill/>
                    </a:ln>
                  </pic:spPr>
                </pic:pic>
              </a:graphicData>
            </a:graphic>
          </wp:anchor>
        </w:drawing>
      </w:r>
      <w:r w:rsidRPr="00CE58AE">
        <w:rPr>
          <w:rFonts w:cs="Arial"/>
        </w:rPr>
        <w:br w:type="textWrapping" w:clear="all"/>
        <w:t>Andrew Dyer</w:t>
      </w:r>
    </w:p>
    <w:p w14:paraId="7F2C266D" w14:textId="654A59A2" w:rsidR="005874E7" w:rsidRPr="00CE58AE" w:rsidRDefault="002C4E77" w:rsidP="005874E7">
      <w:pPr>
        <w:spacing w:after="120" w:line="240" w:lineRule="auto"/>
        <w:rPr>
          <w:rFonts w:cs="Arial"/>
        </w:rPr>
      </w:pPr>
      <w:r>
        <w:rPr>
          <w:rFonts w:cs="Arial"/>
        </w:rPr>
        <w:t>Australian Energy Infrastructure</w:t>
      </w:r>
      <w:r w:rsidR="005874E7" w:rsidRPr="00CE58AE">
        <w:rPr>
          <w:rFonts w:cs="Arial"/>
        </w:rPr>
        <w:t xml:space="preserve"> Commissioner</w:t>
      </w:r>
    </w:p>
    <w:p w14:paraId="5BCB1111" w14:textId="77777777" w:rsidR="005874E7" w:rsidRDefault="005874E7" w:rsidP="005874E7"/>
    <w:p w14:paraId="185AA18E" w14:textId="77777777" w:rsidR="00A16879" w:rsidRDefault="00A16879" w:rsidP="005874E7">
      <w:pPr>
        <w:sectPr w:rsidR="00A16879" w:rsidSect="00C90C75">
          <w:headerReference w:type="first" r:id="rId17"/>
          <w:footerReference w:type="first" r:id="rId18"/>
          <w:pgSz w:w="11906" w:h="16838"/>
          <w:pgMar w:top="720" w:right="720" w:bottom="720" w:left="720" w:header="454" w:footer="425" w:gutter="0"/>
          <w:cols w:space="708"/>
          <w:titlePg/>
          <w:docGrid w:linePitch="360"/>
        </w:sectPr>
      </w:pPr>
    </w:p>
    <w:p w14:paraId="7508A4CE" w14:textId="77777777" w:rsidR="00512AE0" w:rsidRDefault="00512AE0" w:rsidP="00512AE0"/>
    <w:p w14:paraId="67A7683F" w14:textId="77777777" w:rsidR="00512AE0" w:rsidRDefault="00512AE0" w:rsidP="00512AE0"/>
    <w:p w14:paraId="1C572B01" w14:textId="77777777" w:rsidR="00512AE0" w:rsidRDefault="00512AE0" w:rsidP="00512AE0"/>
    <w:p w14:paraId="57199157" w14:textId="77777777" w:rsidR="00512AE0" w:rsidRDefault="00512AE0" w:rsidP="00512AE0"/>
    <w:p w14:paraId="0AE9977E" w14:textId="77777777" w:rsidR="00512AE0" w:rsidRDefault="00512AE0" w:rsidP="00512AE0"/>
    <w:p w14:paraId="3E656AEE" w14:textId="77777777" w:rsidR="00512AE0" w:rsidRDefault="00512AE0" w:rsidP="00512AE0"/>
    <w:p w14:paraId="53C4021A" w14:textId="77777777" w:rsidR="00512AE0" w:rsidRDefault="00512AE0" w:rsidP="00512AE0"/>
    <w:p w14:paraId="219190E4" w14:textId="77777777" w:rsidR="00512AE0" w:rsidRDefault="00512AE0" w:rsidP="00512AE0"/>
    <w:p w14:paraId="68702E74" w14:textId="77777777" w:rsidR="00512AE0" w:rsidRDefault="00512AE0" w:rsidP="00512AE0"/>
    <w:p w14:paraId="32B2F7C0" w14:textId="77777777" w:rsidR="00512AE0" w:rsidRDefault="00512AE0" w:rsidP="00512AE0"/>
    <w:p w14:paraId="16D751E6" w14:textId="77777777" w:rsidR="00512AE0" w:rsidRDefault="00512AE0" w:rsidP="00512AE0"/>
    <w:p w14:paraId="5D6DB387" w14:textId="77777777" w:rsidR="00512AE0" w:rsidRDefault="00512AE0" w:rsidP="00512AE0"/>
    <w:p w14:paraId="548D2D1D" w14:textId="77777777" w:rsidR="00512AE0" w:rsidRDefault="00512AE0" w:rsidP="00512AE0"/>
    <w:p w14:paraId="4708A107" w14:textId="77777777" w:rsidR="00512AE0" w:rsidRDefault="00512AE0" w:rsidP="00512AE0"/>
    <w:p w14:paraId="31166E2C" w14:textId="77777777" w:rsidR="00512AE0" w:rsidRDefault="00512AE0" w:rsidP="00512AE0"/>
    <w:p w14:paraId="448D65A7" w14:textId="77777777" w:rsidR="00512AE0" w:rsidRDefault="00512AE0" w:rsidP="00512AE0">
      <w:pPr>
        <w:rPr>
          <w:rFonts w:ascii="Garamond" w:hAnsi="Garamond"/>
        </w:rPr>
      </w:pPr>
    </w:p>
    <w:p w14:paraId="665A07A0" w14:textId="77777777" w:rsidR="00512AE0" w:rsidRDefault="00512AE0" w:rsidP="00512AE0">
      <w:pPr>
        <w:rPr>
          <w:rFonts w:ascii="Garamond" w:hAnsi="Garamond"/>
        </w:rPr>
      </w:pPr>
    </w:p>
    <w:p w14:paraId="7F817F12" w14:textId="34FCE24C" w:rsidR="00512AE0" w:rsidRDefault="00512AE0" w:rsidP="00512AE0">
      <w:pPr>
        <w:rPr>
          <w:rFonts w:ascii="Garamond" w:hAnsi="Garamond"/>
        </w:rPr>
      </w:pPr>
      <w:r w:rsidRPr="00EF4A08">
        <w:rPr>
          <w:rFonts w:ascii="Garamond" w:hAnsi="Garamond"/>
        </w:rPr>
        <w:t>ISBN: 978-1-922125-</w:t>
      </w:r>
      <w:r>
        <w:rPr>
          <w:rFonts w:ascii="Garamond" w:hAnsi="Garamond"/>
        </w:rPr>
        <w:t>9</w:t>
      </w:r>
      <w:r w:rsidR="00B52522">
        <w:rPr>
          <w:rFonts w:ascii="Garamond" w:hAnsi="Garamond"/>
        </w:rPr>
        <w:t>1</w:t>
      </w:r>
      <w:r w:rsidRPr="00EF4A08">
        <w:rPr>
          <w:rFonts w:ascii="Garamond" w:hAnsi="Garamond"/>
        </w:rPr>
        <w:t>-</w:t>
      </w:r>
      <w:r w:rsidR="00DD77A5">
        <w:rPr>
          <w:rFonts w:ascii="Garamond" w:hAnsi="Garamond"/>
        </w:rPr>
        <w:t>0</w:t>
      </w:r>
    </w:p>
    <w:p w14:paraId="25F4D9B7" w14:textId="77777777" w:rsidR="00512AE0" w:rsidRDefault="00512AE0" w:rsidP="00512AE0">
      <w:pPr>
        <w:rPr>
          <w:rFonts w:ascii="Garamond" w:eastAsiaTheme="minorHAnsi" w:hAnsi="Garamond"/>
        </w:rPr>
      </w:pPr>
      <w:r>
        <w:rPr>
          <w:rFonts w:ascii="Garamond" w:hAnsi="Garamond"/>
        </w:rPr>
        <w:t>© Commonwealth of Australia, 2021.</w:t>
      </w:r>
    </w:p>
    <w:p w14:paraId="3D5104D7" w14:textId="77777777" w:rsidR="00512AE0" w:rsidRDefault="00512AE0" w:rsidP="00512AE0">
      <w:pPr>
        <w:rPr>
          <w:rFonts w:ascii="Garamond" w:hAnsi="Garamond"/>
        </w:rPr>
      </w:pPr>
      <w:r>
        <w:rPr>
          <w:rFonts w:ascii="Garamond" w:hAnsi="Garamond"/>
          <w:noProof/>
          <w:lang w:eastAsia="en-AU"/>
        </w:rPr>
        <w:drawing>
          <wp:inline distT="0" distB="0" distL="0" distR="0" wp14:anchorId="4DBED7A5" wp14:editId="2D63BD18">
            <wp:extent cx="666750" cy="238125"/>
            <wp:effectExtent l="0" t="0" r="0" b="9525"/>
            <wp:docPr id="1" name="Picture 1" descr="cid:image001.jpg@01D685F9.2BC37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685F9.2BC378F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p w14:paraId="68339142" w14:textId="77777777" w:rsidR="00512AE0" w:rsidRDefault="00512AE0" w:rsidP="00512AE0">
      <w:pPr>
        <w:rPr>
          <w:rFonts w:ascii="Garamond" w:hAnsi="Garamond"/>
        </w:rPr>
      </w:pPr>
      <w:r>
        <w:rPr>
          <w:rFonts w:ascii="Garamond" w:hAnsi="Garamond"/>
          <w:i/>
          <w:iCs/>
        </w:rPr>
        <w:t xml:space="preserve">2020 Annual Report of the National Wind Farm Commissioner </w:t>
      </w:r>
      <w:r>
        <w:rPr>
          <w:rFonts w:ascii="Garamond" w:hAnsi="Garamond"/>
        </w:rPr>
        <w:t xml:space="preserve">is licensed by the Commonwealth of Australia for use under a Creative Commons Attribution 4.0 International License with the exception of the Coat of Arms of the Commonwealth of Australia, the logo of the agency responsible for publishing the report, content supplied by third parties, and any images depicting people. </w:t>
      </w:r>
    </w:p>
    <w:p w14:paraId="1D58730F" w14:textId="77777777" w:rsidR="00512AE0" w:rsidRDefault="00512AE0" w:rsidP="00512AE0">
      <w:pPr>
        <w:rPr>
          <w:rFonts w:ascii="Garamond" w:hAnsi="Garamond"/>
        </w:rPr>
      </w:pPr>
      <w:r>
        <w:rPr>
          <w:rFonts w:ascii="Garamond" w:hAnsi="Garamond"/>
        </w:rPr>
        <w:t xml:space="preserve">For licence conditions see: </w:t>
      </w:r>
      <w:hyperlink r:id="rId21" w:history="1">
        <w:r>
          <w:rPr>
            <w:rStyle w:val="Hyperlink"/>
            <w:rFonts w:ascii="Garamond" w:hAnsi="Garamond"/>
          </w:rPr>
          <w:t>https://creativecommons.org/licenses/by/4.0/</w:t>
        </w:r>
      </w:hyperlink>
    </w:p>
    <w:p w14:paraId="6542D75F" w14:textId="77777777" w:rsidR="00512AE0" w:rsidRDefault="00512AE0" w:rsidP="00512AE0">
      <w:pPr>
        <w:rPr>
          <w:rFonts w:ascii="Garamond" w:hAnsi="Garamond"/>
        </w:rPr>
      </w:pPr>
      <w:r>
        <w:rPr>
          <w:rFonts w:ascii="Garamond" w:hAnsi="Garamond"/>
        </w:rPr>
        <w:t>This report should be attributed as ‘</w:t>
      </w:r>
      <w:r>
        <w:rPr>
          <w:rFonts w:ascii="Garamond" w:hAnsi="Garamond"/>
          <w:i/>
          <w:iCs/>
        </w:rPr>
        <w:t>2020 Annual Report of the National Wind Farm Commissioner</w:t>
      </w:r>
      <w:r>
        <w:rPr>
          <w:rFonts w:ascii="Garamond" w:hAnsi="Garamond"/>
        </w:rPr>
        <w:t xml:space="preserve">, Commonwealth of Australia 2021’. </w:t>
      </w:r>
    </w:p>
    <w:p w14:paraId="504D37F2" w14:textId="77777777" w:rsidR="00512AE0" w:rsidRDefault="00512AE0" w:rsidP="00512AE0">
      <w:pPr>
        <w:rPr>
          <w:rFonts w:ascii="Garamond" w:hAnsi="Garamond"/>
        </w:rPr>
      </w:pPr>
      <w:r>
        <w:rPr>
          <w:rFonts w:ascii="Garamond" w:hAnsi="Garamond"/>
        </w:rPr>
        <w:t xml:space="preserve">The Commonwealth of Australia has made all reasonable efforts to identify content supplied by third parties using the following format ‘© Copyright, [name of third party]’. </w:t>
      </w:r>
    </w:p>
    <w:p w14:paraId="3D680FFD" w14:textId="77777777" w:rsidR="00512AE0" w:rsidRDefault="00512AE0" w:rsidP="00512AE0">
      <w:pPr>
        <w:rPr>
          <w:rFonts w:ascii="Garamond" w:hAnsi="Garamond"/>
          <w:b/>
          <w:bCs/>
        </w:rPr>
      </w:pPr>
      <w:r>
        <w:rPr>
          <w:rFonts w:ascii="Garamond" w:hAnsi="Garamond"/>
          <w:b/>
          <w:bCs/>
        </w:rPr>
        <w:t xml:space="preserve">Disclaimer </w:t>
      </w:r>
    </w:p>
    <w:p w14:paraId="5C3A24EA" w14:textId="77777777" w:rsidR="00512AE0" w:rsidRDefault="00512AE0" w:rsidP="00512AE0">
      <w:pPr>
        <w:rPr>
          <w:rFonts w:ascii="Garamond" w:hAnsi="Garamond"/>
        </w:rPr>
      </w:pPr>
      <w:r>
        <w:rPr>
          <w:rFonts w:ascii="Garamond" w:hAnsi="Garamond"/>
        </w:rPr>
        <w:t>The views and opinions expressed in this publication are those of the authors and do not necessarily reflect those of the Australian Government or the Portfolio Ministers for the Department of Industry, Science, Energy and Resources.</w:t>
      </w:r>
    </w:p>
    <w:p w14:paraId="389A5213" w14:textId="77777777" w:rsidR="00326042" w:rsidRDefault="00326042" w:rsidP="00326042">
      <w:pPr>
        <w:rPr>
          <w:rFonts w:ascii="Garamond" w:hAnsi="Garamond"/>
        </w:rPr>
      </w:pPr>
    </w:p>
    <w:p w14:paraId="27AA9FCB" w14:textId="77777777" w:rsidR="005874E7" w:rsidRPr="00326042" w:rsidRDefault="00326042" w:rsidP="00326042">
      <w:pPr>
        <w:tabs>
          <w:tab w:val="left" w:pos="1080"/>
        </w:tabs>
        <w:sectPr w:rsidR="005874E7" w:rsidRPr="00326042" w:rsidSect="00C90C75">
          <w:headerReference w:type="first" r:id="rId22"/>
          <w:footerReference w:type="first" r:id="rId23"/>
          <w:pgSz w:w="11906" w:h="16838"/>
          <w:pgMar w:top="720" w:right="720" w:bottom="720" w:left="720" w:header="454" w:footer="425" w:gutter="0"/>
          <w:cols w:space="708"/>
          <w:titlePg/>
          <w:docGrid w:linePitch="360"/>
        </w:sectPr>
      </w:pPr>
      <w:r>
        <w:tab/>
      </w:r>
    </w:p>
    <w:p w14:paraId="57C0ECEF" w14:textId="77777777" w:rsidR="005874E7" w:rsidRPr="00F47E6D" w:rsidRDefault="005874E7" w:rsidP="005874E7">
      <w:pPr>
        <w:pStyle w:val="Heading1"/>
        <w:tabs>
          <w:tab w:val="left" w:pos="4455"/>
        </w:tabs>
      </w:pPr>
      <w:bookmarkStart w:id="1" w:name="_Toc4747366"/>
      <w:bookmarkStart w:id="2" w:name="_Toc84430799"/>
      <w:r w:rsidRPr="00F47E6D">
        <w:lastRenderedPageBreak/>
        <w:t>Contents</w:t>
      </w:r>
      <w:bookmarkEnd w:id="1"/>
      <w:bookmarkEnd w:id="2"/>
      <w:r>
        <w:tab/>
      </w:r>
    </w:p>
    <w:sdt>
      <w:sdtPr>
        <w:rPr>
          <w:rFonts w:ascii="Arial" w:hAnsi="Arial"/>
          <w:b w:val="0"/>
          <w:bCs w:val="0"/>
          <w:caps w:val="0"/>
          <w:sz w:val="22"/>
          <w:szCs w:val="22"/>
        </w:rPr>
        <w:id w:val="-1004362484"/>
        <w:docPartObj>
          <w:docPartGallery w:val="Table of Contents"/>
          <w:docPartUnique/>
        </w:docPartObj>
      </w:sdtPr>
      <w:sdtEndPr>
        <w:rPr>
          <w:noProof/>
          <w:sz w:val="2"/>
          <w:szCs w:val="2"/>
        </w:rPr>
      </w:sdtEndPr>
      <w:sdtContent>
        <w:p w14:paraId="1F763F55" w14:textId="77777777" w:rsidR="00267426" w:rsidRDefault="005874E7">
          <w:pPr>
            <w:pStyle w:val="TOC1"/>
            <w:rPr>
              <w:rFonts w:eastAsiaTheme="minorEastAsia" w:cstheme="minorBidi"/>
              <w:b w:val="0"/>
              <w:bCs w:val="0"/>
              <w:caps w:val="0"/>
              <w:noProof/>
              <w:sz w:val="22"/>
              <w:szCs w:val="22"/>
              <w:lang w:eastAsia="en-AU"/>
            </w:rPr>
          </w:pPr>
          <w:r>
            <w:fldChar w:fldCharType="begin"/>
          </w:r>
          <w:r>
            <w:instrText xml:space="preserve"> TOC \o "1-3" \h \z \u </w:instrText>
          </w:r>
          <w:r>
            <w:fldChar w:fldCharType="separate"/>
          </w:r>
          <w:hyperlink w:anchor="_Toc84430799" w:history="1">
            <w:r w:rsidR="00267426" w:rsidRPr="00781F54">
              <w:rPr>
                <w:rStyle w:val="Hyperlink"/>
                <w:noProof/>
              </w:rPr>
              <w:t>Contents</w:t>
            </w:r>
            <w:r w:rsidR="00267426">
              <w:rPr>
                <w:noProof/>
                <w:webHidden/>
              </w:rPr>
              <w:tab/>
            </w:r>
            <w:r w:rsidR="00267426">
              <w:rPr>
                <w:noProof/>
                <w:webHidden/>
              </w:rPr>
              <w:fldChar w:fldCharType="begin"/>
            </w:r>
            <w:r w:rsidR="00267426">
              <w:rPr>
                <w:noProof/>
                <w:webHidden/>
              </w:rPr>
              <w:instrText xml:space="preserve"> PAGEREF _Toc84430799 \h </w:instrText>
            </w:r>
            <w:r w:rsidR="00267426">
              <w:rPr>
                <w:noProof/>
                <w:webHidden/>
              </w:rPr>
            </w:r>
            <w:r w:rsidR="00267426">
              <w:rPr>
                <w:noProof/>
                <w:webHidden/>
              </w:rPr>
              <w:fldChar w:fldCharType="separate"/>
            </w:r>
            <w:r w:rsidR="00997E3F">
              <w:rPr>
                <w:noProof/>
                <w:webHidden/>
              </w:rPr>
              <w:t>1</w:t>
            </w:r>
            <w:r w:rsidR="00267426">
              <w:rPr>
                <w:noProof/>
                <w:webHidden/>
              </w:rPr>
              <w:fldChar w:fldCharType="end"/>
            </w:r>
          </w:hyperlink>
        </w:p>
        <w:p w14:paraId="166875AD" w14:textId="77777777" w:rsidR="00267426" w:rsidRDefault="00F72FA4">
          <w:pPr>
            <w:pStyle w:val="TOC1"/>
            <w:rPr>
              <w:rFonts w:eastAsiaTheme="minorEastAsia" w:cstheme="minorBidi"/>
              <w:b w:val="0"/>
              <w:bCs w:val="0"/>
              <w:caps w:val="0"/>
              <w:noProof/>
              <w:sz w:val="22"/>
              <w:szCs w:val="22"/>
              <w:lang w:eastAsia="en-AU"/>
            </w:rPr>
          </w:pPr>
          <w:hyperlink w:anchor="_Toc84430800" w:history="1">
            <w:r w:rsidR="00267426" w:rsidRPr="00781F54">
              <w:rPr>
                <w:rStyle w:val="Hyperlink"/>
                <w:noProof/>
              </w:rPr>
              <w:t>Commissioner’s review</w:t>
            </w:r>
            <w:r w:rsidR="00267426">
              <w:rPr>
                <w:noProof/>
                <w:webHidden/>
              </w:rPr>
              <w:tab/>
            </w:r>
            <w:r w:rsidR="00267426">
              <w:rPr>
                <w:noProof/>
                <w:webHidden/>
              </w:rPr>
              <w:fldChar w:fldCharType="begin"/>
            </w:r>
            <w:r w:rsidR="00267426">
              <w:rPr>
                <w:noProof/>
                <w:webHidden/>
              </w:rPr>
              <w:instrText xml:space="preserve"> PAGEREF _Toc84430800 \h </w:instrText>
            </w:r>
            <w:r w:rsidR="00267426">
              <w:rPr>
                <w:noProof/>
                <w:webHidden/>
              </w:rPr>
            </w:r>
            <w:r w:rsidR="00267426">
              <w:rPr>
                <w:noProof/>
                <w:webHidden/>
              </w:rPr>
              <w:fldChar w:fldCharType="separate"/>
            </w:r>
            <w:r w:rsidR="00997E3F">
              <w:rPr>
                <w:noProof/>
                <w:webHidden/>
              </w:rPr>
              <w:t>3</w:t>
            </w:r>
            <w:r w:rsidR="00267426">
              <w:rPr>
                <w:noProof/>
                <w:webHidden/>
              </w:rPr>
              <w:fldChar w:fldCharType="end"/>
            </w:r>
          </w:hyperlink>
        </w:p>
        <w:p w14:paraId="40772080"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01" w:history="1">
            <w:r w:rsidR="00267426" w:rsidRPr="00781F54">
              <w:rPr>
                <w:rStyle w:val="Hyperlink"/>
                <w:noProof/>
              </w:rPr>
              <w:t>The Year in Review</w:t>
            </w:r>
            <w:r w:rsidR="00267426">
              <w:rPr>
                <w:noProof/>
                <w:webHidden/>
              </w:rPr>
              <w:tab/>
            </w:r>
            <w:r w:rsidR="00267426">
              <w:rPr>
                <w:noProof/>
                <w:webHidden/>
              </w:rPr>
              <w:fldChar w:fldCharType="begin"/>
            </w:r>
            <w:r w:rsidR="00267426">
              <w:rPr>
                <w:noProof/>
                <w:webHidden/>
              </w:rPr>
              <w:instrText xml:space="preserve"> PAGEREF _Toc84430801 \h </w:instrText>
            </w:r>
            <w:r w:rsidR="00267426">
              <w:rPr>
                <w:noProof/>
                <w:webHidden/>
              </w:rPr>
            </w:r>
            <w:r w:rsidR="00267426">
              <w:rPr>
                <w:noProof/>
                <w:webHidden/>
              </w:rPr>
              <w:fldChar w:fldCharType="separate"/>
            </w:r>
            <w:r w:rsidR="00997E3F">
              <w:rPr>
                <w:noProof/>
                <w:webHidden/>
              </w:rPr>
              <w:t>3</w:t>
            </w:r>
            <w:r w:rsidR="00267426">
              <w:rPr>
                <w:noProof/>
                <w:webHidden/>
              </w:rPr>
              <w:fldChar w:fldCharType="end"/>
            </w:r>
          </w:hyperlink>
        </w:p>
        <w:p w14:paraId="3526A03F"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02" w:history="1">
            <w:r w:rsidR="00267426" w:rsidRPr="00781F54">
              <w:rPr>
                <w:rStyle w:val="Hyperlink"/>
                <w:noProof/>
              </w:rPr>
              <w:t>The Year Ahead</w:t>
            </w:r>
            <w:r w:rsidR="00267426">
              <w:rPr>
                <w:noProof/>
                <w:webHidden/>
              </w:rPr>
              <w:tab/>
            </w:r>
            <w:r w:rsidR="00267426">
              <w:rPr>
                <w:noProof/>
                <w:webHidden/>
              </w:rPr>
              <w:fldChar w:fldCharType="begin"/>
            </w:r>
            <w:r w:rsidR="00267426">
              <w:rPr>
                <w:noProof/>
                <w:webHidden/>
              </w:rPr>
              <w:instrText xml:space="preserve"> PAGEREF _Toc84430802 \h </w:instrText>
            </w:r>
            <w:r w:rsidR="00267426">
              <w:rPr>
                <w:noProof/>
                <w:webHidden/>
              </w:rPr>
            </w:r>
            <w:r w:rsidR="00267426">
              <w:rPr>
                <w:noProof/>
                <w:webHidden/>
              </w:rPr>
              <w:fldChar w:fldCharType="separate"/>
            </w:r>
            <w:r w:rsidR="00997E3F">
              <w:rPr>
                <w:noProof/>
                <w:webHidden/>
              </w:rPr>
              <w:t>4</w:t>
            </w:r>
            <w:r w:rsidR="00267426">
              <w:rPr>
                <w:noProof/>
                <w:webHidden/>
              </w:rPr>
              <w:fldChar w:fldCharType="end"/>
            </w:r>
          </w:hyperlink>
        </w:p>
        <w:p w14:paraId="25DE713F" w14:textId="77777777" w:rsidR="00267426" w:rsidRDefault="00F72FA4">
          <w:pPr>
            <w:pStyle w:val="TOC1"/>
            <w:rPr>
              <w:rFonts w:eastAsiaTheme="minorEastAsia" w:cstheme="minorBidi"/>
              <w:b w:val="0"/>
              <w:bCs w:val="0"/>
              <w:caps w:val="0"/>
              <w:noProof/>
              <w:sz w:val="22"/>
              <w:szCs w:val="22"/>
              <w:lang w:eastAsia="en-AU"/>
            </w:rPr>
          </w:pPr>
          <w:hyperlink w:anchor="_Toc84430803" w:history="1">
            <w:r w:rsidR="00267426" w:rsidRPr="00781F54">
              <w:rPr>
                <w:rStyle w:val="Hyperlink"/>
                <w:noProof/>
              </w:rPr>
              <w:t>Overview</w:t>
            </w:r>
            <w:r w:rsidR="00267426">
              <w:rPr>
                <w:noProof/>
                <w:webHidden/>
              </w:rPr>
              <w:tab/>
            </w:r>
            <w:r w:rsidR="00267426">
              <w:rPr>
                <w:noProof/>
                <w:webHidden/>
              </w:rPr>
              <w:fldChar w:fldCharType="begin"/>
            </w:r>
            <w:r w:rsidR="00267426">
              <w:rPr>
                <w:noProof/>
                <w:webHidden/>
              </w:rPr>
              <w:instrText xml:space="preserve"> PAGEREF _Toc84430803 \h </w:instrText>
            </w:r>
            <w:r w:rsidR="00267426">
              <w:rPr>
                <w:noProof/>
                <w:webHidden/>
              </w:rPr>
            </w:r>
            <w:r w:rsidR="00267426">
              <w:rPr>
                <w:noProof/>
                <w:webHidden/>
              </w:rPr>
              <w:fldChar w:fldCharType="separate"/>
            </w:r>
            <w:r w:rsidR="00997E3F">
              <w:rPr>
                <w:noProof/>
                <w:webHidden/>
              </w:rPr>
              <w:t>6</w:t>
            </w:r>
            <w:r w:rsidR="00267426">
              <w:rPr>
                <w:noProof/>
                <w:webHidden/>
              </w:rPr>
              <w:fldChar w:fldCharType="end"/>
            </w:r>
          </w:hyperlink>
        </w:p>
        <w:p w14:paraId="61AB47FD"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04" w:history="1">
            <w:r w:rsidR="00267426" w:rsidRPr="00781F54">
              <w:rPr>
                <w:rStyle w:val="Hyperlink"/>
                <w:noProof/>
              </w:rPr>
              <w:t>Background</w:t>
            </w:r>
            <w:r w:rsidR="00267426">
              <w:rPr>
                <w:noProof/>
                <w:webHidden/>
              </w:rPr>
              <w:tab/>
            </w:r>
            <w:r w:rsidR="00267426">
              <w:rPr>
                <w:noProof/>
                <w:webHidden/>
              </w:rPr>
              <w:fldChar w:fldCharType="begin"/>
            </w:r>
            <w:r w:rsidR="00267426">
              <w:rPr>
                <w:noProof/>
                <w:webHidden/>
              </w:rPr>
              <w:instrText xml:space="preserve"> PAGEREF _Toc84430804 \h </w:instrText>
            </w:r>
            <w:r w:rsidR="00267426">
              <w:rPr>
                <w:noProof/>
                <w:webHidden/>
              </w:rPr>
            </w:r>
            <w:r w:rsidR="00267426">
              <w:rPr>
                <w:noProof/>
                <w:webHidden/>
              </w:rPr>
              <w:fldChar w:fldCharType="separate"/>
            </w:r>
            <w:r w:rsidR="00997E3F">
              <w:rPr>
                <w:noProof/>
                <w:webHidden/>
              </w:rPr>
              <w:t>6</w:t>
            </w:r>
            <w:r w:rsidR="00267426">
              <w:rPr>
                <w:noProof/>
                <w:webHidden/>
              </w:rPr>
              <w:fldChar w:fldCharType="end"/>
            </w:r>
          </w:hyperlink>
        </w:p>
        <w:p w14:paraId="02F5A768"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05" w:history="1">
            <w:r w:rsidR="00267426" w:rsidRPr="00781F54">
              <w:rPr>
                <w:rStyle w:val="Hyperlink"/>
                <w:noProof/>
              </w:rPr>
              <w:t>Who We Are</w:t>
            </w:r>
            <w:r w:rsidR="00267426">
              <w:rPr>
                <w:noProof/>
                <w:webHidden/>
              </w:rPr>
              <w:tab/>
            </w:r>
            <w:r w:rsidR="00267426">
              <w:rPr>
                <w:noProof/>
                <w:webHidden/>
              </w:rPr>
              <w:fldChar w:fldCharType="begin"/>
            </w:r>
            <w:r w:rsidR="00267426">
              <w:rPr>
                <w:noProof/>
                <w:webHidden/>
              </w:rPr>
              <w:instrText xml:space="preserve"> PAGEREF _Toc84430805 \h </w:instrText>
            </w:r>
            <w:r w:rsidR="00267426">
              <w:rPr>
                <w:noProof/>
                <w:webHidden/>
              </w:rPr>
            </w:r>
            <w:r w:rsidR="00267426">
              <w:rPr>
                <w:noProof/>
                <w:webHidden/>
              </w:rPr>
              <w:fldChar w:fldCharType="separate"/>
            </w:r>
            <w:r w:rsidR="00997E3F">
              <w:rPr>
                <w:noProof/>
                <w:webHidden/>
              </w:rPr>
              <w:t>6</w:t>
            </w:r>
            <w:r w:rsidR="00267426">
              <w:rPr>
                <w:noProof/>
                <w:webHidden/>
              </w:rPr>
              <w:fldChar w:fldCharType="end"/>
            </w:r>
          </w:hyperlink>
        </w:p>
        <w:p w14:paraId="2523E2E0"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06" w:history="1">
            <w:r w:rsidR="00267426" w:rsidRPr="00781F54">
              <w:rPr>
                <w:rStyle w:val="Hyperlink"/>
                <w:noProof/>
              </w:rPr>
              <w:t>Office Location and Contact Details</w:t>
            </w:r>
            <w:r w:rsidR="00267426">
              <w:rPr>
                <w:noProof/>
                <w:webHidden/>
              </w:rPr>
              <w:tab/>
            </w:r>
            <w:r w:rsidR="00267426">
              <w:rPr>
                <w:noProof/>
                <w:webHidden/>
              </w:rPr>
              <w:fldChar w:fldCharType="begin"/>
            </w:r>
            <w:r w:rsidR="00267426">
              <w:rPr>
                <w:noProof/>
                <w:webHidden/>
              </w:rPr>
              <w:instrText xml:space="preserve"> PAGEREF _Toc84430806 \h </w:instrText>
            </w:r>
            <w:r w:rsidR="00267426">
              <w:rPr>
                <w:noProof/>
                <w:webHidden/>
              </w:rPr>
            </w:r>
            <w:r w:rsidR="00267426">
              <w:rPr>
                <w:noProof/>
                <w:webHidden/>
              </w:rPr>
              <w:fldChar w:fldCharType="separate"/>
            </w:r>
            <w:r w:rsidR="00997E3F">
              <w:rPr>
                <w:noProof/>
                <w:webHidden/>
              </w:rPr>
              <w:t>6</w:t>
            </w:r>
            <w:r w:rsidR="00267426">
              <w:rPr>
                <w:noProof/>
                <w:webHidden/>
              </w:rPr>
              <w:fldChar w:fldCharType="end"/>
            </w:r>
          </w:hyperlink>
        </w:p>
        <w:p w14:paraId="6CC377A7" w14:textId="77777777" w:rsidR="00267426" w:rsidRDefault="00F72FA4">
          <w:pPr>
            <w:pStyle w:val="TOC1"/>
            <w:rPr>
              <w:rFonts w:eastAsiaTheme="minorEastAsia" w:cstheme="minorBidi"/>
              <w:b w:val="0"/>
              <w:bCs w:val="0"/>
              <w:caps w:val="0"/>
              <w:noProof/>
              <w:sz w:val="22"/>
              <w:szCs w:val="22"/>
              <w:lang w:eastAsia="en-AU"/>
            </w:rPr>
          </w:pPr>
          <w:hyperlink w:anchor="_Toc84430807" w:history="1">
            <w:r w:rsidR="00267426" w:rsidRPr="00781F54">
              <w:rPr>
                <w:rStyle w:val="Hyperlink"/>
                <w:noProof/>
              </w:rPr>
              <w:t>Complaint Management</w:t>
            </w:r>
            <w:r w:rsidR="00267426">
              <w:rPr>
                <w:noProof/>
                <w:webHidden/>
              </w:rPr>
              <w:tab/>
            </w:r>
            <w:r w:rsidR="00267426">
              <w:rPr>
                <w:noProof/>
                <w:webHidden/>
              </w:rPr>
              <w:fldChar w:fldCharType="begin"/>
            </w:r>
            <w:r w:rsidR="00267426">
              <w:rPr>
                <w:noProof/>
                <w:webHidden/>
              </w:rPr>
              <w:instrText xml:space="preserve"> PAGEREF _Toc84430807 \h </w:instrText>
            </w:r>
            <w:r w:rsidR="00267426">
              <w:rPr>
                <w:noProof/>
                <w:webHidden/>
              </w:rPr>
            </w:r>
            <w:r w:rsidR="00267426">
              <w:rPr>
                <w:noProof/>
                <w:webHidden/>
              </w:rPr>
              <w:fldChar w:fldCharType="separate"/>
            </w:r>
            <w:r w:rsidR="00997E3F">
              <w:rPr>
                <w:noProof/>
                <w:webHidden/>
              </w:rPr>
              <w:t>7</w:t>
            </w:r>
            <w:r w:rsidR="00267426">
              <w:rPr>
                <w:noProof/>
                <w:webHidden/>
              </w:rPr>
              <w:fldChar w:fldCharType="end"/>
            </w:r>
          </w:hyperlink>
        </w:p>
        <w:p w14:paraId="21D22F11"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08" w:history="1">
            <w:r w:rsidR="00267426" w:rsidRPr="00781F54">
              <w:rPr>
                <w:rStyle w:val="Hyperlink"/>
                <w:noProof/>
              </w:rPr>
              <w:t>Complaint Management Process</w:t>
            </w:r>
            <w:r w:rsidR="00267426">
              <w:rPr>
                <w:noProof/>
                <w:webHidden/>
              </w:rPr>
              <w:tab/>
            </w:r>
            <w:r w:rsidR="00267426">
              <w:rPr>
                <w:noProof/>
                <w:webHidden/>
              </w:rPr>
              <w:fldChar w:fldCharType="begin"/>
            </w:r>
            <w:r w:rsidR="00267426">
              <w:rPr>
                <w:noProof/>
                <w:webHidden/>
              </w:rPr>
              <w:instrText xml:space="preserve"> PAGEREF _Toc84430808 \h </w:instrText>
            </w:r>
            <w:r w:rsidR="00267426">
              <w:rPr>
                <w:noProof/>
                <w:webHidden/>
              </w:rPr>
            </w:r>
            <w:r w:rsidR="00267426">
              <w:rPr>
                <w:noProof/>
                <w:webHidden/>
              </w:rPr>
              <w:fldChar w:fldCharType="separate"/>
            </w:r>
            <w:r w:rsidR="00997E3F">
              <w:rPr>
                <w:noProof/>
                <w:webHidden/>
              </w:rPr>
              <w:t>7</w:t>
            </w:r>
            <w:r w:rsidR="00267426">
              <w:rPr>
                <w:noProof/>
                <w:webHidden/>
              </w:rPr>
              <w:fldChar w:fldCharType="end"/>
            </w:r>
          </w:hyperlink>
        </w:p>
        <w:p w14:paraId="17645A26"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09" w:history="1">
            <w:r w:rsidR="00267426" w:rsidRPr="00781F54">
              <w:rPr>
                <w:rStyle w:val="Hyperlink"/>
                <w:noProof/>
                <w:lang w:eastAsia="en-AU"/>
              </w:rPr>
              <w:t>Complaints Handling Policy</w:t>
            </w:r>
            <w:r w:rsidR="00267426">
              <w:rPr>
                <w:noProof/>
                <w:webHidden/>
              </w:rPr>
              <w:tab/>
            </w:r>
            <w:r w:rsidR="00267426">
              <w:rPr>
                <w:noProof/>
                <w:webHidden/>
              </w:rPr>
              <w:fldChar w:fldCharType="begin"/>
            </w:r>
            <w:r w:rsidR="00267426">
              <w:rPr>
                <w:noProof/>
                <w:webHidden/>
              </w:rPr>
              <w:instrText xml:space="preserve"> PAGEREF _Toc84430809 \h </w:instrText>
            </w:r>
            <w:r w:rsidR="00267426">
              <w:rPr>
                <w:noProof/>
                <w:webHidden/>
              </w:rPr>
            </w:r>
            <w:r w:rsidR="00267426">
              <w:rPr>
                <w:noProof/>
                <w:webHidden/>
              </w:rPr>
              <w:fldChar w:fldCharType="separate"/>
            </w:r>
            <w:r w:rsidR="00997E3F">
              <w:rPr>
                <w:noProof/>
                <w:webHidden/>
              </w:rPr>
              <w:t>7</w:t>
            </w:r>
            <w:r w:rsidR="00267426">
              <w:rPr>
                <w:noProof/>
                <w:webHidden/>
              </w:rPr>
              <w:fldChar w:fldCharType="end"/>
            </w:r>
          </w:hyperlink>
        </w:p>
        <w:p w14:paraId="7FE31567"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0" w:history="1">
            <w:r w:rsidR="00267426" w:rsidRPr="00781F54">
              <w:rPr>
                <w:rStyle w:val="Hyperlink"/>
                <w:noProof/>
              </w:rPr>
              <w:t>Complaint Activity</w:t>
            </w:r>
            <w:r w:rsidR="00267426">
              <w:rPr>
                <w:noProof/>
                <w:webHidden/>
              </w:rPr>
              <w:tab/>
            </w:r>
            <w:r w:rsidR="00267426">
              <w:rPr>
                <w:noProof/>
                <w:webHidden/>
              </w:rPr>
              <w:fldChar w:fldCharType="begin"/>
            </w:r>
            <w:r w:rsidR="00267426">
              <w:rPr>
                <w:noProof/>
                <w:webHidden/>
              </w:rPr>
              <w:instrText xml:space="preserve"> PAGEREF _Toc84430810 \h </w:instrText>
            </w:r>
            <w:r w:rsidR="00267426">
              <w:rPr>
                <w:noProof/>
                <w:webHidden/>
              </w:rPr>
            </w:r>
            <w:r w:rsidR="00267426">
              <w:rPr>
                <w:noProof/>
                <w:webHidden/>
              </w:rPr>
              <w:fldChar w:fldCharType="separate"/>
            </w:r>
            <w:r w:rsidR="00997E3F">
              <w:rPr>
                <w:noProof/>
                <w:webHidden/>
              </w:rPr>
              <w:t>7</w:t>
            </w:r>
            <w:r w:rsidR="00267426">
              <w:rPr>
                <w:noProof/>
                <w:webHidden/>
              </w:rPr>
              <w:fldChar w:fldCharType="end"/>
            </w:r>
          </w:hyperlink>
        </w:p>
        <w:p w14:paraId="45B91A10"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1" w:history="1">
            <w:r w:rsidR="00267426" w:rsidRPr="00781F54">
              <w:rPr>
                <w:rStyle w:val="Hyperlink"/>
                <w:noProof/>
              </w:rPr>
              <w:t>Proposed Wind Farms versus Operating Wind Farms</w:t>
            </w:r>
            <w:r w:rsidR="00267426">
              <w:rPr>
                <w:noProof/>
                <w:webHidden/>
              </w:rPr>
              <w:tab/>
            </w:r>
            <w:r w:rsidR="00267426">
              <w:rPr>
                <w:noProof/>
                <w:webHidden/>
              </w:rPr>
              <w:fldChar w:fldCharType="begin"/>
            </w:r>
            <w:r w:rsidR="00267426">
              <w:rPr>
                <w:noProof/>
                <w:webHidden/>
              </w:rPr>
              <w:instrText xml:space="preserve"> PAGEREF _Toc84430811 \h </w:instrText>
            </w:r>
            <w:r w:rsidR="00267426">
              <w:rPr>
                <w:noProof/>
                <w:webHidden/>
              </w:rPr>
            </w:r>
            <w:r w:rsidR="00267426">
              <w:rPr>
                <w:noProof/>
                <w:webHidden/>
              </w:rPr>
              <w:fldChar w:fldCharType="separate"/>
            </w:r>
            <w:r w:rsidR="00997E3F">
              <w:rPr>
                <w:noProof/>
                <w:webHidden/>
              </w:rPr>
              <w:t>8</w:t>
            </w:r>
            <w:r w:rsidR="00267426">
              <w:rPr>
                <w:noProof/>
                <w:webHidden/>
              </w:rPr>
              <w:fldChar w:fldCharType="end"/>
            </w:r>
          </w:hyperlink>
        </w:p>
        <w:p w14:paraId="6929A536"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2" w:history="1">
            <w:r w:rsidR="00267426" w:rsidRPr="00781F54">
              <w:rPr>
                <w:rStyle w:val="Hyperlink"/>
                <w:noProof/>
              </w:rPr>
              <w:t>Operating wind farms – overview 2015-2020</w:t>
            </w:r>
            <w:r w:rsidR="00267426">
              <w:rPr>
                <w:noProof/>
                <w:webHidden/>
              </w:rPr>
              <w:tab/>
            </w:r>
            <w:r w:rsidR="00267426">
              <w:rPr>
                <w:noProof/>
                <w:webHidden/>
              </w:rPr>
              <w:fldChar w:fldCharType="begin"/>
            </w:r>
            <w:r w:rsidR="00267426">
              <w:rPr>
                <w:noProof/>
                <w:webHidden/>
              </w:rPr>
              <w:instrText xml:space="preserve"> PAGEREF _Toc84430812 \h </w:instrText>
            </w:r>
            <w:r w:rsidR="00267426">
              <w:rPr>
                <w:noProof/>
                <w:webHidden/>
              </w:rPr>
            </w:r>
            <w:r w:rsidR="00267426">
              <w:rPr>
                <w:noProof/>
                <w:webHidden/>
              </w:rPr>
              <w:fldChar w:fldCharType="separate"/>
            </w:r>
            <w:r w:rsidR="00997E3F">
              <w:rPr>
                <w:noProof/>
                <w:webHidden/>
              </w:rPr>
              <w:t>9</w:t>
            </w:r>
            <w:r w:rsidR="00267426">
              <w:rPr>
                <w:noProof/>
                <w:webHidden/>
              </w:rPr>
              <w:fldChar w:fldCharType="end"/>
            </w:r>
          </w:hyperlink>
        </w:p>
        <w:p w14:paraId="7DB3FACE"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3" w:history="1">
            <w:r w:rsidR="00267426" w:rsidRPr="00781F54">
              <w:rPr>
                <w:rStyle w:val="Hyperlink"/>
                <w:noProof/>
              </w:rPr>
              <w:t>Proposed wind farms – overview 2015-2020</w:t>
            </w:r>
            <w:r w:rsidR="00267426">
              <w:rPr>
                <w:noProof/>
                <w:webHidden/>
              </w:rPr>
              <w:tab/>
            </w:r>
            <w:r w:rsidR="00267426">
              <w:rPr>
                <w:noProof/>
                <w:webHidden/>
              </w:rPr>
              <w:fldChar w:fldCharType="begin"/>
            </w:r>
            <w:r w:rsidR="00267426">
              <w:rPr>
                <w:noProof/>
                <w:webHidden/>
              </w:rPr>
              <w:instrText xml:space="preserve"> PAGEREF _Toc84430813 \h </w:instrText>
            </w:r>
            <w:r w:rsidR="00267426">
              <w:rPr>
                <w:noProof/>
                <w:webHidden/>
              </w:rPr>
            </w:r>
            <w:r w:rsidR="00267426">
              <w:rPr>
                <w:noProof/>
                <w:webHidden/>
              </w:rPr>
              <w:fldChar w:fldCharType="separate"/>
            </w:r>
            <w:r w:rsidR="00997E3F">
              <w:rPr>
                <w:noProof/>
                <w:webHidden/>
              </w:rPr>
              <w:t>10</w:t>
            </w:r>
            <w:r w:rsidR="00267426">
              <w:rPr>
                <w:noProof/>
                <w:webHidden/>
              </w:rPr>
              <w:fldChar w:fldCharType="end"/>
            </w:r>
          </w:hyperlink>
        </w:p>
        <w:p w14:paraId="7CA9AA24"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4" w:history="1">
            <w:r w:rsidR="00267426" w:rsidRPr="00781F54">
              <w:rPr>
                <w:rStyle w:val="Hyperlink"/>
                <w:noProof/>
              </w:rPr>
              <w:t>Operating wind farms in 2020</w:t>
            </w:r>
            <w:r w:rsidR="00267426">
              <w:rPr>
                <w:noProof/>
                <w:webHidden/>
              </w:rPr>
              <w:tab/>
            </w:r>
            <w:r w:rsidR="00267426">
              <w:rPr>
                <w:noProof/>
                <w:webHidden/>
              </w:rPr>
              <w:fldChar w:fldCharType="begin"/>
            </w:r>
            <w:r w:rsidR="00267426">
              <w:rPr>
                <w:noProof/>
                <w:webHidden/>
              </w:rPr>
              <w:instrText xml:space="preserve"> PAGEREF _Toc84430814 \h </w:instrText>
            </w:r>
            <w:r w:rsidR="00267426">
              <w:rPr>
                <w:noProof/>
                <w:webHidden/>
              </w:rPr>
            </w:r>
            <w:r w:rsidR="00267426">
              <w:rPr>
                <w:noProof/>
                <w:webHidden/>
              </w:rPr>
              <w:fldChar w:fldCharType="separate"/>
            </w:r>
            <w:r w:rsidR="00997E3F">
              <w:rPr>
                <w:noProof/>
                <w:webHidden/>
              </w:rPr>
              <w:t>11</w:t>
            </w:r>
            <w:r w:rsidR="00267426">
              <w:rPr>
                <w:noProof/>
                <w:webHidden/>
              </w:rPr>
              <w:fldChar w:fldCharType="end"/>
            </w:r>
          </w:hyperlink>
        </w:p>
        <w:p w14:paraId="13F12A48"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5" w:history="1">
            <w:r w:rsidR="00267426" w:rsidRPr="00781F54">
              <w:rPr>
                <w:rStyle w:val="Hyperlink"/>
                <w:noProof/>
              </w:rPr>
              <w:t>Proposed wind farms in 2020</w:t>
            </w:r>
            <w:r w:rsidR="00267426">
              <w:rPr>
                <w:noProof/>
                <w:webHidden/>
              </w:rPr>
              <w:tab/>
            </w:r>
            <w:r w:rsidR="00267426">
              <w:rPr>
                <w:noProof/>
                <w:webHidden/>
              </w:rPr>
              <w:fldChar w:fldCharType="begin"/>
            </w:r>
            <w:r w:rsidR="00267426">
              <w:rPr>
                <w:noProof/>
                <w:webHidden/>
              </w:rPr>
              <w:instrText xml:space="preserve"> PAGEREF _Toc84430815 \h </w:instrText>
            </w:r>
            <w:r w:rsidR="00267426">
              <w:rPr>
                <w:noProof/>
                <w:webHidden/>
              </w:rPr>
            </w:r>
            <w:r w:rsidR="00267426">
              <w:rPr>
                <w:noProof/>
                <w:webHidden/>
              </w:rPr>
              <w:fldChar w:fldCharType="separate"/>
            </w:r>
            <w:r w:rsidR="00997E3F">
              <w:rPr>
                <w:noProof/>
                <w:webHidden/>
              </w:rPr>
              <w:t>11</w:t>
            </w:r>
            <w:r w:rsidR="00267426">
              <w:rPr>
                <w:noProof/>
                <w:webHidden/>
              </w:rPr>
              <w:fldChar w:fldCharType="end"/>
            </w:r>
          </w:hyperlink>
        </w:p>
        <w:p w14:paraId="25EFC1BB"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6" w:history="1">
            <w:r w:rsidR="00267426" w:rsidRPr="00781F54">
              <w:rPr>
                <w:rStyle w:val="Hyperlink"/>
                <w:noProof/>
              </w:rPr>
              <w:t>Solar farms and energy storage – overview 2018-2020</w:t>
            </w:r>
            <w:r w:rsidR="00267426">
              <w:rPr>
                <w:noProof/>
                <w:webHidden/>
              </w:rPr>
              <w:tab/>
            </w:r>
            <w:r w:rsidR="00267426">
              <w:rPr>
                <w:noProof/>
                <w:webHidden/>
              </w:rPr>
              <w:fldChar w:fldCharType="begin"/>
            </w:r>
            <w:r w:rsidR="00267426">
              <w:rPr>
                <w:noProof/>
                <w:webHidden/>
              </w:rPr>
              <w:instrText xml:space="preserve"> PAGEREF _Toc84430816 \h </w:instrText>
            </w:r>
            <w:r w:rsidR="00267426">
              <w:rPr>
                <w:noProof/>
                <w:webHidden/>
              </w:rPr>
            </w:r>
            <w:r w:rsidR="00267426">
              <w:rPr>
                <w:noProof/>
                <w:webHidden/>
              </w:rPr>
              <w:fldChar w:fldCharType="separate"/>
            </w:r>
            <w:r w:rsidR="00997E3F">
              <w:rPr>
                <w:noProof/>
                <w:webHidden/>
              </w:rPr>
              <w:t>12</w:t>
            </w:r>
            <w:r w:rsidR="00267426">
              <w:rPr>
                <w:noProof/>
                <w:webHidden/>
              </w:rPr>
              <w:fldChar w:fldCharType="end"/>
            </w:r>
          </w:hyperlink>
        </w:p>
        <w:p w14:paraId="79E7F7E6"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7" w:history="1">
            <w:r w:rsidR="00267426" w:rsidRPr="00781F54">
              <w:rPr>
                <w:rStyle w:val="Hyperlink"/>
                <w:noProof/>
              </w:rPr>
              <w:t>Resolutions and Closure in 2020</w:t>
            </w:r>
            <w:r w:rsidR="00267426">
              <w:rPr>
                <w:noProof/>
                <w:webHidden/>
              </w:rPr>
              <w:tab/>
            </w:r>
            <w:r w:rsidR="00267426">
              <w:rPr>
                <w:noProof/>
                <w:webHidden/>
              </w:rPr>
              <w:fldChar w:fldCharType="begin"/>
            </w:r>
            <w:r w:rsidR="00267426">
              <w:rPr>
                <w:noProof/>
                <w:webHidden/>
              </w:rPr>
              <w:instrText xml:space="preserve"> PAGEREF _Toc84430817 \h </w:instrText>
            </w:r>
            <w:r w:rsidR="00267426">
              <w:rPr>
                <w:noProof/>
                <w:webHidden/>
              </w:rPr>
            </w:r>
            <w:r w:rsidR="00267426">
              <w:rPr>
                <w:noProof/>
                <w:webHidden/>
              </w:rPr>
              <w:fldChar w:fldCharType="separate"/>
            </w:r>
            <w:r w:rsidR="00997E3F">
              <w:rPr>
                <w:noProof/>
                <w:webHidden/>
              </w:rPr>
              <w:t>12</w:t>
            </w:r>
            <w:r w:rsidR="00267426">
              <w:rPr>
                <w:noProof/>
                <w:webHidden/>
              </w:rPr>
              <w:fldChar w:fldCharType="end"/>
            </w:r>
          </w:hyperlink>
        </w:p>
        <w:p w14:paraId="531E3202"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18" w:history="1">
            <w:r w:rsidR="00267426" w:rsidRPr="00781F54">
              <w:rPr>
                <w:rStyle w:val="Hyperlink"/>
                <w:noProof/>
              </w:rPr>
              <w:t>Key observations on complaint handling and issues raised in 2020</w:t>
            </w:r>
            <w:r w:rsidR="00267426">
              <w:rPr>
                <w:noProof/>
                <w:webHidden/>
              </w:rPr>
              <w:tab/>
            </w:r>
            <w:r w:rsidR="00267426">
              <w:rPr>
                <w:noProof/>
                <w:webHidden/>
              </w:rPr>
              <w:fldChar w:fldCharType="begin"/>
            </w:r>
            <w:r w:rsidR="00267426">
              <w:rPr>
                <w:noProof/>
                <w:webHidden/>
              </w:rPr>
              <w:instrText xml:space="preserve"> PAGEREF _Toc84430818 \h </w:instrText>
            </w:r>
            <w:r w:rsidR="00267426">
              <w:rPr>
                <w:noProof/>
                <w:webHidden/>
              </w:rPr>
            </w:r>
            <w:r w:rsidR="00267426">
              <w:rPr>
                <w:noProof/>
                <w:webHidden/>
              </w:rPr>
              <w:fldChar w:fldCharType="separate"/>
            </w:r>
            <w:r w:rsidR="00997E3F">
              <w:rPr>
                <w:noProof/>
                <w:webHidden/>
              </w:rPr>
              <w:t>13</w:t>
            </w:r>
            <w:r w:rsidR="00267426">
              <w:rPr>
                <w:noProof/>
                <w:webHidden/>
              </w:rPr>
              <w:fldChar w:fldCharType="end"/>
            </w:r>
          </w:hyperlink>
        </w:p>
        <w:p w14:paraId="48714F84" w14:textId="77777777" w:rsidR="00267426" w:rsidRDefault="00F72FA4">
          <w:pPr>
            <w:pStyle w:val="TOC1"/>
            <w:rPr>
              <w:rFonts w:eastAsiaTheme="minorEastAsia" w:cstheme="minorBidi"/>
              <w:b w:val="0"/>
              <w:bCs w:val="0"/>
              <w:caps w:val="0"/>
              <w:noProof/>
              <w:sz w:val="22"/>
              <w:szCs w:val="22"/>
              <w:lang w:eastAsia="en-AU"/>
            </w:rPr>
          </w:pPr>
          <w:hyperlink w:anchor="_Toc84430819" w:history="1">
            <w:r w:rsidR="00267426" w:rsidRPr="00781F54">
              <w:rPr>
                <w:rStyle w:val="Hyperlink"/>
                <w:noProof/>
              </w:rPr>
              <w:t>Stakeholder Engagement</w:t>
            </w:r>
            <w:r w:rsidR="00267426">
              <w:rPr>
                <w:noProof/>
                <w:webHidden/>
              </w:rPr>
              <w:tab/>
            </w:r>
            <w:r w:rsidR="00267426">
              <w:rPr>
                <w:noProof/>
                <w:webHidden/>
              </w:rPr>
              <w:fldChar w:fldCharType="begin"/>
            </w:r>
            <w:r w:rsidR="00267426">
              <w:rPr>
                <w:noProof/>
                <w:webHidden/>
              </w:rPr>
              <w:instrText xml:space="preserve"> PAGEREF _Toc84430819 \h </w:instrText>
            </w:r>
            <w:r w:rsidR="00267426">
              <w:rPr>
                <w:noProof/>
                <w:webHidden/>
              </w:rPr>
            </w:r>
            <w:r w:rsidR="00267426">
              <w:rPr>
                <w:noProof/>
                <w:webHidden/>
              </w:rPr>
              <w:fldChar w:fldCharType="separate"/>
            </w:r>
            <w:r w:rsidR="00997E3F">
              <w:rPr>
                <w:noProof/>
                <w:webHidden/>
              </w:rPr>
              <w:t>15</w:t>
            </w:r>
            <w:r w:rsidR="00267426">
              <w:rPr>
                <w:noProof/>
                <w:webHidden/>
              </w:rPr>
              <w:fldChar w:fldCharType="end"/>
            </w:r>
          </w:hyperlink>
        </w:p>
        <w:p w14:paraId="3E045E29"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20" w:history="1">
            <w:r w:rsidR="00267426" w:rsidRPr="00781F54">
              <w:rPr>
                <w:rStyle w:val="Hyperlink"/>
                <w:noProof/>
              </w:rPr>
              <w:t>Communities and residents</w:t>
            </w:r>
            <w:r w:rsidR="00267426">
              <w:rPr>
                <w:noProof/>
                <w:webHidden/>
              </w:rPr>
              <w:tab/>
            </w:r>
            <w:r w:rsidR="00267426">
              <w:rPr>
                <w:noProof/>
                <w:webHidden/>
              </w:rPr>
              <w:fldChar w:fldCharType="begin"/>
            </w:r>
            <w:r w:rsidR="00267426">
              <w:rPr>
                <w:noProof/>
                <w:webHidden/>
              </w:rPr>
              <w:instrText xml:space="preserve"> PAGEREF _Toc84430820 \h </w:instrText>
            </w:r>
            <w:r w:rsidR="00267426">
              <w:rPr>
                <w:noProof/>
                <w:webHidden/>
              </w:rPr>
            </w:r>
            <w:r w:rsidR="00267426">
              <w:rPr>
                <w:noProof/>
                <w:webHidden/>
              </w:rPr>
              <w:fldChar w:fldCharType="separate"/>
            </w:r>
            <w:r w:rsidR="00997E3F">
              <w:rPr>
                <w:noProof/>
                <w:webHidden/>
              </w:rPr>
              <w:t>15</w:t>
            </w:r>
            <w:r w:rsidR="00267426">
              <w:rPr>
                <w:noProof/>
                <w:webHidden/>
              </w:rPr>
              <w:fldChar w:fldCharType="end"/>
            </w:r>
          </w:hyperlink>
        </w:p>
        <w:p w14:paraId="489D1141"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21" w:history="1">
            <w:r w:rsidR="00267426" w:rsidRPr="00781F54">
              <w:rPr>
                <w:rStyle w:val="Hyperlink"/>
                <w:noProof/>
              </w:rPr>
              <w:t>Project site visits</w:t>
            </w:r>
            <w:r w:rsidR="00267426">
              <w:rPr>
                <w:noProof/>
                <w:webHidden/>
              </w:rPr>
              <w:tab/>
            </w:r>
            <w:r w:rsidR="00267426">
              <w:rPr>
                <w:noProof/>
                <w:webHidden/>
              </w:rPr>
              <w:fldChar w:fldCharType="begin"/>
            </w:r>
            <w:r w:rsidR="00267426">
              <w:rPr>
                <w:noProof/>
                <w:webHidden/>
              </w:rPr>
              <w:instrText xml:space="preserve"> PAGEREF _Toc84430821 \h </w:instrText>
            </w:r>
            <w:r w:rsidR="00267426">
              <w:rPr>
                <w:noProof/>
                <w:webHidden/>
              </w:rPr>
            </w:r>
            <w:r w:rsidR="00267426">
              <w:rPr>
                <w:noProof/>
                <w:webHidden/>
              </w:rPr>
              <w:fldChar w:fldCharType="separate"/>
            </w:r>
            <w:r w:rsidR="00997E3F">
              <w:rPr>
                <w:noProof/>
                <w:webHidden/>
              </w:rPr>
              <w:t>15</w:t>
            </w:r>
            <w:r w:rsidR="00267426">
              <w:rPr>
                <w:noProof/>
                <w:webHidden/>
              </w:rPr>
              <w:fldChar w:fldCharType="end"/>
            </w:r>
          </w:hyperlink>
        </w:p>
        <w:p w14:paraId="4CABB398"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22" w:history="1">
            <w:r w:rsidR="00267426" w:rsidRPr="00781F54">
              <w:rPr>
                <w:rStyle w:val="Hyperlink"/>
                <w:noProof/>
              </w:rPr>
              <w:t>Industry</w:t>
            </w:r>
            <w:r w:rsidR="00267426">
              <w:rPr>
                <w:noProof/>
                <w:webHidden/>
              </w:rPr>
              <w:tab/>
            </w:r>
            <w:r w:rsidR="00267426">
              <w:rPr>
                <w:noProof/>
                <w:webHidden/>
              </w:rPr>
              <w:fldChar w:fldCharType="begin"/>
            </w:r>
            <w:r w:rsidR="00267426">
              <w:rPr>
                <w:noProof/>
                <w:webHidden/>
              </w:rPr>
              <w:instrText xml:space="preserve"> PAGEREF _Toc84430822 \h </w:instrText>
            </w:r>
            <w:r w:rsidR="00267426">
              <w:rPr>
                <w:noProof/>
                <w:webHidden/>
              </w:rPr>
            </w:r>
            <w:r w:rsidR="00267426">
              <w:rPr>
                <w:noProof/>
                <w:webHidden/>
              </w:rPr>
              <w:fldChar w:fldCharType="separate"/>
            </w:r>
            <w:r w:rsidR="00997E3F">
              <w:rPr>
                <w:noProof/>
                <w:webHidden/>
              </w:rPr>
              <w:t>15</w:t>
            </w:r>
            <w:r w:rsidR="00267426">
              <w:rPr>
                <w:noProof/>
                <w:webHidden/>
              </w:rPr>
              <w:fldChar w:fldCharType="end"/>
            </w:r>
          </w:hyperlink>
        </w:p>
        <w:p w14:paraId="7215A4E8"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23" w:history="1">
            <w:r w:rsidR="00267426" w:rsidRPr="00781F54">
              <w:rPr>
                <w:rStyle w:val="Hyperlink"/>
                <w:noProof/>
              </w:rPr>
              <w:t>Government</w:t>
            </w:r>
            <w:r w:rsidR="00267426">
              <w:rPr>
                <w:noProof/>
                <w:webHidden/>
              </w:rPr>
              <w:tab/>
            </w:r>
            <w:r w:rsidR="00267426">
              <w:rPr>
                <w:noProof/>
                <w:webHidden/>
              </w:rPr>
              <w:fldChar w:fldCharType="begin"/>
            </w:r>
            <w:r w:rsidR="00267426">
              <w:rPr>
                <w:noProof/>
                <w:webHidden/>
              </w:rPr>
              <w:instrText xml:space="preserve"> PAGEREF _Toc84430823 \h </w:instrText>
            </w:r>
            <w:r w:rsidR="00267426">
              <w:rPr>
                <w:noProof/>
                <w:webHidden/>
              </w:rPr>
            </w:r>
            <w:r w:rsidR="00267426">
              <w:rPr>
                <w:noProof/>
                <w:webHidden/>
              </w:rPr>
              <w:fldChar w:fldCharType="separate"/>
            </w:r>
            <w:r w:rsidR="00997E3F">
              <w:rPr>
                <w:noProof/>
                <w:webHidden/>
              </w:rPr>
              <w:t>17</w:t>
            </w:r>
            <w:r w:rsidR="00267426">
              <w:rPr>
                <w:noProof/>
                <w:webHidden/>
              </w:rPr>
              <w:fldChar w:fldCharType="end"/>
            </w:r>
          </w:hyperlink>
        </w:p>
        <w:p w14:paraId="43645E8E"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24" w:history="1">
            <w:r w:rsidR="00267426" w:rsidRPr="00781F54">
              <w:rPr>
                <w:rStyle w:val="Hyperlink"/>
                <w:noProof/>
              </w:rPr>
              <w:t>Universities and Experts</w:t>
            </w:r>
            <w:r w:rsidR="00267426">
              <w:rPr>
                <w:noProof/>
                <w:webHidden/>
              </w:rPr>
              <w:tab/>
            </w:r>
            <w:r w:rsidR="00267426">
              <w:rPr>
                <w:noProof/>
                <w:webHidden/>
              </w:rPr>
              <w:fldChar w:fldCharType="begin"/>
            </w:r>
            <w:r w:rsidR="00267426">
              <w:rPr>
                <w:noProof/>
                <w:webHidden/>
              </w:rPr>
              <w:instrText xml:space="preserve"> PAGEREF _Toc84430824 \h </w:instrText>
            </w:r>
            <w:r w:rsidR="00267426">
              <w:rPr>
                <w:noProof/>
                <w:webHidden/>
              </w:rPr>
            </w:r>
            <w:r w:rsidR="00267426">
              <w:rPr>
                <w:noProof/>
                <w:webHidden/>
              </w:rPr>
              <w:fldChar w:fldCharType="separate"/>
            </w:r>
            <w:r w:rsidR="00997E3F">
              <w:rPr>
                <w:noProof/>
                <w:webHidden/>
              </w:rPr>
              <w:t>18</w:t>
            </w:r>
            <w:r w:rsidR="00267426">
              <w:rPr>
                <w:noProof/>
                <w:webHidden/>
              </w:rPr>
              <w:fldChar w:fldCharType="end"/>
            </w:r>
          </w:hyperlink>
        </w:p>
        <w:p w14:paraId="7C8C343D"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25" w:history="1">
            <w:r w:rsidR="00267426" w:rsidRPr="00781F54">
              <w:rPr>
                <w:rStyle w:val="Hyperlink"/>
                <w:noProof/>
                <w:lang w:eastAsia="en-AU"/>
              </w:rPr>
              <w:t>Other stakeholders</w:t>
            </w:r>
            <w:r w:rsidR="00267426">
              <w:rPr>
                <w:noProof/>
                <w:webHidden/>
              </w:rPr>
              <w:tab/>
            </w:r>
            <w:r w:rsidR="00267426">
              <w:rPr>
                <w:noProof/>
                <w:webHidden/>
              </w:rPr>
              <w:fldChar w:fldCharType="begin"/>
            </w:r>
            <w:r w:rsidR="00267426">
              <w:rPr>
                <w:noProof/>
                <w:webHidden/>
              </w:rPr>
              <w:instrText xml:space="preserve"> PAGEREF _Toc84430825 \h </w:instrText>
            </w:r>
            <w:r w:rsidR="00267426">
              <w:rPr>
                <w:noProof/>
                <w:webHidden/>
              </w:rPr>
            </w:r>
            <w:r w:rsidR="00267426">
              <w:rPr>
                <w:noProof/>
                <w:webHidden/>
              </w:rPr>
              <w:fldChar w:fldCharType="separate"/>
            </w:r>
            <w:r w:rsidR="00997E3F">
              <w:rPr>
                <w:noProof/>
                <w:webHidden/>
              </w:rPr>
              <w:t>18</w:t>
            </w:r>
            <w:r w:rsidR="00267426">
              <w:rPr>
                <w:noProof/>
                <w:webHidden/>
              </w:rPr>
              <w:fldChar w:fldCharType="end"/>
            </w:r>
          </w:hyperlink>
        </w:p>
        <w:p w14:paraId="29BD1361" w14:textId="77777777" w:rsidR="00267426" w:rsidRDefault="00F72FA4">
          <w:pPr>
            <w:pStyle w:val="TOC2"/>
            <w:tabs>
              <w:tab w:val="right" w:leader="dot" w:pos="10456"/>
            </w:tabs>
            <w:rPr>
              <w:rFonts w:eastAsiaTheme="minorEastAsia" w:cstheme="minorBidi"/>
              <w:smallCaps w:val="0"/>
              <w:noProof/>
              <w:sz w:val="22"/>
              <w:szCs w:val="22"/>
              <w:lang w:eastAsia="en-AU"/>
            </w:rPr>
          </w:pPr>
          <w:hyperlink w:anchor="_Toc84430826" w:history="1">
            <w:r w:rsidR="00267426" w:rsidRPr="00781F54">
              <w:rPr>
                <w:rStyle w:val="Hyperlink"/>
                <w:noProof/>
              </w:rPr>
              <w:t>Commissioner’s Website</w:t>
            </w:r>
            <w:r w:rsidR="00267426">
              <w:rPr>
                <w:noProof/>
                <w:webHidden/>
              </w:rPr>
              <w:tab/>
            </w:r>
            <w:r w:rsidR="00267426">
              <w:rPr>
                <w:noProof/>
                <w:webHidden/>
              </w:rPr>
              <w:fldChar w:fldCharType="begin"/>
            </w:r>
            <w:r w:rsidR="00267426">
              <w:rPr>
                <w:noProof/>
                <w:webHidden/>
              </w:rPr>
              <w:instrText xml:space="preserve"> PAGEREF _Toc84430826 \h </w:instrText>
            </w:r>
            <w:r w:rsidR="00267426">
              <w:rPr>
                <w:noProof/>
                <w:webHidden/>
              </w:rPr>
            </w:r>
            <w:r w:rsidR="00267426">
              <w:rPr>
                <w:noProof/>
                <w:webHidden/>
              </w:rPr>
              <w:fldChar w:fldCharType="separate"/>
            </w:r>
            <w:r w:rsidR="00997E3F">
              <w:rPr>
                <w:noProof/>
                <w:webHidden/>
              </w:rPr>
              <w:t>19</w:t>
            </w:r>
            <w:r w:rsidR="00267426">
              <w:rPr>
                <w:noProof/>
                <w:webHidden/>
              </w:rPr>
              <w:fldChar w:fldCharType="end"/>
            </w:r>
          </w:hyperlink>
        </w:p>
        <w:p w14:paraId="559D3698" w14:textId="77777777" w:rsidR="00267426" w:rsidRDefault="00F72FA4">
          <w:pPr>
            <w:pStyle w:val="TOC1"/>
            <w:rPr>
              <w:rFonts w:eastAsiaTheme="minorEastAsia" w:cstheme="minorBidi"/>
              <w:b w:val="0"/>
              <w:bCs w:val="0"/>
              <w:caps w:val="0"/>
              <w:noProof/>
              <w:sz w:val="22"/>
              <w:szCs w:val="22"/>
              <w:lang w:eastAsia="en-AU"/>
            </w:rPr>
          </w:pPr>
          <w:hyperlink w:anchor="_Toc84430827" w:history="1">
            <w:r w:rsidR="00267426" w:rsidRPr="00781F54">
              <w:rPr>
                <w:rStyle w:val="Hyperlink"/>
                <w:noProof/>
              </w:rPr>
              <w:t>Reforms and advocacy</w:t>
            </w:r>
            <w:r w:rsidR="00267426">
              <w:rPr>
                <w:noProof/>
                <w:webHidden/>
              </w:rPr>
              <w:tab/>
            </w:r>
            <w:r w:rsidR="00267426">
              <w:rPr>
                <w:noProof/>
                <w:webHidden/>
              </w:rPr>
              <w:fldChar w:fldCharType="begin"/>
            </w:r>
            <w:r w:rsidR="00267426">
              <w:rPr>
                <w:noProof/>
                <w:webHidden/>
              </w:rPr>
              <w:instrText xml:space="preserve"> PAGEREF _Toc84430827 \h </w:instrText>
            </w:r>
            <w:r w:rsidR="00267426">
              <w:rPr>
                <w:noProof/>
                <w:webHidden/>
              </w:rPr>
            </w:r>
            <w:r w:rsidR="00267426">
              <w:rPr>
                <w:noProof/>
                <w:webHidden/>
              </w:rPr>
              <w:fldChar w:fldCharType="separate"/>
            </w:r>
            <w:r w:rsidR="00997E3F">
              <w:rPr>
                <w:noProof/>
                <w:webHidden/>
              </w:rPr>
              <w:t>20</w:t>
            </w:r>
            <w:r w:rsidR="00267426">
              <w:rPr>
                <w:noProof/>
                <w:webHidden/>
              </w:rPr>
              <w:fldChar w:fldCharType="end"/>
            </w:r>
          </w:hyperlink>
        </w:p>
        <w:p w14:paraId="0B445491" w14:textId="77777777" w:rsidR="00267426" w:rsidRDefault="00F72FA4">
          <w:pPr>
            <w:pStyle w:val="TOC1"/>
            <w:rPr>
              <w:rFonts w:eastAsiaTheme="minorEastAsia" w:cstheme="minorBidi"/>
              <w:b w:val="0"/>
              <w:bCs w:val="0"/>
              <w:caps w:val="0"/>
              <w:noProof/>
              <w:sz w:val="22"/>
              <w:szCs w:val="22"/>
              <w:lang w:eastAsia="en-AU"/>
            </w:rPr>
          </w:pPr>
          <w:hyperlink w:anchor="_Toc84430828" w:history="1">
            <w:r w:rsidR="00267426" w:rsidRPr="00781F54">
              <w:rPr>
                <w:rStyle w:val="Hyperlink"/>
                <w:noProof/>
              </w:rPr>
              <w:t>APPENDIX A: UPDATED Observations and recommendations - 2020</w:t>
            </w:r>
            <w:r w:rsidR="00267426">
              <w:rPr>
                <w:noProof/>
                <w:webHidden/>
              </w:rPr>
              <w:tab/>
            </w:r>
            <w:r w:rsidR="00267426">
              <w:rPr>
                <w:noProof/>
                <w:webHidden/>
              </w:rPr>
              <w:fldChar w:fldCharType="begin"/>
            </w:r>
            <w:r w:rsidR="00267426">
              <w:rPr>
                <w:noProof/>
                <w:webHidden/>
              </w:rPr>
              <w:instrText xml:space="preserve"> PAGEREF _Toc84430828 \h </w:instrText>
            </w:r>
            <w:r w:rsidR="00267426">
              <w:rPr>
                <w:noProof/>
                <w:webHidden/>
              </w:rPr>
            </w:r>
            <w:r w:rsidR="00267426">
              <w:rPr>
                <w:noProof/>
                <w:webHidden/>
              </w:rPr>
              <w:fldChar w:fldCharType="separate"/>
            </w:r>
            <w:r w:rsidR="00997E3F">
              <w:rPr>
                <w:noProof/>
                <w:webHidden/>
              </w:rPr>
              <w:t>22</w:t>
            </w:r>
            <w:r w:rsidR="00267426">
              <w:rPr>
                <w:noProof/>
                <w:webHidden/>
              </w:rPr>
              <w:fldChar w:fldCharType="end"/>
            </w:r>
          </w:hyperlink>
        </w:p>
        <w:p w14:paraId="576CEF01"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29" w:history="1">
            <w:r w:rsidR="00267426" w:rsidRPr="00781F54">
              <w:rPr>
                <w:rStyle w:val="Hyperlink"/>
                <w:noProof/>
              </w:rPr>
              <w:t>1.</w:t>
            </w:r>
            <w:r w:rsidR="00267426">
              <w:rPr>
                <w:rFonts w:eastAsiaTheme="minorEastAsia" w:cstheme="minorBidi"/>
                <w:smallCaps w:val="0"/>
                <w:noProof/>
                <w:sz w:val="22"/>
                <w:szCs w:val="22"/>
                <w:lang w:eastAsia="en-AU"/>
              </w:rPr>
              <w:tab/>
            </w:r>
            <w:r w:rsidR="00267426" w:rsidRPr="00781F54">
              <w:rPr>
                <w:rStyle w:val="Hyperlink"/>
                <w:noProof/>
              </w:rPr>
              <w:t>Host Landowner Matters</w:t>
            </w:r>
            <w:r w:rsidR="00267426">
              <w:rPr>
                <w:noProof/>
                <w:webHidden/>
              </w:rPr>
              <w:tab/>
            </w:r>
            <w:r w:rsidR="00267426">
              <w:rPr>
                <w:noProof/>
                <w:webHidden/>
              </w:rPr>
              <w:fldChar w:fldCharType="begin"/>
            </w:r>
            <w:r w:rsidR="00267426">
              <w:rPr>
                <w:noProof/>
                <w:webHidden/>
              </w:rPr>
              <w:instrText xml:space="preserve"> PAGEREF _Toc84430829 \h </w:instrText>
            </w:r>
            <w:r w:rsidR="00267426">
              <w:rPr>
                <w:noProof/>
                <w:webHidden/>
              </w:rPr>
            </w:r>
            <w:r w:rsidR="00267426">
              <w:rPr>
                <w:noProof/>
                <w:webHidden/>
              </w:rPr>
              <w:fldChar w:fldCharType="separate"/>
            </w:r>
            <w:r w:rsidR="00997E3F">
              <w:rPr>
                <w:noProof/>
                <w:webHidden/>
              </w:rPr>
              <w:t>22</w:t>
            </w:r>
            <w:r w:rsidR="00267426">
              <w:rPr>
                <w:noProof/>
                <w:webHidden/>
              </w:rPr>
              <w:fldChar w:fldCharType="end"/>
            </w:r>
          </w:hyperlink>
        </w:p>
        <w:p w14:paraId="0919D946"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30" w:history="1">
            <w:r w:rsidR="00267426" w:rsidRPr="00781F54">
              <w:rPr>
                <w:rStyle w:val="Hyperlink"/>
                <w:noProof/>
              </w:rPr>
              <w:t>2.</w:t>
            </w:r>
            <w:r w:rsidR="00267426">
              <w:rPr>
                <w:rFonts w:eastAsiaTheme="minorEastAsia" w:cstheme="minorBidi"/>
                <w:smallCaps w:val="0"/>
                <w:noProof/>
                <w:sz w:val="22"/>
                <w:szCs w:val="22"/>
                <w:lang w:eastAsia="en-AU"/>
              </w:rPr>
              <w:tab/>
            </w:r>
            <w:r w:rsidR="00267426" w:rsidRPr="00781F54">
              <w:rPr>
                <w:rStyle w:val="Hyperlink"/>
                <w:noProof/>
              </w:rPr>
              <w:t>Neighbour Matters</w:t>
            </w:r>
            <w:r w:rsidR="00267426">
              <w:rPr>
                <w:noProof/>
                <w:webHidden/>
              </w:rPr>
              <w:tab/>
            </w:r>
            <w:r w:rsidR="00267426">
              <w:rPr>
                <w:noProof/>
                <w:webHidden/>
              </w:rPr>
              <w:fldChar w:fldCharType="begin"/>
            </w:r>
            <w:r w:rsidR="00267426">
              <w:rPr>
                <w:noProof/>
                <w:webHidden/>
              </w:rPr>
              <w:instrText xml:space="preserve"> PAGEREF _Toc84430830 \h </w:instrText>
            </w:r>
            <w:r w:rsidR="00267426">
              <w:rPr>
                <w:noProof/>
                <w:webHidden/>
              </w:rPr>
            </w:r>
            <w:r w:rsidR="00267426">
              <w:rPr>
                <w:noProof/>
                <w:webHidden/>
              </w:rPr>
              <w:fldChar w:fldCharType="separate"/>
            </w:r>
            <w:r w:rsidR="00997E3F">
              <w:rPr>
                <w:noProof/>
                <w:webHidden/>
              </w:rPr>
              <w:t>31</w:t>
            </w:r>
            <w:r w:rsidR="00267426">
              <w:rPr>
                <w:noProof/>
                <w:webHidden/>
              </w:rPr>
              <w:fldChar w:fldCharType="end"/>
            </w:r>
          </w:hyperlink>
        </w:p>
        <w:p w14:paraId="3FB11916"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31" w:history="1">
            <w:r w:rsidR="00267426" w:rsidRPr="00781F54">
              <w:rPr>
                <w:rStyle w:val="Hyperlink"/>
                <w:noProof/>
              </w:rPr>
              <w:t>3.</w:t>
            </w:r>
            <w:r w:rsidR="00267426">
              <w:rPr>
                <w:rFonts w:eastAsiaTheme="minorEastAsia" w:cstheme="minorBidi"/>
                <w:smallCaps w:val="0"/>
                <w:noProof/>
                <w:sz w:val="22"/>
                <w:szCs w:val="22"/>
                <w:lang w:eastAsia="en-AU"/>
              </w:rPr>
              <w:tab/>
            </w:r>
            <w:r w:rsidR="00267426" w:rsidRPr="00781F54">
              <w:rPr>
                <w:rStyle w:val="Hyperlink"/>
                <w:noProof/>
              </w:rPr>
              <w:t>Community Engagement</w:t>
            </w:r>
            <w:r w:rsidR="00267426">
              <w:rPr>
                <w:noProof/>
                <w:webHidden/>
              </w:rPr>
              <w:tab/>
            </w:r>
            <w:r w:rsidR="00267426">
              <w:rPr>
                <w:noProof/>
                <w:webHidden/>
              </w:rPr>
              <w:fldChar w:fldCharType="begin"/>
            </w:r>
            <w:r w:rsidR="00267426">
              <w:rPr>
                <w:noProof/>
                <w:webHidden/>
              </w:rPr>
              <w:instrText xml:space="preserve"> PAGEREF _Toc84430831 \h </w:instrText>
            </w:r>
            <w:r w:rsidR="00267426">
              <w:rPr>
                <w:noProof/>
                <w:webHidden/>
              </w:rPr>
            </w:r>
            <w:r w:rsidR="00267426">
              <w:rPr>
                <w:noProof/>
                <w:webHidden/>
              </w:rPr>
              <w:fldChar w:fldCharType="separate"/>
            </w:r>
            <w:r w:rsidR="00997E3F">
              <w:rPr>
                <w:noProof/>
                <w:webHidden/>
              </w:rPr>
              <w:t>34</w:t>
            </w:r>
            <w:r w:rsidR="00267426">
              <w:rPr>
                <w:noProof/>
                <w:webHidden/>
              </w:rPr>
              <w:fldChar w:fldCharType="end"/>
            </w:r>
          </w:hyperlink>
        </w:p>
        <w:p w14:paraId="081C45D9"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32" w:history="1">
            <w:r w:rsidR="00267426" w:rsidRPr="00781F54">
              <w:rPr>
                <w:rStyle w:val="Hyperlink"/>
                <w:noProof/>
              </w:rPr>
              <w:t>4.</w:t>
            </w:r>
            <w:r w:rsidR="00267426">
              <w:rPr>
                <w:rFonts w:eastAsiaTheme="minorEastAsia" w:cstheme="minorBidi"/>
                <w:smallCaps w:val="0"/>
                <w:noProof/>
                <w:sz w:val="22"/>
                <w:szCs w:val="22"/>
                <w:lang w:eastAsia="en-AU"/>
              </w:rPr>
              <w:tab/>
            </w:r>
            <w:r w:rsidR="00267426" w:rsidRPr="00781F54">
              <w:rPr>
                <w:rStyle w:val="Hyperlink"/>
                <w:noProof/>
              </w:rPr>
              <w:t>Planning Permits – Time Limits and Scope Changes</w:t>
            </w:r>
            <w:r w:rsidR="00267426">
              <w:rPr>
                <w:noProof/>
                <w:webHidden/>
              </w:rPr>
              <w:tab/>
            </w:r>
            <w:r w:rsidR="00267426">
              <w:rPr>
                <w:noProof/>
                <w:webHidden/>
              </w:rPr>
              <w:fldChar w:fldCharType="begin"/>
            </w:r>
            <w:r w:rsidR="00267426">
              <w:rPr>
                <w:noProof/>
                <w:webHidden/>
              </w:rPr>
              <w:instrText xml:space="preserve"> PAGEREF _Toc84430832 \h </w:instrText>
            </w:r>
            <w:r w:rsidR="00267426">
              <w:rPr>
                <w:noProof/>
                <w:webHidden/>
              </w:rPr>
            </w:r>
            <w:r w:rsidR="00267426">
              <w:rPr>
                <w:noProof/>
                <w:webHidden/>
              </w:rPr>
              <w:fldChar w:fldCharType="separate"/>
            </w:r>
            <w:r w:rsidR="00997E3F">
              <w:rPr>
                <w:noProof/>
                <w:webHidden/>
              </w:rPr>
              <w:t>38</w:t>
            </w:r>
            <w:r w:rsidR="00267426">
              <w:rPr>
                <w:noProof/>
                <w:webHidden/>
              </w:rPr>
              <w:fldChar w:fldCharType="end"/>
            </w:r>
          </w:hyperlink>
        </w:p>
        <w:p w14:paraId="3FB05C0A"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33" w:history="1">
            <w:r w:rsidR="00267426" w:rsidRPr="00781F54">
              <w:rPr>
                <w:rStyle w:val="Hyperlink"/>
                <w:noProof/>
              </w:rPr>
              <w:t>5.</w:t>
            </w:r>
            <w:r w:rsidR="00267426">
              <w:rPr>
                <w:rFonts w:eastAsiaTheme="minorEastAsia" w:cstheme="minorBidi"/>
                <w:smallCaps w:val="0"/>
                <w:noProof/>
                <w:sz w:val="22"/>
                <w:szCs w:val="22"/>
                <w:lang w:eastAsia="en-AU"/>
              </w:rPr>
              <w:tab/>
            </w:r>
            <w:r w:rsidR="00267426" w:rsidRPr="00781F54">
              <w:rPr>
                <w:rStyle w:val="Hyperlink"/>
                <w:noProof/>
              </w:rPr>
              <w:t>Governance and Compliance of Standards and Permit Conditions</w:t>
            </w:r>
            <w:r w:rsidR="00267426">
              <w:rPr>
                <w:noProof/>
                <w:webHidden/>
              </w:rPr>
              <w:tab/>
            </w:r>
            <w:r w:rsidR="00267426">
              <w:rPr>
                <w:noProof/>
                <w:webHidden/>
              </w:rPr>
              <w:fldChar w:fldCharType="begin"/>
            </w:r>
            <w:r w:rsidR="00267426">
              <w:rPr>
                <w:noProof/>
                <w:webHidden/>
              </w:rPr>
              <w:instrText xml:space="preserve"> PAGEREF _Toc84430833 \h </w:instrText>
            </w:r>
            <w:r w:rsidR="00267426">
              <w:rPr>
                <w:noProof/>
                <w:webHidden/>
              </w:rPr>
            </w:r>
            <w:r w:rsidR="00267426">
              <w:rPr>
                <w:noProof/>
                <w:webHidden/>
              </w:rPr>
              <w:fldChar w:fldCharType="separate"/>
            </w:r>
            <w:r w:rsidR="00997E3F">
              <w:rPr>
                <w:noProof/>
                <w:webHidden/>
              </w:rPr>
              <w:t>43</w:t>
            </w:r>
            <w:r w:rsidR="00267426">
              <w:rPr>
                <w:noProof/>
                <w:webHidden/>
              </w:rPr>
              <w:fldChar w:fldCharType="end"/>
            </w:r>
          </w:hyperlink>
        </w:p>
        <w:p w14:paraId="6BC7CD0A"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34" w:history="1">
            <w:r w:rsidR="00267426" w:rsidRPr="00781F54">
              <w:rPr>
                <w:rStyle w:val="Hyperlink"/>
                <w:noProof/>
              </w:rPr>
              <w:t>6.</w:t>
            </w:r>
            <w:r w:rsidR="00267426">
              <w:rPr>
                <w:rFonts w:eastAsiaTheme="minorEastAsia" w:cstheme="minorBidi"/>
                <w:smallCaps w:val="0"/>
                <w:noProof/>
                <w:sz w:val="22"/>
                <w:szCs w:val="22"/>
                <w:lang w:eastAsia="en-AU"/>
              </w:rPr>
              <w:tab/>
            </w:r>
            <w:r w:rsidR="00267426" w:rsidRPr="00781F54">
              <w:rPr>
                <w:rStyle w:val="Hyperlink"/>
                <w:noProof/>
              </w:rPr>
              <w:t>Use and selection of Experts</w:t>
            </w:r>
            <w:r w:rsidR="00267426">
              <w:rPr>
                <w:noProof/>
                <w:webHidden/>
              </w:rPr>
              <w:tab/>
            </w:r>
            <w:r w:rsidR="00267426">
              <w:rPr>
                <w:noProof/>
                <w:webHidden/>
              </w:rPr>
              <w:fldChar w:fldCharType="begin"/>
            </w:r>
            <w:r w:rsidR="00267426">
              <w:rPr>
                <w:noProof/>
                <w:webHidden/>
              </w:rPr>
              <w:instrText xml:space="preserve"> PAGEREF _Toc84430834 \h </w:instrText>
            </w:r>
            <w:r w:rsidR="00267426">
              <w:rPr>
                <w:noProof/>
                <w:webHidden/>
              </w:rPr>
            </w:r>
            <w:r w:rsidR="00267426">
              <w:rPr>
                <w:noProof/>
                <w:webHidden/>
              </w:rPr>
              <w:fldChar w:fldCharType="separate"/>
            </w:r>
            <w:r w:rsidR="00997E3F">
              <w:rPr>
                <w:noProof/>
                <w:webHidden/>
              </w:rPr>
              <w:t>51</w:t>
            </w:r>
            <w:r w:rsidR="00267426">
              <w:rPr>
                <w:noProof/>
                <w:webHidden/>
              </w:rPr>
              <w:fldChar w:fldCharType="end"/>
            </w:r>
          </w:hyperlink>
        </w:p>
        <w:p w14:paraId="6B11D791"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35" w:history="1">
            <w:r w:rsidR="00267426" w:rsidRPr="00781F54">
              <w:rPr>
                <w:rStyle w:val="Hyperlink"/>
                <w:noProof/>
              </w:rPr>
              <w:t>7.</w:t>
            </w:r>
            <w:r w:rsidR="00267426">
              <w:rPr>
                <w:rFonts w:eastAsiaTheme="minorEastAsia" w:cstheme="minorBidi"/>
                <w:smallCaps w:val="0"/>
                <w:noProof/>
                <w:sz w:val="22"/>
                <w:szCs w:val="22"/>
                <w:lang w:eastAsia="en-AU"/>
              </w:rPr>
              <w:tab/>
            </w:r>
            <w:r w:rsidR="00267426" w:rsidRPr="00781F54">
              <w:rPr>
                <w:rStyle w:val="Hyperlink"/>
                <w:noProof/>
              </w:rPr>
              <w:t>Complaint Handling and Emergency Procedures</w:t>
            </w:r>
            <w:r w:rsidR="00267426">
              <w:rPr>
                <w:noProof/>
                <w:webHidden/>
              </w:rPr>
              <w:tab/>
            </w:r>
            <w:r w:rsidR="00267426">
              <w:rPr>
                <w:noProof/>
                <w:webHidden/>
              </w:rPr>
              <w:fldChar w:fldCharType="begin"/>
            </w:r>
            <w:r w:rsidR="00267426">
              <w:rPr>
                <w:noProof/>
                <w:webHidden/>
              </w:rPr>
              <w:instrText xml:space="preserve"> PAGEREF _Toc84430835 \h </w:instrText>
            </w:r>
            <w:r w:rsidR="00267426">
              <w:rPr>
                <w:noProof/>
                <w:webHidden/>
              </w:rPr>
            </w:r>
            <w:r w:rsidR="00267426">
              <w:rPr>
                <w:noProof/>
                <w:webHidden/>
              </w:rPr>
              <w:fldChar w:fldCharType="separate"/>
            </w:r>
            <w:r w:rsidR="00997E3F">
              <w:rPr>
                <w:noProof/>
                <w:webHidden/>
              </w:rPr>
              <w:t>53</w:t>
            </w:r>
            <w:r w:rsidR="00267426">
              <w:rPr>
                <w:noProof/>
                <w:webHidden/>
              </w:rPr>
              <w:fldChar w:fldCharType="end"/>
            </w:r>
          </w:hyperlink>
        </w:p>
        <w:p w14:paraId="2687B4E9"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36" w:history="1">
            <w:r w:rsidR="00267426" w:rsidRPr="00781F54">
              <w:rPr>
                <w:rStyle w:val="Hyperlink"/>
                <w:noProof/>
              </w:rPr>
              <w:t>8.</w:t>
            </w:r>
            <w:r w:rsidR="00267426">
              <w:rPr>
                <w:rFonts w:eastAsiaTheme="minorEastAsia" w:cstheme="minorBidi"/>
                <w:smallCaps w:val="0"/>
                <w:noProof/>
                <w:sz w:val="22"/>
                <w:szCs w:val="22"/>
                <w:lang w:eastAsia="en-AU"/>
              </w:rPr>
              <w:tab/>
            </w:r>
            <w:r w:rsidR="00267426" w:rsidRPr="00781F54">
              <w:rPr>
                <w:rStyle w:val="Hyperlink"/>
                <w:noProof/>
              </w:rPr>
              <w:t>Site Selection</w:t>
            </w:r>
            <w:r w:rsidR="00267426">
              <w:rPr>
                <w:noProof/>
                <w:webHidden/>
              </w:rPr>
              <w:tab/>
            </w:r>
            <w:r w:rsidR="00267426">
              <w:rPr>
                <w:noProof/>
                <w:webHidden/>
              </w:rPr>
              <w:fldChar w:fldCharType="begin"/>
            </w:r>
            <w:r w:rsidR="00267426">
              <w:rPr>
                <w:noProof/>
                <w:webHidden/>
              </w:rPr>
              <w:instrText xml:space="preserve"> PAGEREF _Toc84430836 \h </w:instrText>
            </w:r>
            <w:r w:rsidR="00267426">
              <w:rPr>
                <w:noProof/>
                <w:webHidden/>
              </w:rPr>
            </w:r>
            <w:r w:rsidR="00267426">
              <w:rPr>
                <w:noProof/>
                <w:webHidden/>
              </w:rPr>
              <w:fldChar w:fldCharType="separate"/>
            </w:r>
            <w:r w:rsidR="00997E3F">
              <w:rPr>
                <w:noProof/>
                <w:webHidden/>
              </w:rPr>
              <w:t>57</w:t>
            </w:r>
            <w:r w:rsidR="00267426">
              <w:rPr>
                <w:noProof/>
                <w:webHidden/>
              </w:rPr>
              <w:fldChar w:fldCharType="end"/>
            </w:r>
          </w:hyperlink>
        </w:p>
        <w:p w14:paraId="3F342364" w14:textId="77777777" w:rsidR="00267426" w:rsidRDefault="00F72FA4">
          <w:pPr>
            <w:pStyle w:val="TOC2"/>
            <w:tabs>
              <w:tab w:val="left" w:pos="660"/>
              <w:tab w:val="right" w:leader="dot" w:pos="10456"/>
            </w:tabs>
            <w:rPr>
              <w:rFonts w:eastAsiaTheme="minorEastAsia" w:cstheme="minorBidi"/>
              <w:smallCaps w:val="0"/>
              <w:noProof/>
              <w:sz w:val="22"/>
              <w:szCs w:val="22"/>
              <w:lang w:eastAsia="en-AU"/>
            </w:rPr>
          </w:pPr>
          <w:hyperlink w:anchor="_Toc84430837" w:history="1">
            <w:r w:rsidR="00267426" w:rsidRPr="00781F54">
              <w:rPr>
                <w:rStyle w:val="Hyperlink"/>
                <w:noProof/>
              </w:rPr>
              <w:t>9.</w:t>
            </w:r>
            <w:r w:rsidR="00267426">
              <w:rPr>
                <w:rFonts w:eastAsiaTheme="minorEastAsia" w:cstheme="minorBidi"/>
                <w:smallCaps w:val="0"/>
                <w:noProof/>
                <w:sz w:val="22"/>
                <w:szCs w:val="22"/>
                <w:lang w:eastAsia="en-AU"/>
              </w:rPr>
              <w:tab/>
            </w:r>
            <w:r w:rsidR="00267426" w:rsidRPr="00781F54">
              <w:rPr>
                <w:rStyle w:val="Hyperlink"/>
                <w:noProof/>
              </w:rPr>
              <w:t>Health and Safety Matters</w:t>
            </w:r>
            <w:r w:rsidR="00267426">
              <w:rPr>
                <w:noProof/>
                <w:webHidden/>
              </w:rPr>
              <w:tab/>
            </w:r>
            <w:r w:rsidR="00267426">
              <w:rPr>
                <w:noProof/>
                <w:webHidden/>
              </w:rPr>
              <w:fldChar w:fldCharType="begin"/>
            </w:r>
            <w:r w:rsidR="00267426">
              <w:rPr>
                <w:noProof/>
                <w:webHidden/>
              </w:rPr>
              <w:instrText xml:space="preserve"> PAGEREF _Toc84430837 \h </w:instrText>
            </w:r>
            <w:r w:rsidR="00267426">
              <w:rPr>
                <w:noProof/>
                <w:webHidden/>
              </w:rPr>
            </w:r>
            <w:r w:rsidR="00267426">
              <w:rPr>
                <w:noProof/>
                <w:webHidden/>
              </w:rPr>
              <w:fldChar w:fldCharType="separate"/>
            </w:r>
            <w:r w:rsidR="00997E3F">
              <w:rPr>
                <w:noProof/>
                <w:webHidden/>
              </w:rPr>
              <w:t>60</w:t>
            </w:r>
            <w:r w:rsidR="00267426">
              <w:rPr>
                <w:noProof/>
                <w:webHidden/>
              </w:rPr>
              <w:fldChar w:fldCharType="end"/>
            </w:r>
          </w:hyperlink>
        </w:p>
        <w:p w14:paraId="4E3E7783" w14:textId="77777777" w:rsidR="00267426" w:rsidRDefault="00F72FA4">
          <w:pPr>
            <w:pStyle w:val="TOC1"/>
            <w:rPr>
              <w:rFonts w:eastAsiaTheme="minorEastAsia" w:cstheme="minorBidi"/>
              <w:b w:val="0"/>
              <w:bCs w:val="0"/>
              <w:caps w:val="0"/>
              <w:noProof/>
              <w:sz w:val="22"/>
              <w:szCs w:val="22"/>
              <w:lang w:eastAsia="en-AU"/>
            </w:rPr>
          </w:pPr>
          <w:hyperlink w:anchor="_Toc84430838" w:history="1">
            <w:r w:rsidR="00267426" w:rsidRPr="00781F54">
              <w:rPr>
                <w:rStyle w:val="Hyperlink"/>
                <w:noProof/>
              </w:rPr>
              <w:t>Glossary</w:t>
            </w:r>
            <w:r w:rsidR="00267426">
              <w:rPr>
                <w:noProof/>
                <w:webHidden/>
              </w:rPr>
              <w:tab/>
            </w:r>
            <w:r w:rsidR="00267426">
              <w:rPr>
                <w:noProof/>
                <w:webHidden/>
              </w:rPr>
              <w:fldChar w:fldCharType="begin"/>
            </w:r>
            <w:r w:rsidR="00267426">
              <w:rPr>
                <w:noProof/>
                <w:webHidden/>
              </w:rPr>
              <w:instrText xml:space="preserve"> PAGEREF _Toc84430838 \h </w:instrText>
            </w:r>
            <w:r w:rsidR="00267426">
              <w:rPr>
                <w:noProof/>
                <w:webHidden/>
              </w:rPr>
            </w:r>
            <w:r w:rsidR="00267426">
              <w:rPr>
                <w:noProof/>
                <w:webHidden/>
              </w:rPr>
              <w:fldChar w:fldCharType="separate"/>
            </w:r>
            <w:r w:rsidR="00997E3F">
              <w:rPr>
                <w:noProof/>
                <w:webHidden/>
              </w:rPr>
              <w:t>64</w:t>
            </w:r>
            <w:r w:rsidR="00267426">
              <w:rPr>
                <w:noProof/>
                <w:webHidden/>
              </w:rPr>
              <w:fldChar w:fldCharType="end"/>
            </w:r>
          </w:hyperlink>
        </w:p>
        <w:p w14:paraId="4D7BC1AB" w14:textId="77777777" w:rsidR="00267426" w:rsidRDefault="00F72FA4">
          <w:pPr>
            <w:pStyle w:val="TOC1"/>
            <w:rPr>
              <w:rFonts w:eastAsiaTheme="minorEastAsia" w:cstheme="minorBidi"/>
              <w:b w:val="0"/>
              <w:bCs w:val="0"/>
              <w:caps w:val="0"/>
              <w:noProof/>
              <w:sz w:val="22"/>
              <w:szCs w:val="22"/>
              <w:lang w:eastAsia="en-AU"/>
            </w:rPr>
          </w:pPr>
          <w:hyperlink w:anchor="_Toc84430839" w:history="1">
            <w:r w:rsidR="00267426" w:rsidRPr="00781F54">
              <w:rPr>
                <w:rStyle w:val="Hyperlink"/>
                <w:noProof/>
              </w:rPr>
              <w:t>Appendix B – UPDATED TERMS OF REFERENCE 2018-21</w:t>
            </w:r>
            <w:r w:rsidR="00267426">
              <w:rPr>
                <w:noProof/>
                <w:webHidden/>
              </w:rPr>
              <w:tab/>
            </w:r>
            <w:r w:rsidR="00267426">
              <w:rPr>
                <w:noProof/>
                <w:webHidden/>
              </w:rPr>
              <w:fldChar w:fldCharType="begin"/>
            </w:r>
            <w:r w:rsidR="00267426">
              <w:rPr>
                <w:noProof/>
                <w:webHidden/>
              </w:rPr>
              <w:instrText xml:space="preserve"> PAGEREF _Toc84430839 \h </w:instrText>
            </w:r>
            <w:r w:rsidR="00267426">
              <w:rPr>
                <w:noProof/>
                <w:webHidden/>
              </w:rPr>
            </w:r>
            <w:r w:rsidR="00267426">
              <w:rPr>
                <w:noProof/>
                <w:webHidden/>
              </w:rPr>
              <w:fldChar w:fldCharType="separate"/>
            </w:r>
            <w:r w:rsidR="00997E3F">
              <w:rPr>
                <w:noProof/>
                <w:webHidden/>
              </w:rPr>
              <w:t>66</w:t>
            </w:r>
            <w:r w:rsidR="00267426">
              <w:rPr>
                <w:noProof/>
                <w:webHidden/>
              </w:rPr>
              <w:fldChar w:fldCharType="end"/>
            </w:r>
          </w:hyperlink>
        </w:p>
        <w:p w14:paraId="6E7EAD02" w14:textId="77777777" w:rsidR="005874E7" w:rsidRPr="007064D8" w:rsidRDefault="005874E7" w:rsidP="007064D8">
          <w:pPr>
            <w:tabs>
              <w:tab w:val="center" w:pos="5233"/>
            </w:tabs>
            <w:spacing w:after="0"/>
            <w:rPr>
              <w:sz w:val="2"/>
              <w:szCs w:val="2"/>
            </w:rPr>
          </w:pPr>
          <w:r>
            <w:rPr>
              <w:rFonts w:asciiTheme="minorHAnsi" w:hAnsiTheme="minorHAnsi"/>
              <w:b/>
              <w:bCs/>
              <w:caps/>
              <w:sz w:val="20"/>
              <w:szCs w:val="20"/>
            </w:rPr>
            <w:fldChar w:fldCharType="end"/>
          </w:r>
        </w:p>
      </w:sdtContent>
    </w:sdt>
    <w:p w14:paraId="0CC02269" w14:textId="77777777" w:rsidR="005874E7" w:rsidRPr="005D575A" w:rsidRDefault="005874E7" w:rsidP="00EE0440">
      <w:pPr>
        <w:tabs>
          <w:tab w:val="left" w:pos="3615"/>
          <w:tab w:val="left" w:pos="4545"/>
        </w:tabs>
        <w:rPr>
          <w:sz w:val="2"/>
          <w:szCs w:val="2"/>
        </w:rPr>
      </w:pPr>
      <w:r>
        <w:tab/>
      </w:r>
      <w:r w:rsidR="00EE0440">
        <w:tab/>
      </w:r>
    </w:p>
    <w:p w14:paraId="2B1E36AE" w14:textId="77777777" w:rsidR="005D575A" w:rsidRDefault="005D575A" w:rsidP="00EE0440">
      <w:pPr>
        <w:tabs>
          <w:tab w:val="left" w:pos="3615"/>
          <w:tab w:val="left" w:pos="4545"/>
        </w:tabs>
      </w:pPr>
    </w:p>
    <w:p w14:paraId="2D014E4E" w14:textId="77777777" w:rsidR="005D575A" w:rsidRDefault="005D575A" w:rsidP="00173327">
      <w:pPr>
        <w:tabs>
          <w:tab w:val="left" w:pos="6000"/>
        </w:tabs>
        <w:sectPr w:rsidR="005D575A" w:rsidSect="00326042">
          <w:headerReference w:type="even" r:id="rId24"/>
          <w:headerReference w:type="default" r:id="rId25"/>
          <w:headerReference w:type="first" r:id="rId26"/>
          <w:footerReference w:type="first" r:id="rId27"/>
          <w:pgSz w:w="11906" w:h="16838"/>
          <w:pgMar w:top="720" w:right="720" w:bottom="720" w:left="720" w:header="425" w:footer="425" w:gutter="0"/>
          <w:pgNumType w:start="1"/>
          <w:cols w:space="708"/>
          <w:titlePg/>
          <w:docGrid w:linePitch="360"/>
        </w:sectPr>
      </w:pPr>
    </w:p>
    <w:p w14:paraId="0A5E776A" w14:textId="77777777" w:rsidR="005D575A" w:rsidRDefault="005D575A" w:rsidP="004B44A3">
      <w:pPr>
        <w:rPr>
          <w:sz w:val="2"/>
          <w:szCs w:val="2"/>
        </w:rPr>
        <w:sectPr w:rsidR="005D575A" w:rsidSect="00326042">
          <w:headerReference w:type="first" r:id="rId28"/>
          <w:footerReference w:type="first" r:id="rId29"/>
          <w:pgSz w:w="11906" w:h="16838"/>
          <w:pgMar w:top="720" w:right="720" w:bottom="720" w:left="720" w:header="425" w:footer="425" w:gutter="0"/>
          <w:pgNumType w:start="1"/>
          <w:cols w:space="708"/>
          <w:titlePg/>
          <w:docGrid w:linePitch="360"/>
        </w:sectPr>
      </w:pPr>
    </w:p>
    <w:p w14:paraId="6A1245F6" w14:textId="77777777" w:rsidR="005874E7" w:rsidRDefault="005874E7" w:rsidP="005874E7">
      <w:pPr>
        <w:pStyle w:val="Heading1"/>
      </w:pPr>
      <w:bookmarkStart w:id="3" w:name="_Toc84430800"/>
      <w:r>
        <w:lastRenderedPageBreak/>
        <w:t>Commissioner’s review</w:t>
      </w:r>
      <w:bookmarkEnd w:id="3"/>
    </w:p>
    <w:p w14:paraId="5A12E2E1" w14:textId="77777777" w:rsidR="005874E7" w:rsidRPr="008A02E9" w:rsidRDefault="005874E7" w:rsidP="005874E7">
      <w:pPr>
        <w:spacing w:line="264" w:lineRule="auto"/>
        <w:rPr>
          <w:rFonts w:cs="Arial"/>
          <w:b/>
          <w:bCs/>
        </w:rPr>
      </w:pPr>
      <w:r w:rsidRPr="008A02E9">
        <w:rPr>
          <w:rFonts w:cs="Arial"/>
          <w:b/>
          <w:bCs/>
        </w:rPr>
        <w:t>Introduction</w:t>
      </w:r>
    </w:p>
    <w:p w14:paraId="2196BCE3" w14:textId="34B56736" w:rsidR="005920B0" w:rsidRDefault="005920B0" w:rsidP="005920B0">
      <w:pPr>
        <w:spacing w:line="264" w:lineRule="auto"/>
        <w:rPr>
          <w:rFonts w:cs="Arial"/>
        </w:rPr>
      </w:pPr>
      <w:r>
        <w:rPr>
          <w:rFonts w:cs="Arial"/>
        </w:rPr>
        <w:t>T</w:t>
      </w:r>
      <w:r w:rsidRPr="00F47E6D">
        <w:rPr>
          <w:rFonts w:cs="Arial"/>
        </w:rPr>
        <w:t xml:space="preserve">he Office of </w:t>
      </w:r>
      <w:r>
        <w:rPr>
          <w:rFonts w:cs="Arial"/>
        </w:rPr>
        <w:t xml:space="preserve">the </w:t>
      </w:r>
      <w:r w:rsidR="002C4E77">
        <w:rPr>
          <w:rFonts w:cs="Arial"/>
        </w:rPr>
        <w:t>Australian Energy Infrastructure</w:t>
      </w:r>
      <w:r w:rsidRPr="00F47E6D">
        <w:rPr>
          <w:rFonts w:cs="Arial"/>
        </w:rPr>
        <w:t xml:space="preserve"> Commissioner</w:t>
      </w:r>
      <w:r>
        <w:rPr>
          <w:rFonts w:cs="Arial"/>
        </w:rPr>
        <w:t xml:space="preserve"> is pleased to deliver </w:t>
      </w:r>
      <w:r w:rsidR="003529A0">
        <w:rPr>
          <w:rFonts w:cs="Arial"/>
        </w:rPr>
        <w:t>the Commissioner’s</w:t>
      </w:r>
      <w:r w:rsidRPr="00F47E6D">
        <w:rPr>
          <w:rFonts w:cs="Arial"/>
        </w:rPr>
        <w:t xml:space="preserve"> </w:t>
      </w:r>
      <w:r w:rsidR="00793F13">
        <w:rPr>
          <w:rFonts w:cs="Arial"/>
        </w:rPr>
        <w:t>fifth</w:t>
      </w:r>
      <w:r w:rsidR="00331981">
        <w:rPr>
          <w:rFonts w:cs="Arial"/>
        </w:rPr>
        <w:t xml:space="preserve"> </w:t>
      </w:r>
      <w:r>
        <w:rPr>
          <w:rFonts w:cs="Arial"/>
        </w:rPr>
        <w:t>annual report</w:t>
      </w:r>
      <w:r w:rsidR="002E62EE">
        <w:rPr>
          <w:rFonts w:cs="Arial"/>
        </w:rPr>
        <w:t xml:space="preserve"> to the </w:t>
      </w:r>
      <w:r w:rsidR="0050245A">
        <w:rPr>
          <w:rFonts w:cs="Arial"/>
        </w:rPr>
        <w:t xml:space="preserve">Australian </w:t>
      </w:r>
      <w:r w:rsidR="002E62EE">
        <w:rPr>
          <w:rFonts w:cs="Arial"/>
        </w:rPr>
        <w:t>Parliament</w:t>
      </w:r>
      <w:r>
        <w:rPr>
          <w:rFonts w:cs="Arial"/>
        </w:rPr>
        <w:t xml:space="preserve">, which covers the Office’s activities for the </w:t>
      </w:r>
      <w:r w:rsidRPr="00F47E6D">
        <w:rPr>
          <w:rFonts w:cs="Arial"/>
        </w:rPr>
        <w:t xml:space="preserve">period of </w:t>
      </w:r>
      <w:r w:rsidR="00E54CF4">
        <w:rPr>
          <w:rFonts w:cs="Arial"/>
        </w:rPr>
        <w:t>1 </w:t>
      </w:r>
      <w:r>
        <w:rPr>
          <w:rFonts w:cs="Arial"/>
        </w:rPr>
        <w:t>January 20</w:t>
      </w:r>
      <w:r w:rsidR="00793F13">
        <w:rPr>
          <w:rFonts w:cs="Arial"/>
        </w:rPr>
        <w:t>20</w:t>
      </w:r>
      <w:r>
        <w:rPr>
          <w:rFonts w:cs="Arial"/>
        </w:rPr>
        <w:t xml:space="preserve"> </w:t>
      </w:r>
      <w:r w:rsidRPr="00F47E6D">
        <w:rPr>
          <w:rFonts w:cs="Arial"/>
        </w:rPr>
        <w:t xml:space="preserve">to </w:t>
      </w:r>
      <w:r w:rsidR="00793F13">
        <w:rPr>
          <w:rFonts w:cs="Arial"/>
        </w:rPr>
        <w:t>31 December 2020</w:t>
      </w:r>
      <w:r w:rsidRPr="00F47E6D">
        <w:rPr>
          <w:rFonts w:cs="Arial"/>
        </w:rPr>
        <w:t>.</w:t>
      </w:r>
    </w:p>
    <w:p w14:paraId="1A6D0A41" w14:textId="77777777" w:rsidR="00230875" w:rsidRDefault="00F8465C" w:rsidP="00F8465C">
      <w:pPr>
        <w:spacing w:line="264" w:lineRule="auto"/>
        <w:rPr>
          <w:rFonts w:cs="Arial"/>
        </w:rPr>
      </w:pPr>
      <w:r>
        <w:rPr>
          <w:rFonts w:cs="Arial"/>
        </w:rPr>
        <w:t xml:space="preserve">The Commissioner is independent and reports directly to the Minister for Energy and Emissions Reduction. </w:t>
      </w:r>
    </w:p>
    <w:p w14:paraId="2ED92091" w14:textId="60BD00E9" w:rsidR="005874E7" w:rsidRPr="00F8465C" w:rsidRDefault="00230875" w:rsidP="00F8465C">
      <w:pPr>
        <w:spacing w:line="264" w:lineRule="auto"/>
        <w:rPr>
          <w:rFonts w:cs="Arial"/>
        </w:rPr>
      </w:pPr>
      <w:r>
        <w:rPr>
          <w:rFonts w:cs="Arial"/>
        </w:rPr>
        <w:t xml:space="preserve">Our </w:t>
      </w:r>
      <w:r w:rsidR="005874E7" w:rsidRPr="008530B9">
        <w:rPr>
          <w:rFonts w:cs="Arial"/>
        </w:rPr>
        <w:t>key roles are to:</w:t>
      </w:r>
    </w:p>
    <w:p w14:paraId="5AC314D2" w14:textId="77777777"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f</w:t>
      </w:r>
      <w:r w:rsidR="00396011" w:rsidRPr="00396011">
        <w:rPr>
          <w:rFonts w:eastAsia="Times New Roman" w:cs="Arial"/>
          <w:color w:val="000000"/>
          <w:lang w:val="en" w:eastAsia="en-AU"/>
        </w:rPr>
        <w:t>acilitate the referral and resolution of complaints received from concerned residents about proposed or operating wind farms, large-scale solar farms (5 MW or more) and energy storage facilities such as large-scale batteries (1 MW or more)</w:t>
      </w:r>
    </w:p>
    <w:p w14:paraId="09029455" w14:textId="2442DED1"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p</w:t>
      </w:r>
      <w:r w:rsidR="00396011" w:rsidRPr="00396011">
        <w:rPr>
          <w:rFonts w:eastAsia="Times New Roman" w:cs="Arial"/>
          <w:color w:val="000000"/>
          <w:lang w:val="en" w:eastAsia="en-AU"/>
        </w:rPr>
        <w:t xml:space="preserve">rovide </w:t>
      </w:r>
      <w:r w:rsidR="00230875">
        <w:rPr>
          <w:rFonts w:eastAsia="Times New Roman" w:cs="Arial"/>
          <w:color w:val="000000"/>
          <w:lang w:val="en" w:eastAsia="en-AU"/>
        </w:rPr>
        <w:t xml:space="preserve">and promote </w:t>
      </w:r>
      <w:r w:rsidR="00396011" w:rsidRPr="00396011">
        <w:rPr>
          <w:rFonts w:eastAsia="Times New Roman" w:cs="Arial"/>
          <w:color w:val="000000"/>
          <w:lang w:val="en" w:eastAsia="en-AU"/>
        </w:rPr>
        <w:t xml:space="preserve">greater transparency on information related to wind farms, large-scale solar farms </w:t>
      </w:r>
      <w:r w:rsidR="00A937DA">
        <w:rPr>
          <w:rFonts w:eastAsia="Times New Roman" w:cs="Arial"/>
          <w:color w:val="000000"/>
          <w:lang w:val="en" w:eastAsia="en-AU"/>
        </w:rPr>
        <w:t>and energy storage in Australia</w:t>
      </w:r>
      <w:r>
        <w:rPr>
          <w:rFonts w:eastAsia="Times New Roman" w:cs="Arial"/>
          <w:color w:val="000000"/>
          <w:lang w:val="en" w:eastAsia="en-AU"/>
        </w:rPr>
        <w:t>, and</w:t>
      </w:r>
    </w:p>
    <w:p w14:paraId="430144C4" w14:textId="04CFCEE2"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i</w:t>
      </w:r>
      <w:r w:rsidR="00396011" w:rsidRPr="00396011">
        <w:rPr>
          <w:rFonts w:eastAsia="Times New Roman" w:cs="Arial"/>
          <w:color w:val="000000"/>
          <w:lang w:val="en" w:eastAsia="en-AU"/>
        </w:rPr>
        <w:t>dentify and promot</w:t>
      </w:r>
      <w:r w:rsidR="00396011">
        <w:rPr>
          <w:rFonts w:eastAsia="Times New Roman" w:cs="Arial"/>
          <w:color w:val="000000"/>
          <w:lang w:val="en" w:eastAsia="en-AU"/>
        </w:rPr>
        <w:t>e</w:t>
      </w:r>
      <w:r w:rsidR="00396011" w:rsidRPr="00396011">
        <w:rPr>
          <w:rFonts w:eastAsia="Times New Roman" w:cs="Arial"/>
          <w:color w:val="000000"/>
          <w:lang w:val="en" w:eastAsia="en-AU"/>
        </w:rPr>
        <w:t xml:space="preserve"> best practices related to the planning, development and operation of </w:t>
      </w:r>
      <w:r w:rsidR="00230875">
        <w:rPr>
          <w:rFonts w:eastAsia="Times New Roman" w:cs="Arial"/>
          <w:color w:val="000000"/>
          <w:lang w:val="en" w:eastAsia="en-AU"/>
        </w:rPr>
        <w:t xml:space="preserve">renewable </w:t>
      </w:r>
      <w:r w:rsidR="00396011" w:rsidRPr="00396011">
        <w:rPr>
          <w:rFonts w:eastAsia="Times New Roman" w:cs="Arial"/>
          <w:color w:val="000000"/>
          <w:lang w:val="en" w:eastAsia="en-AU"/>
        </w:rPr>
        <w:t>energy projects, including standards and compliance, complaint handling procedures and community engagement.</w:t>
      </w:r>
    </w:p>
    <w:p w14:paraId="22B7DC69" w14:textId="6CB25FA4" w:rsidR="005874E7" w:rsidRDefault="005874E7" w:rsidP="005874E7">
      <w:pPr>
        <w:spacing w:line="264" w:lineRule="auto"/>
        <w:rPr>
          <w:rFonts w:cs="Arial"/>
        </w:rPr>
      </w:pPr>
      <w:r>
        <w:rPr>
          <w:rFonts w:cs="Arial"/>
        </w:rPr>
        <w:t>There are no formal powers associated with the Commissioner’s role</w:t>
      </w:r>
      <w:r w:rsidR="0021506B">
        <w:rPr>
          <w:rFonts w:cs="Arial"/>
        </w:rPr>
        <w:t>.</w:t>
      </w:r>
      <w:r>
        <w:rPr>
          <w:rFonts w:cs="Arial"/>
        </w:rPr>
        <w:t xml:space="preserve"> </w:t>
      </w:r>
      <w:r w:rsidR="0021506B">
        <w:rPr>
          <w:rFonts w:cs="Arial"/>
        </w:rPr>
        <w:t>T</w:t>
      </w:r>
      <w:r>
        <w:rPr>
          <w:rFonts w:cs="Arial"/>
        </w:rPr>
        <w:t xml:space="preserve">he Commissioner relies on effective relationships and the </w:t>
      </w:r>
      <w:r w:rsidR="008E2BD1">
        <w:rPr>
          <w:rFonts w:cs="Arial"/>
        </w:rPr>
        <w:t>co</w:t>
      </w:r>
      <w:r w:rsidR="00230875">
        <w:rPr>
          <w:rFonts w:cs="Arial"/>
        </w:rPr>
        <w:t>-</w:t>
      </w:r>
      <w:r w:rsidR="008E2BD1">
        <w:rPr>
          <w:rFonts w:cs="Arial"/>
        </w:rPr>
        <w:t>operation</w:t>
      </w:r>
      <w:r>
        <w:rPr>
          <w:rFonts w:cs="Arial"/>
        </w:rPr>
        <w:t xml:space="preserve"> of </w:t>
      </w:r>
      <w:r w:rsidR="002E62EE">
        <w:rPr>
          <w:rFonts w:cs="Arial"/>
        </w:rPr>
        <w:t xml:space="preserve">a wide array </w:t>
      </w:r>
      <w:r w:rsidR="007C4C58">
        <w:rPr>
          <w:rFonts w:cs="Arial"/>
        </w:rPr>
        <w:t xml:space="preserve">of </w:t>
      </w:r>
      <w:r>
        <w:rPr>
          <w:rFonts w:cs="Arial"/>
        </w:rPr>
        <w:t xml:space="preserve">stakeholders to facilitate the complaints handling process </w:t>
      </w:r>
      <w:r w:rsidR="00230875">
        <w:rPr>
          <w:rFonts w:cs="Arial"/>
        </w:rPr>
        <w:t xml:space="preserve">and </w:t>
      </w:r>
      <w:r>
        <w:rPr>
          <w:rFonts w:cs="Arial"/>
        </w:rPr>
        <w:t>the identification and adoption of best practices recommendations.</w:t>
      </w:r>
    </w:p>
    <w:p w14:paraId="028F6D62" w14:textId="77777777" w:rsidR="005874E7" w:rsidRPr="00F47E6D" w:rsidRDefault="005874E7" w:rsidP="005874E7">
      <w:pPr>
        <w:pStyle w:val="Heading2"/>
        <w:spacing w:line="264" w:lineRule="auto"/>
      </w:pPr>
      <w:bookmarkStart w:id="4" w:name="_Toc84430801"/>
      <w:r w:rsidRPr="002D1788">
        <w:t>The Year in Review</w:t>
      </w:r>
      <w:bookmarkEnd w:id="4"/>
    </w:p>
    <w:p w14:paraId="5363F5C8" w14:textId="3B824EDC" w:rsidR="00797B3F" w:rsidRDefault="007759C0" w:rsidP="007759C0">
      <w:pPr>
        <w:spacing w:line="264" w:lineRule="auto"/>
        <w:rPr>
          <w:rFonts w:eastAsia="Times New Roman" w:cs="Arial"/>
          <w:lang w:val="en" w:eastAsia="en-AU"/>
        </w:rPr>
      </w:pPr>
      <w:r w:rsidRPr="0050245A">
        <w:rPr>
          <w:rFonts w:cs="Arial"/>
        </w:rPr>
        <w:t>20</w:t>
      </w:r>
      <w:r>
        <w:rPr>
          <w:rFonts w:cs="Arial"/>
        </w:rPr>
        <w:t>20</w:t>
      </w:r>
      <w:r w:rsidRPr="0050245A">
        <w:rPr>
          <w:rFonts w:cs="Arial"/>
        </w:rPr>
        <w:t xml:space="preserve"> </w:t>
      </w:r>
      <w:r w:rsidR="00002BB9">
        <w:rPr>
          <w:rFonts w:cs="Arial"/>
        </w:rPr>
        <w:t>was</w:t>
      </w:r>
      <w:r w:rsidR="00057EE9" w:rsidRPr="003E2F95">
        <w:rPr>
          <w:rFonts w:cs="Arial"/>
        </w:rPr>
        <w:t xml:space="preserve"> </w:t>
      </w:r>
      <w:r w:rsidR="00002BB9">
        <w:rPr>
          <w:rFonts w:cs="Arial"/>
        </w:rPr>
        <w:t xml:space="preserve">a </w:t>
      </w:r>
      <w:r w:rsidR="00057EE9" w:rsidRPr="003E2F95">
        <w:rPr>
          <w:rFonts w:cs="Arial"/>
        </w:rPr>
        <w:t>challenging year</w:t>
      </w:r>
      <w:r w:rsidRPr="003E2F95">
        <w:rPr>
          <w:rFonts w:cs="Arial"/>
        </w:rPr>
        <w:t xml:space="preserve">, with </w:t>
      </w:r>
      <w:r w:rsidR="00057EE9" w:rsidRPr="003E2F95">
        <w:rPr>
          <w:rFonts w:cs="Arial"/>
        </w:rPr>
        <w:t xml:space="preserve">the </w:t>
      </w:r>
      <w:r w:rsidR="00057EE9" w:rsidRPr="003E2F95">
        <w:rPr>
          <w:rFonts w:cs="Arial"/>
          <w:shd w:val="clear" w:color="auto" w:fill="FFFFFF"/>
        </w:rPr>
        <w:t xml:space="preserve">global outbreak of the COVID-19 pandemic </w:t>
      </w:r>
      <w:r w:rsidR="00002BB9">
        <w:rPr>
          <w:rFonts w:cs="Arial"/>
          <w:shd w:val="clear" w:color="auto" w:fill="FFFFFF"/>
        </w:rPr>
        <w:t xml:space="preserve">affecting how we lived and worked for much of the year. </w:t>
      </w:r>
      <w:r w:rsidR="00002BB9">
        <w:rPr>
          <w:rFonts w:eastAsia="Times New Roman" w:cs="Arial"/>
          <w:lang w:val="en" w:eastAsia="en-AU"/>
        </w:rPr>
        <w:t xml:space="preserve">While tremendous progress has been made in containing the virus outbreaks in Australia, we expect 2021 to still be a </w:t>
      </w:r>
      <w:r w:rsidR="00057EE9">
        <w:rPr>
          <w:rFonts w:eastAsia="Times New Roman" w:cs="Arial"/>
          <w:lang w:val="en" w:eastAsia="en-AU"/>
        </w:rPr>
        <w:t xml:space="preserve">cautious journey </w:t>
      </w:r>
      <w:r w:rsidR="00002BB9">
        <w:rPr>
          <w:rFonts w:eastAsia="Times New Roman" w:cs="Arial"/>
          <w:lang w:val="en" w:eastAsia="en-AU"/>
        </w:rPr>
        <w:t>ahead</w:t>
      </w:r>
      <w:r w:rsidR="003E2F95">
        <w:rPr>
          <w:rFonts w:eastAsia="Times New Roman" w:cs="Arial"/>
          <w:lang w:val="en" w:eastAsia="en-AU"/>
        </w:rPr>
        <w:t>.</w:t>
      </w:r>
    </w:p>
    <w:p w14:paraId="3076BCAB" w14:textId="65476631" w:rsidR="002E19F7" w:rsidRDefault="00002BB9" w:rsidP="007759C0">
      <w:pPr>
        <w:spacing w:line="264" w:lineRule="auto"/>
        <w:rPr>
          <w:rFonts w:cs="Arial"/>
        </w:rPr>
      </w:pPr>
      <w:r>
        <w:rPr>
          <w:rFonts w:cs="Arial"/>
        </w:rPr>
        <w:t>For our Office</w:t>
      </w:r>
      <w:r w:rsidR="00B46076">
        <w:rPr>
          <w:rFonts w:cs="Arial"/>
        </w:rPr>
        <w:t xml:space="preserve">, it was business as usual. </w:t>
      </w:r>
      <w:r w:rsidR="00412928">
        <w:rPr>
          <w:rFonts w:cs="Arial"/>
        </w:rPr>
        <w:t xml:space="preserve">Most </w:t>
      </w:r>
      <w:r w:rsidR="00B46076">
        <w:rPr>
          <w:rFonts w:cs="Arial"/>
        </w:rPr>
        <w:t xml:space="preserve">of the year we worked from home-based offices, heavily utilising video conference platforms and satellite image tools to conduct our duties. We have a national responsibility and </w:t>
      </w:r>
      <w:r w:rsidR="002E19F7">
        <w:rPr>
          <w:rFonts w:cs="Arial"/>
        </w:rPr>
        <w:t xml:space="preserve">were </w:t>
      </w:r>
      <w:r w:rsidR="00B46076">
        <w:rPr>
          <w:rFonts w:cs="Arial"/>
        </w:rPr>
        <w:t xml:space="preserve">already well accustomed to working with community members and stakeholders using </w:t>
      </w:r>
      <w:r w:rsidR="00412928">
        <w:rPr>
          <w:rFonts w:cs="Arial"/>
        </w:rPr>
        <w:t xml:space="preserve">electronic mail, </w:t>
      </w:r>
      <w:r w:rsidR="00B46076">
        <w:rPr>
          <w:rFonts w:cs="Arial"/>
        </w:rPr>
        <w:t>video</w:t>
      </w:r>
      <w:r w:rsidR="00412928">
        <w:rPr>
          <w:rFonts w:cs="Arial"/>
        </w:rPr>
        <w:t>-conference</w:t>
      </w:r>
      <w:r w:rsidR="00B46076">
        <w:rPr>
          <w:rFonts w:cs="Arial"/>
        </w:rPr>
        <w:t xml:space="preserve"> and teleconference facilities.</w:t>
      </w:r>
    </w:p>
    <w:p w14:paraId="43B196A6" w14:textId="5196F6CE" w:rsidR="00002BB9" w:rsidRDefault="002E19F7" w:rsidP="007759C0">
      <w:pPr>
        <w:spacing w:line="264" w:lineRule="auto"/>
        <w:rPr>
          <w:rFonts w:cs="Arial"/>
        </w:rPr>
      </w:pPr>
      <w:r>
        <w:rPr>
          <w:rFonts w:cs="Arial"/>
        </w:rPr>
        <w:t>However, our ability to undertake site visits</w:t>
      </w:r>
      <w:r w:rsidR="00B46076">
        <w:rPr>
          <w:rFonts w:cs="Arial"/>
        </w:rPr>
        <w:t xml:space="preserve"> </w:t>
      </w:r>
      <w:r>
        <w:rPr>
          <w:rFonts w:cs="Arial"/>
        </w:rPr>
        <w:t>was significantly curtailed and remains a challenge in 2021 while the possibility of unforeseen state border closures, enforced with very short notice, remains.</w:t>
      </w:r>
    </w:p>
    <w:p w14:paraId="684194C3" w14:textId="6299549B" w:rsidR="00057EE9" w:rsidRDefault="001E2C14" w:rsidP="007759C0">
      <w:pPr>
        <w:spacing w:line="264" w:lineRule="auto"/>
        <w:rPr>
          <w:rFonts w:eastAsia="Times New Roman" w:cs="Arial"/>
          <w:lang w:val="en" w:eastAsia="en-AU"/>
        </w:rPr>
      </w:pPr>
      <w:r>
        <w:rPr>
          <w:rFonts w:cs="Arial"/>
        </w:rPr>
        <w:t>L</w:t>
      </w:r>
      <w:r w:rsidR="00057EE9">
        <w:rPr>
          <w:rFonts w:cs="Arial"/>
        </w:rPr>
        <w:t>arge-scale renewable energy</w:t>
      </w:r>
      <w:r w:rsidR="00057EE9">
        <w:rPr>
          <w:rFonts w:eastAsia="Times New Roman" w:cs="Arial"/>
          <w:lang w:val="en" w:eastAsia="en-AU"/>
        </w:rPr>
        <w:t xml:space="preserve"> </w:t>
      </w:r>
      <w:r w:rsidR="002E19F7">
        <w:rPr>
          <w:rFonts w:eastAsia="Times New Roman" w:cs="Arial"/>
          <w:lang w:val="en" w:eastAsia="en-AU"/>
        </w:rPr>
        <w:t xml:space="preserve">capacity </w:t>
      </w:r>
      <w:r w:rsidR="00347EDD">
        <w:rPr>
          <w:rFonts w:eastAsia="Times New Roman" w:cs="Arial"/>
          <w:lang w:val="en" w:eastAsia="en-AU"/>
        </w:rPr>
        <w:t>has continued</w:t>
      </w:r>
      <w:r w:rsidR="008454C6">
        <w:rPr>
          <w:rFonts w:eastAsia="Times New Roman" w:cs="Arial"/>
          <w:lang w:val="en" w:eastAsia="en-AU"/>
        </w:rPr>
        <w:t xml:space="preserve"> </w:t>
      </w:r>
      <w:r w:rsidR="00347EDD">
        <w:rPr>
          <w:rFonts w:eastAsia="Times New Roman" w:cs="Arial"/>
          <w:lang w:val="en" w:eastAsia="en-AU"/>
        </w:rPr>
        <w:t xml:space="preserve">to grow </w:t>
      </w:r>
      <w:r w:rsidR="002E19F7">
        <w:rPr>
          <w:rFonts w:eastAsia="Times New Roman" w:cs="Arial"/>
          <w:lang w:val="en" w:eastAsia="en-AU"/>
        </w:rPr>
        <w:t>in 2020</w:t>
      </w:r>
      <w:r w:rsidR="008454C6">
        <w:rPr>
          <w:rFonts w:eastAsia="Times New Roman" w:cs="Arial"/>
          <w:lang w:val="en" w:eastAsia="en-AU"/>
        </w:rPr>
        <w:t xml:space="preserve">. </w:t>
      </w:r>
      <w:r w:rsidR="00B25762">
        <w:rPr>
          <w:rFonts w:eastAsia="Times New Roman" w:cs="Arial"/>
          <w:lang w:val="en" w:eastAsia="en-AU"/>
        </w:rPr>
        <w:t xml:space="preserve">We </w:t>
      </w:r>
      <w:r w:rsidR="00057EE9" w:rsidRPr="00797B3F">
        <w:rPr>
          <w:rFonts w:eastAsia="Times New Roman" w:cs="Arial"/>
          <w:lang w:val="en" w:eastAsia="en-AU"/>
        </w:rPr>
        <w:t xml:space="preserve">understand that </w:t>
      </w:r>
      <w:r w:rsidR="00057EE9">
        <w:rPr>
          <w:rFonts w:eastAsia="Times New Roman" w:cs="Arial"/>
          <w:lang w:val="en" w:eastAsia="en-AU"/>
        </w:rPr>
        <w:t xml:space="preserve">at least </w:t>
      </w:r>
      <w:r w:rsidR="00057EE9" w:rsidRPr="00797B3F">
        <w:rPr>
          <w:rFonts w:eastAsia="Times New Roman" w:cs="Arial"/>
          <w:lang w:val="en" w:eastAsia="en-AU"/>
        </w:rPr>
        <w:t>2</w:t>
      </w:r>
      <w:r w:rsidR="00057EE9">
        <w:rPr>
          <w:rFonts w:eastAsia="Times New Roman" w:cs="Arial"/>
          <w:lang w:val="en" w:eastAsia="en-AU"/>
        </w:rPr>
        <w:t>1</w:t>
      </w:r>
      <w:r w:rsidR="00057EE9" w:rsidRPr="00797B3F">
        <w:rPr>
          <w:rFonts w:eastAsia="Times New Roman" w:cs="Arial"/>
          <w:lang w:val="en" w:eastAsia="en-AU"/>
        </w:rPr>
        <w:t xml:space="preserve"> large-scale renewable projects were commissioned</w:t>
      </w:r>
      <w:r w:rsidR="00057EE9">
        <w:rPr>
          <w:rFonts w:eastAsia="Times New Roman" w:cs="Arial"/>
          <w:lang w:val="en" w:eastAsia="en-AU"/>
        </w:rPr>
        <w:t xml:space="preserve"> during </w:t>
      </w:r>
      <w:r w:rsidR="00B25762">
        <w:rPr>
          <w:rFonts w:eastAsia="Times New Roman" w:cs="Arial"/>
          <w:lang w:val="en" w:eastAsia="en-AU"/>
        </w:rPr>
        <w:t>the year,</w:t>
      </w:r>
      <w:r w:rsidR="00057EE9">
        <w:rPr>
          <w:rFonts w:eastAsia="Times New Roman" w:cs="Arial"/>
          <w:lang w:val="en" w:eastAsia="en-AU"/>
        </w:rPr>
        <w:t xml:space="preserve"> </w:t>
      </w:r>
      <w:r w:rsidR="00057EE9" w:rsidRPr="00223D2E">
        <w:rPr>
          <w:rFonts w:eastAsia="Times New Roman" w:cs="Arial"/>
          <w:lang w:val="en" w:eastAsia="en-AU"/>
        </w:rPr>
        <w:t>including five large-scale wind farm projects and 16</w:t>
      </w:r>
      <w:r w:rsidR="00057EE9">
        <w:rPr>
          <w:rFonts w:eastAsia="Times New Roman" w:cs="Arial"/>
          <w:lang w:val="en" w:eastAsia="en-AU"/>
        </w:rPr>
        <w:t> </w:t>
      </w:r>
      <w:r w:rsidR="00057EE9" w:rsidRPr="00223D2E">
        <w:rPr>
          <w:rFonts w:eastAsia="Times New Roman" w:cs="Arial"/>
          <w:lang w:val="en" w:eastAsia="en-AU"/>
        </w:rPr>
        <w:t>large-sca</w:t>
      </w:r>
      <w:r w:rsidR="00057EE9">
        <w:rPr>
          <w:rFonts w:eastAsia="Times New Roman" w:cs="Arial"/>
          <w:lang w:val="en" w:eastAsia="en-AU"/>
        </w:rPr>
        <w:t xml:space="preserve">le solar farm projects, with a </w:t>
      </w:r>
      <w:r w:rsidR="009D0216">
        <w:rPr>
          <w:rFonts w:eastAsia="Times New Roman" w:cs="Arial"/>
          <w:lang w:val="en" w:eastAsia="en-AU"/>
        </w:rPr>
        <w:t>further 76 large-scale</w:t>
      </w:r>
      <w:r w:rsidR="00057EE9">
        <w:rPr>
          <w:rFonts w:eastAsia="Times New Roman" w:cs="Arial"/>
          <w:lang w:val="en" w:eastAsia="en-AU"/>
        </w:rPr>
        <w:t xml:space="preserve"> projects </w:t>
      </w:r>
      <w:r w:rsidR="00B25762">
        <w:rPr>
          <w:rFonts w:eastAsia="Times New Roman" w:cs="Arial"/>
          <w:lang w:val="en" w:eastAsia="en-AU"/>
        </w:rPr>
        <w:t xml:space="preserve">in construction </w:t>
      </w:r>
      <w:r w:rsidR="00057EE9">
        <w:rPr>
          <w:rFonts w:eastAsia="Times New Roman" w:cs="Arial"/>
          <w:lang w:val="en" w:eastAsia="en-AU"/>
        </w:rPr>
        <w:t xml:space="preserve">or awaiting </w:t>
      </w:r>
      <w:r w:rsidR="00057EE9" w:rsidRPr="00347EDD">
        <w:rPr>
          <w:rFonts w:eastAsia="Times New Roman" w:cs="Arial"/>
          <w:lang w:val="en" w:eastAsia="en-AU"/>
        </w:rPr>
        <w:t>commissioning</w:t>
      </w:r>
      <w:r w:rsidR="009D0216">
        <w:rPr>
          <w:rFonts w:eastAsia="Times New Roman" w:cs="Arial"/>
          <w:lang w:val="en" w:eastAsia="en-AU"/>
        </w:rPr>
        <w:t xml:space="preserve"> at the end of the year</w:t>
      </w:r>
      <w:r w:rsidR="00057EE9">
        <w:rPr>
          <w:rFonts w:eastAsia="Times New Roman" w:cs="Arial"/>
          <w:lang w:val="en" w:eastAsia="en-AU"/>
        </w:rPr>
        <w:t>.</w:t>
      </w:r>
    </w:p>
    <w:p w14:paraId="36F4EF42" w14:textId="46DE4862" w:rsidR="007759C0" w:rsidRDefault="00347EDD" w:rsidP="007759C0">
      <w:pPr>
        <w:spacing w:line="264" w:lineRule="auto"/>
      </w:pPr>
      <w:r>
        <w:rPr>
          <w:rFonts w:eastAsia="Times New Roman" w:cs="Arial"/>
          <w:lang w:val="en" w:eastAsia="en-AU"/>
        </w:rPr>
        <w:t>T</w:t>
      </w:r>
      <w:r w:rsidR="007759C0" w:rsidRPr="00223D2E">
        <w:rPr>
          <w:rFonts w:eastAsia="Times New Roman" w:cs="Arial"/>
          <w:lang w:val="en" w:eastAsia="en-AU"/>
        </w:rPr>
        <w:t>he C</w:t>
      </w:r>
      <w:r w:rsidR="00653C20">
        <w:rPr>
          <w:rFonts w:eastAsia="Times New Roman" w:cs="Arial"/>
          <w:lang w:val="en" w:eastAsia="en-AU"/>
        </w:rPr>
        <w:t>lean Energy Regulator</w:t>
      </w:r>
      <w:r>
        <w:rPr>
          <w:rFonts w:eastAsia="Times New Roman" w:cs="Arial"/>
          <w:lang w:val="en" w:eastAsia="en-AU"/>
        </w:rPr>
        <w:t xml:space="preserve"> (CER)</w:t>
      </w:r>
      <w:r w:rsidR="00057EE9">
        <w:rPr>
          <w:rFonts w:eastAsia="Times New Roman" w:cs="Arial"/>
          <w:lang w:val="en" w:eastAsia="en-AU"/>
        </w:rPr>
        <w:t xml:space="preserve"> has reported that</w:t>
      </w:r>
      <w:r w:rsidR="007759C0" w:rsidRPr="00223D2E">
        <w:rPr>
          <w:rFonts w:eastAsia="Times New Roman" w:cs="Arial"/>
          <w:lang w:val="en" w:eastAsia="en-AU"/>
        </w:rPr>
        <w:t xml:space="preserve">, </w:t>
      </w:r>
      <w:r w:rsidRPr="00223D2E">
        <w:t>since January 2016</w:t>
      </w:r>
      <w:r>
        <w:t xml:space="preserve">, </w:t>
      </w:r>
      <w:r w:rsidR="007759C0" w:rsidRPr="00223D2E">
        <w:rPr>
          <w:rFonts w:cs="Arial"/>
        </w:rPr>
        <w:t>more than 1</w:t>
      </w:r>
      <w:r w:rsidR="00223D2E" w:rsidRPr="00223D2E">
        <w:rPr>
          <w:rFonts w:cs="Arial"/>
        </w:rPr>
        <w:t>9</w:t>
      </w:r>
      <w:r w:rsidR="007759C0" w:rsidRPr="00223D2E">
        <w:rPr>
          <w:rFonts w:cs="Arial"/>
        </w:rPr>
        <w:t xml:space="preserve"> GW of renewable energy projects are either generating power</w:t>
      </w:r>
      <w:r w:rsidR="008F3919">
        <w:rPr>
          <w:rFonts w:cs="Arial"/>
        </w:rPr>
        <w:t xml:space="preserve"> or in the project pipeline,</w:t>
      </w:r>
      <w:r w:rsidR="008F3919" w:rsidRPr="008F3919">
        <w:rPr>
          <w:rFonts w:eastAsia="Times New Roman" w:cs="Arial"/>
          <w:lang w:val="en" w:eastAsia="en-AU"/>
        </w:rPr>
        <w:t xml:space="preserve"> including</w:t>
      </w:r>
      <w:r w:rsidR="007759C0" w:rsidRPr="008F3919">
        <w:rPr>
          <w:rFonts w:eastAsia="Times New Roman" w:cs="Arial"/>
          <w:lang w:val="en" w:eastAsia="en-AU"/>
        </w:rPr>
        <w:t xml:space="preserve"> </w:t>
      </w:r>
      <w:r w:rsidR="00223D2E" w:rsidRPr="008F3919">
        <w:rPr>
          <w:rFonts w:cs="Arial"/>
        </w:rPr>
        <w:t>12</w:t>
      </w:r>
      <w:r w:rsidR="007759C0" w:rsidRPr="008F3919">
        <w:rPr>
          <w:rFonts w:cs="Arial"/>
        </w:rPr>
        <w:t>,</w:t>
      </w:r>
      <w:r w:rsidR="001E2C14" w:rsidRPr="008F3919">
        <w:rPr>
          <w:rFonts w:cs="Arial"/>
        </w:rPr>
        <w:t>5</w:t>
      </w:r>
      <w:r w:rsidR="001E2C14">
        <w:rPr>
          <w:rFonts w:cs="Arial"/>
        </w:rPr>
        <w:t>99</w:t>
      </w:r>
      <w:r w:rsidR="001E2C14" w:rsidRPr="008F3919">
        <w:rPr>
          <w:rFonts w:cs="Arial"/>
        </w:rPr>
        <w:t> </w:t>
      </w:r>
      <w:r w:rsidR="007759C0" w:rsidRPr="008F3919">
        <w:rPr>
          <w:rFonts w:cs="Arial"/>
        </w:rPr>
        <w:t>MW of accredited projects</w:t>
      </w:r>
      <w:r w:rsidR="007759C0" w:rsidRPr="008F3919">
        <w:rPr>
          <w:rFonts w:eastAsia="Times New Roman" w:cs="Arial"/>
        </w:rPr>
        <w:t xml:space="preserve">, </w:t>
      </w:r>
      <w:r w:rsidR="00223D2E" w:rsidRPr="008F3919">
        <w:rPr>
          <w:rFonts w:eastAsia="Times New Roman" w:cs="Arial"/>
        </w:rPr>
        <w:t>3</w:t>
      </w:r>
      <w:r w:rsidR="007759C0" w:rsidRPr="008F3919">
        <w:rPr>
          <w:rFonts w:eastAsia="Times New Roman" w:cs="Arial"/>
        </w:rPr>
        <w:t>,</w:t>
      </w:r>
      <w:r w:rsidR="001E2C14" w:rsidRPr="008F3919">
        <w:rPr>
          <w:rFonts w:eastAsia="Times New Roman" w:cs="Arial"/>
        </w:rPr>
        <w:t>3</w:t>
      </w:r>
      <w:r w:rsidR="001E2C14">
        <w:rPr>
          <w:rFonts w:eastAsia="Times New Roman" w:cs="Arial"/>
        </w:rPr>
        <w:t>42</w:t>
      </w:r>
      <w:r w:rsidR="001E2C14" w:rsidRPr="008F3919">
        <w:rPr>
          <w:rFonts w:eastAsia="Times New Roman" w:cs="Arial"/>
        </w:rPr>
        <w:t xml:space="preserve"> </w:t>
      </w:r>
      <w:r w:rsidR="007759C0" w:rsidRPr="008F3919">
        <w:rPr>
          <w:rFonts w:cs="Arial"/>
        </w:rPr>
        <w:t xml:space="preserve">MW of projects </w:t>
      </w:r>
      <w:r w:rsidR="00223D2E" w:rsidRPr="008F3919">
        <w:rPr>
          <w:rFonts w:cs="Arial"/>
        </w:rPr>
        <w:t>that are now committed</w:t>
      </w:r>
      <w:r w:rsidR="007759C0" w:rsidRPr="008F3919">
        <w:rPr>
          <w:rFonts w:cs="Arial"/>
        </w:rPr>
        <w:t xml:space="preserve">, and </w:t>
      </w:r>
      <w:r w:rsidR="00223D2E" w:rsidRPr="008F3919">
        <w:rPr>
          <w:rFonts w:cs="Arial"/>
        </w:rPr>
        <w:t xml:space="preserve">3,238 </w:t>
      </w:r>
      <w:r w:rsidR="007759C0" w:rsidRPr="008F3919">
        <w:rPr>
          <w:rFonts w:cs="Arial"/>
        </w:rPr>
        <w:t xml:space="preserve">MW of projects still awaiting </w:t>
      </w:r>
      <w:r w:rsidR="007759C0" w:rsidRPr="008F3919">
        <w:t>financial close</w:t>
      </w:r>
      <w:r w:rsidR="007759C0" w:rsidRPr="00223D2E">
        <w:t>.</w:t>
      </w:r>
    </w:p>
    <w:p w14:paraId="085D17C3" w14:textId="376F6D4C" w:rsidR="00B25762" w:rsidRDefault="00B25762" w:rsidP="00653C20">
      <w:pPr>
        <w:pStyle w:val="ListBullet"/>
        <w:numPr>
          <w:ilvl w:val="0"/>
          <w:numId w:val="0"/>
        </w:numPr>
        <w:rPr>
          <w:rFonts w:eastAsia="Times New Roman" w:cs="Arial"/>
        </w:rPr>
      </w:pPr>
      <w:r>
        <w:rPr>
          <w:rFonts w:eastAsia="Times New Roman" w:cs="Arial"/>
        </w:rPr>
        <w:t xml:space="preserve">We </w:t>
      </w:r>
      <w:r w:rsidR="00653C20" w:rsidRPr="00653C20">
        <w:rPr>
          <w:rFonts w:eastAsia="Times New Roman" w:cs="Arial"/>
        </w:rPr>
        <w:t xml:space="preserve">received </w:t>
      </w:r>
      <w:r w:rsidR="00E13AF5">
        <w:rPr>
          <w:rFonts w:cs="Arial"/>
        </w:rPr>
        <w:t>163</w:t>
      </w:r>
      <w:r w:rsidR="00E13AF5" w:rsidRPr="003D3962">
        <w:rPr>
          <w:rFonts w:cs="Arial"/>
        </w:rPr>
        <w:t xml:space="preserve"> new complaints</w:t>
      </w:r>
      <w:r w:rsidR="00E13AF5" w:rsidRPr="00653C20">
        <w:rPr>
          <w:rFonts w:eastAsia="Times New Roman" w:cs="Arial"/>
        </w:rPr>
        <w:t xml:space="preserve"> </w:t>
      </w:r>
      <w:r w:rsidR="00E13AF5">
        <w:rPr>
          <w:rFonts w:eastAsia="Times New Roman" w:cs="Arial"/>
        </w:rPr>
        <w:t xml:space="preserve">during the year, </w:t>
      </w:r>
      <w:r>
        <w:rPr>
          <w:rFonts w:eastAsia="Times New Roman" w:cs="Arial"/>
        </w:rPr>
        <w:t>m</w:t>
      </w:r>
      <w:r w:rsidR="00653C20" w:rsidRPr="00653C20">
        <w:rPr>
          <w:rFonts w:eastAsia="Times New Roman" w:cs="Arial"/>
        </w:rPr>
        <w:t>ore than double the number of complaints received during 2019</w:t>
      </w:r>
      <w:r w:rsidR="00653C20">
        <w:rPr>
          <w:rFonts w:eastAsia="Times New Roman" w:cs="Arial"/>
        </w:rPr>
        <w:t xml:space="preserve"> and the </w:t>
      </w:r>
      <w:r w:rsidR="00653C20" w:rsidRPr="00653C20">
        <w:rPr>
          <w:rFonts w:eastAsia="Times New Roman" w:cs="Arial"/>
        </w:rPr>
        <w:t>h</w:t>
      </w:r>
      <w:r w:rsidR="00653C20" w:rsidRPr="00653C20">
        <w:rPr>
          <w:rFonts w:cs="Arial"/>
          <w:color w:val="000000"/>
          <w:lang w:eastAsia="en-AU"/>
        </w:rPr>
        <w:t xml:space="preserve">ighest total number of complaints per year since the inception of the </w:t>
      </w:r>
      <w:r w:rsidR="00195FCD">
        <w:rPr>
          <w:rFonts w:cs="Arial"/>
          <w:color w:val="000000"/>
          <w:lang w:eastAsia="en-AU"/>
        </w:rPr>
        <w:t>O</w:t>
      </w:r>
      <w:r w:rsidR="00653C20" w:rsidRPr="00653C20">
        <w:rPr>
          <w:rFonts w:cs="Arial"/>
          <w:color w:val="000000"/>
          <w:lang w:eastAsia="en-AU"/>
        </w:rPr>
        <w:t>ffice</w:t>
      </w:r>
      <w:r w:rsidR="00653C20" w:rsidRPr="00653C20">
        <w:rPr>
          <w:rFonts w:eastAsia="Times New Roman" w:cs="Arial"/>
        </w:rPr>
        <w:t>.</w:t>
      </w:r>
      <w:r w:rsidR="008040E7">
        <w:rPr>
          <w:rFonts w:eastAsia="Times New Roman" w:cs="Arial"/>
        </w:rPr>
        <w:t xml:space="preserve"> </w:t>
      </w:r>
    </w:p>
    <w:p w14:paraId="6D8B7876" w14:textId="0B25B57C" w:rsidR="00653C20" w:rsidRDefault="008040E7" w:rsidP="00653C20">
      <w:pPr>
        <w:pStyle w:val="ListBullet"/>
        <w:numPr>
          <w:ilvl w:val="0"/>
          <w:numId w:val="0"/>
        </w:numPr>
        <w:rPr>
          <w:rFonts w:cs="Arial"/>
          <w:color w:val="000000"/>
        </w:rPr>
      </w:pPr>
      <w:r>
        <w:rPr>
          <w:rFonts w:eastAsia="Times New Roman" w:cs="Arial"/>
        </w:rPr>
        <w:t>The O</w:t>
      </w:r>
      <w:r w:rsidR="00E13AF5">
        <w:rPr>
          <w:rFonts w:eastAsia="Times New Roman" w:cs="Arial"/>
        </w:rPr>
        <w:t>ffice has now</w:t>
      </w:r>
      <w:r w:rsidR="00E13AF5" w:rsidRPr="00E13AF5">
        <w:rPr>
          <w:rFonts w:cs="Arial"/>
        </w:rPr>
        <w:t xml:space="preserve"> </w:t>
      </w:r>
      <w:r w:rsidR="00E13AF5">
        <w:rPr>
          <w:rFonts w:cs="Arial"/>
        </w:rPr>
        <w:t xml:space="preserve">received </w:t>
      </w:r>
      <w:r w:rsidR="00E13AF5" w:rsidRPr="003D3962">
        <w:rPr>
          <w:rFonts w:cs="Arial"/>
        </w:rPr>
        <w:t xml:space="preserve">a total of </w:t>
      </w:r>
      <w:r w:rsidR="00E13AF5">
        <w:rPr>
          <w:rFonts w:cs="Arial"/>
        </w:rPr>
        <w:t>524</w:t>
      </w:r>
      <w:r w:rsidR="00E13AF5" w:rsidRPr="003D3962">
        <w:rPr>
          <w:rFonts w:cs="Arial"/>
        </w:rPr>
        <w:t xml:space="preserve"> complaints </w:t>
      </w:r>
      <w:r w:rsidR="00E13AF5">
        <w:rPr>
          <w:rFonts w:cs="Arial"/>
        </w:rPr>
        <w:t xml:space="preserve">since </w:t>
      </w:r>
      <w:r>
        <w:rPr>
          <w:rFonts w:cs="Arial"/>
        </w:rPr>
        <w:t>commenc</w:t>
      </w:r>
      <w:r w:rsidR="00B25762">
        <w:rPr>
          <w:rFonts w:cs="Arial"/>
        </w:rPr>
        <w:t>ing</w:t>
      </w:r>
      <w:r w:rsidR="004061F8">
        <w:rPr>
          <w:rFonts w:cs="Arial"/>
        </w:rPr>
        <w:t xml:space="preserve"> in </w:t>
      </w:r>
      <w:r w:rsidR="00B25762">
        <w:rPr>
          <w:rFonts w:cs="Arial"/>
        </w:rPr>
        <w:t xml:space="preserve">November </w:t>
      </w:r>
      <w:r w:rsidR="004061F8">
        <w:rPr>
          <w:rFonts w:cs="Arial"/>
        </w:rPr>
        <w:t>2015</w:t>
      </w:r>
      <w:r w:rsidR="00E13AF5" w:rsidRPr="003D3962">
        <w:rPr>
          <w:rFonts w:cs="Arial"/>
        </w:rPr>
        <w:t>.</w:t>
      </w:r>
    </w:p>
    <w:p w14:paraId="1A993DA2" w14:textId="76181242" w:rsidR="00653C20" w:rsidRDefault="0000125B" w:rsidP="00653C20">
      <w:pPr>
        <w:pStyle w:val="ListBullet"/>
        <w:numPr>
          <w:ilvl w:val="0"/>
          <w:numId w:val="0"/>
        </w:numPr>
        <w:rPr>
          <w:rFonts w:cs="Arial"/>
          <w:color w:val="000000"/>
        </w:rPr>
      </w:pPr>
      <w:r>
        <w:rPr>
          <w:rFonts w:cs="Arial"/>
          <w:color w:val="000000"/>
        </w:rPr>
        <w:lastRenderedPageBreak/>
        <w:t xml:space="preserve">Consistent </w:t>
      </w:r>
      <w:r w:rsidR="00177680">
        <w:rPr>
          <w:rFonts w:cs="Arial"/>
          <w:color w:val="000000"/>
        </w:rPr>
        <w:t xml:space="preserve">with recent years, </w:t>
      </w:r>
      <w:r w:rsidR="00653C20">
        <w:rPr>
          <w:rFonts w:cs="Arial"/>
          <w:color w:val="000000"/>
        </w:rPr>
        <w:t>t</w:t>
      </w:r>
      <w:r w:rsidR="00653C20" w:rsidRPr="00DE0338">
        <w:rPr>
          <w:rFonts w:cs="Arial"/>
          <w:color w:val="000000"/>
        </w:rPr>
        <w:t xml:space="preserve">he majority of complaints received during </w:t>
      </w:r>
      <w:r w:rsidR="00E13AF5">
        <w:rPr>
          <w:rFonts w:cs="Arial"/>
          <w:color w:val="000000"/>
        </w:rPr>
        <w:t>2020</w:t>
      </w:r>
      <w:r w:rsidR="00653C20" w:rsidRPr="00DE0338">
        <w:rPr>
          <w:rFonts w:cs="Arial"/>
          <w:color w:val="000000"/>
        </w:rPr>
        <w:t xml:space="preserve"> were in relation to proposed wind farms (including projects under construction),</w:t>
      </w:r>
      <w:r w:rsidR="00653C20">
        <w:rPr>
          <w:rFonts w:cs="Arial"/>
          <w:color w:val="000000"/>
        </w:rPr>
        <w:t xml:space="preserve"> with </w:t>
      </w:r>
      <w:r w:rsidR="00653C20" w:rsidRPr="00427778">
        <w:rPr>
          <w:rFonts w:cs="Arial"/>
          <w:color w:val="000000"/>
        </w:rPr>
        <w:t xml:space="preserve">only </w:t>
      </w:r>
      <w:r w:rsidR="00653C20">
        <w:rPr>
          <w:rFonts w:cs="Arial"/>
          <w:color w:val="000000"/>
        </w:rPr>
        <w:t>eight</w:t>
      </w:r>
      <w:r w:rsidR="00653C20" w:rsidRPr="00427778">
        <w:rPr>
          <w:rFonts w:cs="Arial"/>
          <w:color w:val="000000"/>
        </w:rPr>
        <w:t xml:space="preserve"> </w:t>
      </w:r>
      <w:r w:rsidR="00653C20">
        <w:rPr>
          <w:rFonts w:cs="Arial"/>
          <w:color w:val="000000"/>
        </w:rPr>
        <w:t>complaints relating</w:t>
      </w:r>
      <w:r w:rsidR="00653C20" w:rsidRPr="00427778">
        <w:rPr>
          <w:rFonts w:cs="Arial"/>
          <w:color w:val="000000"/>
        </w:rPr>
        <w:t xml:space="preserve"> to </w:t>
      </w:r>
      <w:r w:rsidR="00653C20">
        <w:rPr>
          <w:rFonts w:cs="Arial"/>
          <w:color w:val="000000"/>
        </w:rPr>
        <w:t xml:space="preserve">operating wind farms. </w:t>
      </w:r>
      <w:r w:rsidR="00177680">
        <w:rPr>
          <w:rFonts w:cs="Arial"/>
          <w:color w:val="000000"/>
        </w:rPr>
        <w:t>We</w:t>
      </w:r>
      <w:r w:rsidR="00653C20">
        <w:rPr>
          <w:rFonts w:cs="Arial"/>
          <w:color w:val="000000"/>
        </w:rPr>
        <w:t xml:space="preserve"> received no</w:t>
      </w:r>
      <w:r w:rsidR="00653C20" w:rsidRPr="00427778">
        <w:rPr>
          <w:rFonts w:cs="Arial"/>
          <w:color w:val="000000"/>
        </w:rPr>
        <w:t xml:space="preserve"> co</w:t>
      </w:r>
      <w:r w:rsidR="00653C20">
        <w:rPr>
          <w:rFonts w:cs="Arial"/>
          <w:color w:val="000000"/>
        </w:rPr>
        <w:t>mplaints about solar farm proposals or energy storage projects</w:t>
      </w:r>
      <w:r w:rsidR="00C65B0A">
        <w:rPr>
          <w:rFonts w:cs="Arial"/>
          <w:color w:val="000000"/>
        </w:rPr>
        <w:t xml:space="preserve"> during the period</w:t>
      </w:r>
      <w:r w:rsidR="00653C20">
        <w:rPr>
          <w:rFonts w:cs="Arial"/>
          <w:color w:val="000000"/>
        </w:rPr>
        <w:t>.</w:t>
      </w:r>
    </w:p>
    <w:p w14:paraId="03DE1F96" w14:textId="08B02013" w:rsidR="00653C20" w:rsidRPr="00AA582D" w:rsidRDefault="00177680" w:rsidP="00AA582D">
      <w:pPr>
        <w:pStyle w:val="gmail-p1"/>
        <w:spacing w:before="0" w:beforeAutospacing="0" w:after="200" w:afterAutospacing="0" w:line="264" w:lineRule="auto"/>
        <w:rPr>
          <w:rFonts w:ascii="Arial" w:hAnsi="Arial" w:cs="Arial"/>
          <w:sz w:val="22"/>
          <w:szCs w:val="22"/>
        </w:rPr>
      </w:pPr>
      <w:r>
        <w:rPr>
          <w:rFonts w:ascii="Arial" w:hAnsi="Arial" w:cs="Arial"/>
          <w:sz w:val="22"/>
          <w:szCs w:val="22"/>
        </w:rPr>
        <w:t xml:space="preserve">Many </w:t>
      </w:r>
      <w:r w:rsidR="00653C20" w:rsidRPr="00653C20">
        <w:rPr>
          <w:rFonts w:ascii="Arial" w:hAnsi="Arial" w:cs="Arial"/>
          <w:sz w:val="22"/>
          <w:szCs w:val="22"/>
        </w:rPr>
        <w:t>complaint</w:t>
      </w:r>
      <w:r>
        <w:rPr>
          <w:rFonts w:ascii="Arial" w:hAnsi="Arial" w:cs="Arial"/>
          <w:sz w:val="22"/>
          <w:szCs w:val="22"/>
        </w:rPr>
        <w:t>s</w:t>
      </w:r>
      <w:r w:rsidR="00653C20" w:rsidRPr="00653C20">
        <w:rPr>
          <w:rFonts w:ascii="Arial" w:hAnsi="Arial" w:cs="Arial"/>
          <w:sz w:val="22"/>
          <w:szCs w:val="22"/>
        </w:rPr>
        <w:t xml:space="preserve"> </w:t>
      </w:r>
      <w:r>
        <w:rPr>
          <w:rFonts w:ascii="Arial" w:hAnsi="Arial" w:cs="Arial"/>
          <w:sz w:val="22"/>
          <w:szCs w:val="22"/>
        </w:rPr>
        <w:t xml:space="preserve">were a result </w:t>
      </w:r>
      <w:r w:rsidR="00653C20" w:rsidRPr="00653C20">
        <w:rPr>
          <w:rFonts w:ascii="Arial" w:hAnsi="Arial" w:cs="Arial"/>
          <w:sz w:val="22"/>
          <w:szCs w:val="22"/>
        </w:rPr>
        <w:t xml:space="preserve">of community concerns </w:t>
      </w:r>
      <w:r>
        <w:rPr>
          <w:rFonts w:ascii="Arial" w:hAnsi="Arial" w:cs="Arial"/>
          <w:sz w:val="22"/>
          <w:szCs w:val="22"/>
        </w:rPr>
        <w:t xml:space="preserve">arising from </w:t>
      </w:r>
      <w:r w:rsidR="00AF0730">
        <w:rPr>
          <w:rFonts w:ascii="Arial" w:hAnsi="Arial" w:cs="Arial"/>
          <w:sz w:val="22"/>
          <w:szCs w:val="22"/>
        </w:rPr>
        <w:t xml:space="preserve">new </w:t>
      </w:r>
      <w:r>
        <w:rPr>
          <w:rFonts w:ascii="Arial" w:hAnsi="Arial" w:cs="Arial"/>
          <w:sz w:val="22"/>
          <w:szCs w:val="22"/>
        </w:rPr>
        <w:t>proposals</w:t>
      </w:r>
      <w:r w:rsidR="00AF0730">
        <w:rPr>
          <w:rFonts w:ascii="Arial" w:hAnsi="Arial" w:cs="Arial"/>
          <w:sz w:val="22"/>
          <w:szCs w:val="22"/>
        </w:rPr>
        <w:t xml:space="preserve">. In particular, </w:t>
      </w:r>
      <w:r w:rsidR="00FF4A12">
        <w:rPr>
          <w:rFonts w:ascii="Arial" w:hAnsi="Arial" w:cs="Arial"/>
          <w:sz w:val="22"/>
          <w:szCs w:val="22"/>
        </w:rPr>
        <w:t xml:space="preserve">wind farm sites </w:t>
      </w:r>
      <w:r w:rsidR="00AF0730">
        <w:rPr>
          <w:rFonts w:ascii="Arial" w:hAnsi="Arial" w:cs="Arial"/>
          <w:sz w:val="22"/>
          <w:szCs w:val="22"/>
        </w:rPr>
        <w:t xml:space="preserve">proposed </w:t>
      </w:r>
      <w:r w:rsidR="00FF4A12">
        <w:rPr>
          <w:rFonts w:ascii="Arial" w:hAnsi="Arial" w:cs="Arial"/>
          <w:sz w:val="22"/>
          <w:szCs w:val="22"/>
        </w:rPr>
        <w:t xml:space="preserve">within </w:t>
      </w:r>
      <w:r>
        <w:rPr>
          <w:rFonts w:ascii="Arial" w:hAnsi="Arial" w:cs="Arial"/>
          <w:sz w:val="22"/>
          <w:szCs w:val="22"/>
        </w:rPr>
        <w:t xml:space="preserve">existing </w:t>
      </w:r>
      <w:r w:rsidR="00653C20" w:rsidRPr="00653C20">
        <w:rPr>
          <w:rFonts w:ascii="Arial" w:hAnsi="Arial" w:cs="Arial"/>
          <w:sz w:val="22"/>
          <w:szCs w:val="22"/>
        </w:rPr>
        <w:t>forest plantation</w:t>
      </w:r>
      <w:r w:rsidR="00653C20" w:rsidRPr="00FF4A12">
        <w:rPr>
          <w:rFonts w:ascii="Arial" w:hAnsi="Arial" w:cs="Arial"/>
          <w:sz w:val="22"/>
          <w:szCs w:val="22"/>
        </w:rPr>
        <w:t xml:space="preserve">s </w:t>
      </w:r>
      <w:r w:rsidR="00FF4A12">
        <w:rPr>
          <w:rFonts w:ascii="Arial" w:hAnsi="Arial" w:cs="Arial"/>
          <w:sz w:val="22"/>
          <w:szCs w:val="22"/>
        </w:rPr>
        <w:t>across</w:t>
      </w:r>
      <w:r w:rsidR="00B062EF">
        <w:rPr>
          <w:rFonts w:ascii="Arial" w:hAnsi="Arial" w:cs="Arial"/>
          <w:sz w:val="22"/>
          <w:szCs w:val="22"/>
        </w:rPr>
        <w:t xml:space="preserve"> </w:t>
      </w:r>
      <w:r w:rsidR="00653C20" w:rsidRPr="00653C20">
        <w:rPr>
          <w:rFonts w:ascii="Arial" w:hAnsi="Arial" w:cs="Arial"/>
          <w:sz w:val="22"/>
          <w:szCs w:val="22"/>
        </w:rPr>
        <w:t xml:space="preserve">Queensland, </w:t>
      </w:r>
      <w:r w:rsidR="00653C20" w:rsidRPr="00DD35D3">
        <w:rPr>
          <w:rFonts w:ascii="Arial" w:hAnsi="Arial" w:cs="Arial"/>
          <w:sz w:val="22"/>
          <w:szCs w:val="22"/>
        </w:rPr>
        <w:t>Victoria and Tasmania</w:t>
      </w:r>
      <w:r w:rsidR="00AF0730" w:rsidRPr="00DD35D3">
        <w:rPr>
          <w:rFonts w:ascii="Arial" w:hAnsi="Arial" w:cs="Arial"/>
          <w:sz w:val="22"/>
          <w:szCs w:val="22"/>
        </w:rPr>
        <w:t xml:space="preserve"> have generated</w:t>
      </w:r>
      <w:r w:rsidR="00653C20" w:rsidRPr="00DD35D3">
        <w:rPr>
          <w:rFonts w:ascii="Arial" w:hAnsi="Arial" w:cs="Arial"/>
          <w:sz w:val="22"/>
          <w:szCs w:val="22"/>
        </w:rPr>
        <w:t xml:space="preserve"> </w:t>
      </w:r>
      <w:r>
        <w:rPr>
          <w:rFonts w:ascii="Arial" w:hAnsi="Arial" w:cs="Arial"/>
          <w:sz w:val="22"/>
          <w:szCs w:val="22"/>
        </w:rPr>
        <w:t xml:space="preserve">specific </w:t>
      </w:r>
      <w:r w:rsidR="00653C20" w:rsidRPr="00DD35D3">
        <w:rPr>
          <w:rFonts w:ascii="Arial" w:hAnsi="Arial" w:cs="Arial"/>
          <w:sz w:val="22"/>
          <w:szCs w:val="22"/>
        </w:rPr>
        <w:t>community concerns</w:t>
      </w:r>
      <w:r>
        <w:rPr>
          <w:rFonts w:ascii="Arial" w:hAnsi="Arial" w:cs="Arial"/>
          <w:sz w:val="22"/>
          <w:szCs w:val="22"/>
        </w:rPr>
        <w:t xml:space="preserve"> to be addressed</w:t>
      </w:r>
      <w:r w:rsidR="00653C20" w:rsidRPr="00DD35D3">
        <w:rPr>
          <w:rFonts w:ascii="Arial" w:hAnsi="Arial" w:cs="Arial"/>
          <w:sz w:val="22"/>
          <w:szCs w:val="22"/>
        </w:rPr>
        <w:t>.</w:t>
      </w:r>
      <w:r w:rsidR="00DD35D3" w:rsidRPr="00DD35D3">
        <w:rPr>
          <w:rFonts w:ascii="Arial" w:hAnsi="Arial" w:cs="Arial"/>
          <w:sz w:val="22"/>
          <w:szCs w:val="22"/>
        </w:rPr>
        <w:t xml:space="preserve"> </w:t>
      </w:r>
      <w:r>
        <w:rPr>
          <w:rFonts w:ascii="Arial" w:hAnsi="Arial" w:cs="Arial"/>
          <w:sz w:val="22"/>
          <w:szCs w:val="22"/>
        </w:rPr>
        <w:t>Other types of complaints prevalent in 2020</w:t>
      </w:r>
      <w:r w:rsidR="00DD35D3">
        <w:rPr>
          <w:rFonts w:ascii="Arial" w:hAnsi="Arial" w:cs="Arial"/>
          <w:sz w:val="22"/>
          <w:szCs w:val="22"/>
        </w:rPr>
        <w:t xml:space="preserve"> relat</w:t>
      </w:r>
      <w:r>
        <w:rPr>
          <w:rFonts w:ascii="Arial" w:hAnsi="Arial" w:cs="Arial"/>
          <w:sz w:val="22"/>
          <w:szCs w:val="22"/>
        </w:rPr>
        <w:t>ed</w:t>
      </w:r>
      <w:r w:rsidR="00DD35D3">
        <w:rPr>
          <w:rFonts w:ascii="Arial" w:hAnsi="Arial" w:cs="Arial"/>
          <w:sz w:val="22"/>
          <w:szCs w:val="22"/>
        </w:rPr>
        <w:t xml:space="preserve"> to </w:t>
      </w:r>
      <w:r w:rsidR="00DD35D3" w:rsidRPr="00DD35D3">
        <w:rPr>
          <w:rFonts w:ascii="Arial" w:hAnsi="Arial" w:cs="Arial"/>
          <w:sz w:val="22"/>
          <w:szCs w:val="22"/>
        </w:rPr>
        <w:t>commercial agreements, visual amenity</w:t>
      </w:r>
      <w:r w:rsidR="00DD35D3">
        <w:rPr>
          <w:rFonts w:ascii="Arial" w:hAnsi="Arial" w:cs="Arial"/>
          <w:sz w:val="22"/>
          <w:szCs w:val="22"/>
        </w:rPr>
        <w:t xml:space="preserve"> impacts</w:t>
      </w:r>
      <w:r w:rsidR="00DD35D3" w:rsidRPr="00DD35D3">
        <w:rPr>
          <w:rFonts w:ascii="Arial" w:hAnsi="Arial" w:cs="Arial"/>
          <w:sz w:val="22"/>
          <w:szCs w:val="22"/>
        </w:rPr>
        <w:t>,</w:t>
      </w:r>
      <w:r w:rsidR="00DD35D3">
        <w:rPr>
          <w:rFonts w:ascii="Arial" w:hAnsi="Arial" w:cs="Arial"/>
          <w:sz w:val="22"/>
          <w:szCs w:val="22"/>
        </w:rPr>
        <w:t xml:space="preserve"> statutory</w:t>
      </w:r>
      <w:r w:rsidR="00DD35D3" w:rsidRPr="00DD35D3">
        <w:rPr>
          <w:rFonts w:ascii="Arial" w:hAnsi="Arial" w:cs="Arial"/>
          <w:sz w:val="22"/>
          <w:szCs w:val="22"/>
        </w:rPr>
        <w:t xml:space="preserve"> planning processes and </w:t>
      </w:r>
      <w:r w:rsidR="00B73AE5">
        <w:rPr>
          <w:rFonts w:ascii="Arial" w:hAnsi="Arial" w:cs="Arial"/>
          <w:sz w:val="22"/>
          <w:szCs w:val="22"/>
        </w:rPr>
        <w:t>in</w:t>
      </w:r>
      <w:r w:rsidR="00DD35D3" w:rsidRPr="00DD35D3">
        <w:rPr>
          <w:rFonts w:ascii="Arial" w:hAnsi="Arial" w:cs="Arial"/>
          <w:sz w:val="22"/>
          <w:szCs w:val="22"/>
        </w:rPr>
        <w:t xml:space="preserve">effective community engagement. </w:t>
      </w:r>
      <w:r w:rsidR="00B73AE5">
        <w:rPr>
          <w:rFonts w:ascii="Arial" w:hAnsi="Arial" w:cs="Arial"/>
          <w:sz w:val="22"/>
          <w:szCs w:val="22"/>
        </w:rPr>
        <w:t>T</w:t>
      </w:r>
      <w:r w:rsidR="00FA253F" w:rsidRPr="00DD35D3">
        <w:rPr>
          <w:rFonts w:ascii="Arial" w:hAnsi="Arial" w:cs="Arial"/>
          <w:color w:val="000000"/>
          <w:sz w:val="22"/>
          <w:szCs w:val="22"/>
        </w:rPr>
        <w:t xml:space="preserve">he </w:t>
      </w:r>
      <w:r w:rsidR="00653C20" w:rsidRPr="00DD35D3">
        <w:rPr>
          <w:rFonts w:ascii="Arial" w:hAnsi="Arial" w:cs="Arial"/>
          <w:color w:val="000000"/>
          <w:sz w:val="22"/>
          <w:szCs w:val="22"/>
        </w:rPr>
        <w:t xml:space="preserve">analysis of complaints received throughout 2020 </w:t>
      </w:r>
      <w:r w:rsidR="00FA253F" w:rsidRPr="00DD35D3">
        <w:rPr>
          <w:rFonts w:ascii="Arial" w:hAnsi="Arial" w:cs="Arial"/>
          <w:color w:val="000000"/>
          <w:sz w:val="22"/>
          <w:szCs w:val="22"/>
        </w:rPr>
        <w:t>is</w:t>
      </w:r>
      <w:r w:rsidR="00653C20" w:rsidRPr="00DD35D3">
        <w:rPr>
          <w:rFonts w:ascii="Arial" w:hAnsi="Arial" w:cs="Arial"/>
          <w:color w:val="000000"/>
          <w:sz w:val="22"/>
          <w:szCs w:val="22"/>
        </w:rPr>
        <w:t xml:space="preserve"> available on </w:t>
      </w:r>
      <w:r w:rsidR="00653C20" w:rsidRPr="00B910AA">
        <w:rPr>
          <w:rFonts w:ascii="Arial" w:hAnsi="Arial" w:cs="Arial"/>
          <w:color w:val="000000"/>
          <w:sz w:val="22"/>
          <w:szCs w:val="22"/>
        </w:rPr>
        <w:t xml:space="preserve">pages </w:t>
      </w:r>
      <w:r w:rsidR="0072304E">
        <w:rPr>
          <w:rFonts w:ascii="Arial" w:hAnsi="Arial" w:cs="Arial"/>
          <w:color w:val="000000"/>
          <w:sz w:val="22"/>
          <w:szCs w:val="22"/>
        </w:rPr>
        <w:t>7</w:t>
      </w:r>
      <w:r w:rsidR="00653C20" w:rsidRPr="00B910AA">
        <w:rPr>
          <w:rFonts w:ascii="Arial" w:hAnsi="Arial" w:cs="Arial"/>
          <w:color w:val="000000"/>
          <w:sz w:val="22"/>
          <w:szCs w:val="22"/>
        </w:rPr>
        <w:t>-1</w:t>
      </w:r>
      <w:r w:rsidR="0072304E">
        <w:rPr>
          <w:rFonts w:ascii="Arial" w:hAnsi="Arial" w:cs="Arial"/>
          <w:color w:val="000000"/>
          <w:sz w:val="22"/>
          <w:szCs w:val="22"/>
        </w:rPr>
        <w:t>4</w:t>
      </w:r>
      <w:r w:rsidR="00653C20" w:rsidRPr="00DD35D3">
        <w:rPr>
          <w:rFonts w:ascii="Arial" w:hAnsi="Arial" w:cs="Arial"/>
          <w:color w:val="000000"/>
          <w:sz w:val="22"/>
          <w:szCs w:val="22"/>
        </w:rPr>
        <w:t xml:space="preserve"> of this report.</w:t>
      </w:r>
    </w:p>
    <w:p w14:paraId="553E9F4B" w14:textId="288C9844" w:rsidR="00463598" w:rsidRPr="00F80261" w:rsidRDefault="00412928" w:rsidP="00463598">
      <w:pPr>
        <w:pStyle w:val="gmail-p1"/>
        <w:spacing w:before="0" w:beforeAutospacing="0" w:after="200" w:afterAutospacing="0" w:line="264" w:lineRule="auto"/>
        <w:rPr>
          <w:rFonts w:ascii="Arial" w:hAnsi="Arial" w:cs="Arial"/>
          <w:sz w:val="22"/>
          <w:szCs w:val="22"/>
        </w:rPr>
      </w:pPr>
      <w:r>
        <w:rPr>
          <w:rFonts w:ascii="Arial" w:hAnsi="Arial" w:cs="Arial"/>
          <w:color w:val="000000"/>
          <w:sz w:val="22"/>
          <w:szCs w:val="22"/>
        </w:rPr>
        <w:t xml:space="preserve">Despite the travel restrictions, </w:t>
      </w:r>
      <w:r w:rsidR="00463598">
        <w:rPr>
          <w:rFonts w:ascii="Arial" w:hAnsi="Arial" w:cs="Arial"/>
          <w:color w:val="000000"/>
          <w:sz w:val="22"/>
          <w:szCs w:val="22"/>
        </w:rPr>
        <w:t>t</w:t>
      </w:r>
      <w:r w:rsidR="00E959C2" w:rsidRPr="00F80261">
        <w:rPr>
          <w:rFonts w:ascii="Arial" w:hAnsi="Arial" w:cs="Arial"/>
          <w:color w:val="000000"/>
          <w:sz w:val="22"/>
          <w:szCs w:val="22"/>
        </w:rPr>
        <w:t>he Office also continue</w:t>
      </w:r>
      <w:r>
        <w:rPr>
          <w:rFonts w:ascii="Arial" w:hAnsi="Arial" w:cs="Arial"/>
          <w:color w:val="000000"/>
          <w:sz w:val="22"/>
          <w:szCs w:val="22"/>
        </w:rPr>
        <w:t>d</w:t>
      </w:r>
      <w:r w:rsidR="00E959C2" w:rsidRPr="00F80261">
        <w:rPr>
          <w:rFonts w:ascii="Arial" w:hAnsi="Arial" w:cs="Arial"/>
          <w:color w:val="000000"/>
          <w:sz w:val="22"/>
          <w:szCs w:val="22"/>
        </w:rPr>
        <w:t xml:space="preserve"> to participate in</w:t>
      </w:r>
      <w:r w:rsidR="00AA582D" w:rsidRPr="00F80261">
        <w:rPr>
          <w:rFonts w:ascii="Arial" w:hAnsi="Arial" w:cs="Arial"/>
          <w:color w:val="000000"/>
          <w:sz w:val="22"/>
          <w:szCs w:val="22"/>
        </w:rPr>
        <w:t xml:space="preserve"> community meetings, including Community Consultative Committee meetings and Council meetings</w:t>
      </w:r>
      <w:r w:rsidR="00463598">
        <w:rPr>
          <w:rFonts w:ascii="Arial" w:hAnsi="Arial" w:cs="Arial"/>
          <w:color w:val="000000"/>
          <w:sz w:val="22"/>
          <w:szCs w:val="22"/>
        </w:rPr>
        <w:t>,</w:t>
      </w:r>
      <w:r w:rsidR="00AA582D" w:rsidRPr="00F80261">
        <w:rPr>
          <w:rFonts w:ascii="Arial" w:hAnsi="Arial" w:cs="Arial"/>
          <w:color w:val="000000"/>
          <w:sz w:val="22"/>
          <w:szCs w:val="22"/>
        </w:rPr>
        <w:t xml:space="preserve"> to discuss various </w:t>
      </w:r>
      <w:r w:rsidR="00463598">
        <w:rPr>
          <w:rFonts w:ascii="Arial" w:hAnsi="Arial" w:cs="Arial"/>
          <w:color w:val="000000"/>
          <w:sz w:val="22"/>
          <w:szCs w:val="22"/>
        </w:rPr>
        <w:t xml:space="preserve">local </w:t>
      </w:r>
      <w:r w:rsidR="00AA582D" w:rsidRPr="00F80261">
        <w:rPr>
          <w:rFonts w:ascii="Arial" w:hAnsi="Arial" w:cs="Arial"/>
          <w:color w:val="000000"/>
          <w:sz w:val="22"/>
          <w:szCs w:val="22"/>
        </w:rPr>
        <w:t>issues and how they can best be addressed.</w:t>
      </w:r>
      <w:r w:rsidR="00F80261" w:rsidRPr="00F80261">
        <w:rPr>
          <w:rFonts w:ascii="Arial" w:hAnsi="Arial" w:cs="Arial"/>
          <w:color w:val="000000"/>
          <w:sz w:val="22"/>
          <w:szCs w:val="22"/>
        </w:rPr>
        <w:t xml:space="preserve"> </w:t>
      </w:r>
      <w:r>
        <w:rPr>
          <w:rFonts w:ascii="Arial" w:hAnsi="Arial" w:cs="Arial"/>
          <w:color w:val="000000"/>
          <w:sz w:val="22"/>
          <w:szCs w:val="22"/>
        </w:rPr>
        <w:t xml:space="preserve">We continued to </w:t>
      </w:r>
      <w:r w:rsidR="00463598" w:rsidRPr="00463598">
        <w:rPr>
          <w:rFonts w:ascii="Arial" w:hAnsi="Arial" w:cs="Arial"/>
          <w:color w:val="000000"/>
          <w:sz w:val="22"/>
          <w:szCs w:val="22"/>
        </w:rPr>
        <w:t>maintain</w:t>
      </w:r>
      <w:r w:rsidR="00463598" w:rsidRPr="00463598">
        <w:rPr>
          <w:rFonts w:ascii="Arial" w:hAnsi="Arial" w:cs="Arial"/>
          <w:sz w:val="22"/>
          <w:szCs w:val="22"/>
        </w:rPr>
        <w:t xml:space="preserve"> a</w:t>
      </w:r>
      <w:r>
        <w:rPr>
          <w:rFonts w:ascii="Arial" w:hAnsi="Arial" w:cs="Arial"/>
          <w:sz w:val="22"/>
          <w:szCs w:val="22"/>
        </w:rPr>
        <w:t xml:space="preserve">nd grow our </w:t>
      </w:r>
      <w:r w:rsidR="00463598" w:rsidRPr="00463598">
        <w:rPr>
          <w:rFonts w:ascii="Arial" w:hAnsi="Arial" w:cs="Arial"/>
          <w:sz w:val="22"/>
          <w:szCs w:val="22"/>
        </w:rPr>
        <w:t xml:space="preserve">large and active network of stakeholders </w:t>
      </w:r>
      <w:r w:rsidR="00463598">
        <w:rPr>
          <w:rFonts w:ascii="Arial" w:hAnsi="Arial" w:cs="Arial"/>
          <w:sz w:val="22"/>
          <w:szCs w:val="22"/>
        </w:rPr>
        <w:t xml:space="preserve">and </w:t>
      </w:r>
      <w:r>
        <w:rPr>
          <w:rFonts w:ascii="Arial" w:hAnsi="Arial" w:cs="Arial"/>
          <w:sz w:val="22"/>
          <w:szCs w:val="22"/>
        </w:rPr>
        <w:t xml:space="preserve">we continue to be </w:t>
      </w:r>
      <w:r w:rsidR="00463598" w:rsidRPr="009C1177">
        <w:rPr>
          <w:rFonts w:ascii="Arial" w:hAnsi="Arial" w:cs="Arial"/>
          <w:sz w:val="22"/>
          <w:szCs w:val="22"/>
        </w:rPr>
        <w:t xml:space="preserve">invited to engage with various groups </w:t>
      </w:r>
      <w:r>
        <w:rPr>
          <w:rFonts w:ascii="Arial" w:hAnsi="Arial" w:cs="Arial"/>
          <w:sz w:val="22"/>
          <w:szCs w:val="22"/>
        </w:rPr>
        <w:t xml:space="preserve">to share our best practices </w:t>
      </w:r>
      <w:r w:rsidR="00463598" w:rsidRPr="009C1177">
        <w:rPr>
          <w:rFonts w:ascii="Arial" w:hAnsi="Arial" w:cs="Arial"/>
          <w:sz w:val="22"/>
          <w:szCs w:val="22"/>
        </w:rPr>
        <w:t xml:space="preserve">advice </w:t>
      </w:r>
      <w:r>
        <w:rPr>
          <w:rFonts w:ascii="Arial" w:hAnsi="Arial" w:cs="Arial"/>
          <w:sz w:val="22"/>
          <w:szCs w:val="22"/>
        </w:rPr>
        <w:t>regarding</w:t>
      </w:r>
      <w:r w:rsidR="00463598" w:rsidRPr="009C1177">
        <w:rPr>
          <w:rFonts w:ascii="Arial" w:hAnsi="Arial" w:cs="Arial"/>
          <w:sz w:val="22"/>
          <w:szCs w:val="22"/>
        </w:rPr>
        <w:t xml:space="preserve"> community engagement and comp</w:t>
      </w:r>
      <w:r w:rsidR="00463598">
        <w:rPr>
          <w:rFonts w:ascii="Arial" w:hAnsi="Arial" w:cs="Arial"/>
          <w:sz w:val="22"/>
          <w:szCs w:val="22"/>
        </w:rPr>
        <w:t xml:space="preserve">laint handling. </w:t>
      </w:r>
      <w:r w:rsidR="00D64A2E">
        <w:rPr>
          <w:rFonts w:ascii="Arial" w:hAnsi="Arial" w:cs="Arial"/>
          <w:sz w:val="22"/>
          <w:szCs w:val="22"/>
        </w:rPr>
        <w:t>F</w:t>
      </w:r>
      <w:r w:rsidR="00463598" w:rsidRPr="00F80261">
        <w:rPr>
          <w:rFonts w:ascii="Arial" w:hAnsi="Arial" w:cs="Arial"/>
          <w:sz w:val="22"/>
          <w:szCs w:val="22"/>
        </w:rPr>
        <w:t>urther information on the Office’s stakeholder engagement and advocacy activities are discussed in</w:t>
      </w:r>
      <w:r w:rsidR="00463598" w:rsidRPr="00F80261">
        <w:rPr>
          <w:rFonts w:ascii="Arial" w:hAnsi="Arial" w:cs="Arial"/>
          <w:color w:val="000000"/>
          <w:sz w:val="22"/>
          <w:szCs w:val="22"/>
        </w:rPr>
        <w:t xml:space="preserve"> pages </w:t>
      </w:r>
      <w:r w:rsidR="00463598" w:rsidRPr="00B910AA">
        <w:rPr>
          <w:rFonts w:ascii="Arial" w:hAnsi="Arial" w:cs="Arial"/>
          <w:color w:val="000000"/>
          <w:sz w:val="22"/>
          <w:szCs w:val="22"/>
        </w:rPr>
        <w:t>1</w:t>
      </w:r>
      <w:r w:rsidR="0072304E">
        <w:rPr>
          <w:rFonts w:ascii="Arial" w:hAnsi="Arial" w:cs="Arial"/>
          <w:color w:val="000000"/>
          <w:sz w:val="22"/>
          <w:szCs w:val="22"/>
        </w:rPr>
        <w:t>5</w:t>
      </w:r>
      <w:r w:rsidR="00463598" w:rsidRPr="00B910AA">
        <w:rPr>
          <w:rFonts w:ascii="Arial" w:hAnsi="Arial" w:cs="Arial"/>
          <w:color w:val="000000"/>
          <w:sz w:val="22"/>
          <w:szCs w:val="22"/>
        </w:rPr>
        <w:t>-</w:t>
      </w:r>
      <w:r w:rsidR="00C23E61" w:rsidRPr="00B910AA">
        <w:rPr>
          <w:rFonts w:ascii="Arial" w:hAnsi="Arial" w:cs="Arial"/>
          <w:color w:val="000000"/>
          <w:sz w:val="22"/>
          <w:szCs w:val="22"/>
        </w:rPr>
        <w:t>1</w:t>
      </w:r>
      <w:r w:rsidR="0072304E">
        <w:rPr>
          <w:rFonts w:ascii="Arial" w:hAnsi="Arial" w:cs="Arial"/>
          <w:color w:val="000000"/>
          <w:sz w:val="22"/>
          <w:szCs w:val="22"/>
        </w:rPr>
        <w:t>9</w:t>
      </w:r>
      <w:r w:rsidR="00463598" w:rsidRPr="00B910AA">
        <w:rPr>
          <w:rFonts w:ascii="Arial" w:hAnsi="Arial" w:cs="Arial"/>
          <w:color w:val="000000"/>
          <w:sz w:val="22"/>
          <w:szCs w:val="22"/>
        </w:rPr>
        <w:t xml:space="preserve"> </w:t>
      </w:r>
      <w:r w:rsidR="00463598" w:rsidRPr="00F80261">
        <w:rPr>
          <w:rFonts w:ascii="Arial" w:hAnsi="Arial" w:cs="Arial"/>
          <w:sz w:val="22"/>
          <w:szCs w:val="22"/>
        </w:rPr>
        <w:t>of this report.</w:t>
      </w:r>
    </w:p>
    <w:p w14:paraId="69741837" w14:textId="08C2E04D" w:rsidR="00FB41E2" w:rsidRDefault="009C1177" w:rsidP="00463598">
      <w:pPr>
        <w:pStyle w:val="gmail-p1"/>
        <w:spacing w:before="0" w:beforeAutospacing="0" w:after="200" w:afterAutospacing="0" w:line="264" w:lineRule="auto"/>
        <w:rPr>
          <w:rFonts w:ascii="Arial" w:hAnsi="Arial" w:cs="Arial"/>
          <w:sz w:val="22"/>
          <w:szCs w:val="22"/>
        </w:rPr>
      </w:pPr>
      <w:r>
        <w:rPr>
          <w:rFonts w:ascii="Arial" w:hAnsi="Arial" w:cs="Arial"/>
          <w:sz w:val="22"/>
          <w:szCs w:val="22"/>
        </w:rPr>
        <w:t>Finally, t</w:t>
      </w:r>
      <w:r w:rsidR="00AE2C55" w:rsidRPr="00AE2C55">
        <w:rPr>
          <w:rFonts w:ascii="Arial" w:hAnsi="Arial" w:cs="Arial"/>
          <w:sz w:val="22"/>
          <w:szCs w:val="22"/>
        </w:rPr>
        <w:t>his report includes</w:t>
      </w:r>
      <w:r w:rsidR="00AE2C55" w:rsidRPr="00CD38F1">
        <w:rPr>
          <w:rFonts w:ascii="Arial" w:hAnsi="Arial" w:cs="Arial"/>
          <w:sz w:val="22"/>
          <w:szCs w:val="22"/>
        </w:rPr>
        <w:t xml:space="preserve"> a synopsis of some of the key </w:t>
      </w:r>
      <w:r w:rsidR="00D64A2E">
        <w:rPr>
          <w:rFonts w:ascii="Arial" w:hAnsi="Arial" w:cs="Arial"/>
          <w:sz w:val="22"/>
          <w:szCs w:val="22"/>
        </w:rPr>
        <w:t>reforms</w:t>
      </w:r>
      <w:r w:rsidR="00AE2C55" w:rsidRPr="00CD38F1">
        <w:rPr>
          <w:rFonts w:ascii="Arial" w:hAnsi="Arial" w:cs="Arial"/>
          <w:sz w:val="22"/>
          <w:szCs w:val="22"/>
        </w:rPr>
        <w:t xml:space="preserve"> and issues that the Office has identified and been </w:t>
      </w:r>
      <w:r w:rsidR="00D64A2E">
        <w:rPr>
          <w:rFonts w:ascii="Arial" w:hAnsi="Arial" w:cs="Arial"/>
          <w:sz w:val="22"/>
          <w:szCs w:val="22"/>
        </w:rPr>
        <w:t>engaged in</w:t>
      </w:r>
      <w:r w:rsidR="00AE2C55" w:rsidRPr="00CD38F1">
        <w:rPr>
          <w:rFonts w:ascii="Arial" w:hAnsi="Arial" w:cs="Arial"/>
          <w:sz w:val="22"/>
          <w:szCs w:val="22"/>
        </w:rPr>
        <w:t xml:space="preserve"> </w:t>
      </w:r>
      <w:r w:rsidR="00D64A2E">
        <w:rPr>
          <w:rFonts w:ascii="Arial" w:hAnsi="Arial" w:cs="Arial"/>
          <w:sz w:val="22"/>
          <w:szCs w:val="22"/>
        </w:rPr>
        <w:t>during 2020</w:t>
      </w:r>
      <w:r w:rsidR="00AE2C55" w:rsidRPr="00CD38F1">
        <w:rPr>
          <w:rFonts w:ascii="Arial" w:hAnsi="Arial" w:cs="Arial"/>
          <w:sz w:val="22"/>
          <w:szCs w:val="22"/>
        </w:rPr>
        <w:t xml:space="preserve">. </w:t>
      </w:r>
      <w:r w:rsidR="00D64A2E">
        <w:rPr>
          <w:rFonts w:ascii="Arial" w:hAnsi="Arial" w:cs="Arial"/>
          <w:sz w:val="22"/>
          <w:szCs w:val="22"/>
        </w:rPr>
        <w:t>These include legislative and regulation reforms being implemented as a result of our recommendations and advocacy</w:t>
      </w:r>
      <w:r w:rsidR="00FB41E2">
        <w:rPr>
          <w:rFonts w:ascii="Arial" w:hAnsi="Arial" w:cs="Arial"/>
          <w:sz w:val="22"/>
          <w:szCs w:val="22"/>
        </w:rPr>
        <w:t>, in particular related to wind farm noise regulation and compliance</w:t>
      </w:r>
      <w:r w:rsidR="0072304E">
        <w:rPr>
          <w:rFonts w:ascii="Arial" w:hAnsi="Arial" w:cs="Arial"/>
          <w:sz w:val="22"/>
          <w:szCs w:val="22"/>
        </w:rPr>
        <w:t>.</w:t>
      </w:r>
    </w:p>
    <w:p w14:paraId="405DA15F" w14:textId="48F1E93C" w:rsidR="007722A2" w:rsidRDefault="00FB41E2" w:rsidP="00463598">
      <w:pPr>
        <w:pStyle w:val="gmail-p1"/>
        <w:spacing w:before="0" w:beforeAutospacing="0" w:after="200" w:afterAutospacing="0" w:line="264" w:lineRule="auto"/>
        <w:rPr>
          <w:rFonts w:ascii="Arial" w:hAnsi="Arial" w:cs="Arial"/>
          <w:sz w:val="22"/>
          <w:szCs w:val="22"/>
        </w:rPr>
      </w:pPr>
      <w:r>
        <w:rPr>
          <w:rFonts w:ascii="Arial" w:hAnsi="Arial" w:cs="Arial"/>
          <w:sz w:val="22"/>
          <w:szCs w:val="22"/>
        </w:rPr>
        <w:t xml:space="preserve">We have also identified and raised concerns regarding work place safety as a result of a sharp increase in incidents over the past year. Our efforts have resulted in a much more transparent approach by industry to </w:t>
      </w:r>
      <w:r w:rsidR="007722A2">
        <w:rPr>
          <w:rFonts w:ascii="Arial" w:hAnsi="Arial" w:cs="Arial"/>
          <w:sz w:val="22"/>
          <w:szCs w:val="22"/>
        </w:rPr>
        <w:t xml:space="preserve">immediately </w:t>
      </w:r>
      <w:r>
        <w:rPr>
          <w:rFonts w:ascii="Arial" w:hAnsi="Arial" w:cs="Arial"/>
          <w:sz w:val="22"/>
          <w:szCs w:val="22"/>
        </w:rPr>
        <w:t>share safety incident alert data, along with root cause analysis and corrective action</w:t>
      </w:r>
      <w:r w:rsidR="0072304E">
        <w:rPr>
          <w:rFonts w:ascii="Arial" w:hAnsi="Arial" w:cs="Arial"/>
          <w:sz w:val="22"/>
          <w:szCs w:val="22"/>
        </w:rPr>
        <w:t>s, across all industry members.</w:t>
      </w:r>
    </w:p>
    <w:p w14:paraId="02823EE3" w14:textId="45A9C784" w:rsidR="00FB41E2" w:rsidRDefault="00FB41E2" w:rsidP="00463598">
      <w:pPr>
        <w:pStyle w:val="gmail-p1"/>
        <w:spacing w:before="0" w:beforeAutospacing="0" w:after="200" w:afterAutospacing="0" w:line="264" w:lineRule="auto"/>
        <w:rPr>
          <w:rFonts w:ascii="Arial" w:hAnsi="Arial" w:cs="Arial"/>
          <w:sz w:val="22"/>
          <w:szCs w:val="22"/>
        </w:rPr>
      </w:pPr>
      <w:r>
        <w:rPr>
          <w:rFonts w:ascii="Arial" w:hAnsi="Arial" w:cs="Arial"/>
          <w:sz w:val="22"/>
          <w:szCs w:val="22"/>
        </w:rPr>
        <w:t xml:space="preserve">This transparency should vastly improve industry’s ability to </w:t>
      </w:r>
      <w:r w:rsidR="007722A2">
        <w:rPr>
          <w:rFonts w:ascii="Arial" w:hAnsi="Arial" w:cs="Arial"/>
          <w:sz w:val="22"/>
          <w:szCs w:val="22"/>
        </w:rPr>
        <w:t xml:space="preserve">swiftly </w:t>
      </w:r>
      <w:r>
        <w:rPr>
          <w:rFonts w:ascii="Arial" w:hAnsi="Arial" w:cs="Arial"/>
          <w:sz w:val="22"/>
          <w:szCs w:val="22"/>
        </w:rPr>
        <w:t>take steps to prevent repeat incidents</w:t>
      </w:r>
      <w:r w:rsidR="007722A2">
        <w:rPr>
          <w:rFonts w:ascii="Arial" w:hAnsi="Arial" w:cs="Arial"/>
          <w:sz w:val="22"/>
          <w:szCs w:val="22"/>
        </w:rPr>
        <w:t>,</w:t>
      </w:r>
      <w:r>
        <w:rPr>
          <w:rFonts w:ascii="Arial" w:hAnsi="Arial" w:cs="Arial"/>
          <w:sz w:val="22"/>
          <w:szCs w:val="22"/>
        </w:rPr>
        <w:t xml:space="preserve"> as well as make </w:t>
      </w:r>
      <w:r w:rsidR="007722A2">
        <w:rPr>
          <w:rFonts w:ascii="Arial" w:hAnsi="Arial" w:cs="Arial"/>
          <w:sz w:val="22"/>
          <w:szCs w:val="22"/>
        </w:rPr>
        <w:t xml:space="preserve">safety focussed </w:t>
      </w:r>
      <w:r>
        <w:rPr>
          <w:rFonts w:ascii="Arial" w:hAnsi="Arial" w:cs="Arial"/>
          <w:sz w:val="22"/>
          <w:szCs w:val="22"/>
        </w:rPr>
        <w:t>improvements to work practices through to equipment design. We have also built relationships</w:t>
      </w:r>
      <w:r w:rsidR="000A0214">
        <w:rPr>
          <w:rFonts w:ascii="Arial" w:hAnsi="Arial" w:cs="Arial"/>
          <w:sz w:val="22"/>
          <w:szCs w:val="22"/>
        </w:rPr>
        <w:t xml:space="preserve"> with relevant workplace safety regulators to help ensure they are well informed and engaged with industry.</w:t>
      </w:r>
    </w:p>
    <w:p w14:paraId="54C0FCCA" w14:textId="4E84B44E" w:rsidR="00D64A2E" w:rsidRDefault="00D64A2E" w:rsidP="00463598">
      <w:pPr>
        <w:pStyle w:val="gmail-p1"/>
        <w:spacing w:before="0" w:beforeAutospacing="0" w:after="200" w:afterAutospacing="0" w:line="264" w:lineRule="auto"/>
        <w:rPr>
          <w:rFonts w:ascii="Arial" w:hAnsi="Arial" w:cs="Arial"/>
          <w:sz w:val="22"/>
          <w:szCs w:val="22"/>
        </w:rPr>
      </w:pPr>
      <w:r>
        <w:rPr>
          <w:rFonts w:ascii="Arial" w:hAnsi="Arial" w:cs="Arial"/>
          <w:sz w:val="22"/>
          <w:szCs w:val="22"/>
        </w:rPr>
        <w:t xml:space="preserve">It is always pleasing to see such </w:t>
      </w:r>
      <w:r w:rsidR="000A0214">
        <w:rPr>
          <w:rFonts w:ascii="Arial" w:hAnsi="Arial" w:cs="Arial"/>
          <w:sz w:val="22"/>
          <w:szCs w:val="22"/>
        </w:rPr>
        <w:t xml:space="preserve">reforms and </w:t>
      </w:r>
      <w:r>
        <w:rPr>
          <w:rFonts w:ascii="Arial" w:hAnsi="Arial" w:cs="Arial"/>
          <w:sz w:val="22"/>
          <w:szCs w:val="22"/>
        </w:rPr>
        <w:t xml:space="preserve">changes being introduced </w:t>
      </w:r>
      <w:r w:rsidR="000A0214">
        <w:rPr>
          <w:rFonts w:ascii="Arial" w:hAnsi="Arial" w:cs="Arial"/>
          <w:sz w:val="22"/>
          <w:szCs w:val="22"/>
        </w:rPr>
        <w:t>– e</w:t>
      </w:r>
      <w:r>
        <w:rPr>
          <w:rFonts w:ascii="Arial" w:hAnsi="Arial" w:cs="Arial"/>
          <w:sz w:val="22"/>
          <w:szCs w:val="22"/>
        </w:rPr>
        <w:t xml:space="preserve">vidence that our role and small team is making a </w:t>
      </w:r>
      <w:r w:rsidR="000A0214">
        <w:rPr>
          <w:rFonts w:ascii="Arial" w:hAnsi="Arial" w:cs="Arial"/>
          <w:sz w:val="22"/>
          <w:szCs w:val="22"/>
        </w:rPr>
        <w:t xml:space="preserve">material, </w:t>
      </w:r>
      <w:r>
        <w:rPr>
          <w:rFonts w:ascii="Arial" w:hAnsi="Arial" w:cs="Arial"/>
          <w:sz w:val="22"/>
          <w:szCs w:val="22"/>
        </w:rPr>
        <w:t>constructive impact.</w:t>
      </w:r>
    </w:p>
    <w:p w14:paraId="3559B257" w14:textId="77777777" w:rsidR="007759C0" w:rsidRPr="00F47E6D" w:rsidRDefault="007759C0" w:rsidP="007759C0">
      <w:pPr>
        <w:pStyle w:val="Heading2"/>
        <w:spacing w:line="264" w:lineRule="auto"/>
      </w:pPr>
      <w:bookmarkStart w:id="5" w:name="_Toc51224024"/>
      <w:bookmarkStart w:id="6" w:name="_Toc84430802"/>
      <w:r w:rsidRPr="000363BA">
        <w:t>The Year Ahead</w:t>
      </w:r>
      <w:bookmarkEnd w:id="5"/>
      <w:bookmarkEnd w:id="6"/>
    </w:p>
    <w:p w14:paraId="0902CA9F" w14:textId="77D7B88E" w:rsidR="00B9124F" w:rsidRDefault="007722A2" w:rsidP="007C1B60">
      <w:pPr>
        <w:pStyle w:val="gmail-p1"/>
        <w:spacing w:before="0" w:beforeAutospacing="0" w:after="200" w:afterAutospacing="0" w:line="264" w:lineRule="auto"/>
        <w:rPr>
          <w:rFonts w:ascii="Arial" w:hAnsi="Arial" w:cs="Arial"/>
          <w:sz w:val="22"/>
          <w:szCs w:val="22"/>
        </w:rPr>
      </w:pPr>
      <w:r>
        <w:rPr>
          <w:rFonts w:ascii="Arial" w:hAnsi="Arial" w:cs="Arial"/>
          <w:sz w:val="22"/>
          <w:szCs w:val="22"/>
        </w:rPr>
        <w:t>On 26 March 2021, the Minister announced that our role would be further</w:t>
      </w:r>
      <w:r w:rsidR="00096A1A">
        <w:rPr>
          <w:rFonts w:ascii="Arial" w:hAnsi="Arial" w:cs="Arial"/>
          <w:sz w:val="22"/>
          <w:szCs w:val="22"/>
        </w:rPr>
        <w:t xml:space="preserve"> expanded to include new, large-</w:t>
      </w:r>
      <w:r>
        <w:rPr>
          <w:rFonts w:ascii="Arial" w:hAnsi="Arial" w:cs="Arial"/>
          <w:sz w:val="22"/>
          <w:szCs w:val="22"/>
        </w:rPr>
        <w:t>scale transmission projects and, consistent with our broader remit, changed our name to the Australian Energ</w:t>
      </w:r>
      <w:r w:rsidR="0072304E">
        <w:rPr>
          <w:rFonts w:ascii="Arial" w:hAnsi="Arial" w:cs="Arial"/>
          <w:sz w:val="22"/>
          <w:szCs w:val="22"/>
        </w:rPr>
        <w:t>y Infrastructure Commissioner.</w:t>
      </w:r>
    </w:p>
    <w:p w14:paraId="490C839D" w14:textId="2E9F38B2" w:rsidR="007722A2" w:rsidRDefault="00B9124F" w:rsidP="007C1B60">
      <w:pPr>
        <w:pStyle w:val="gmail-p1"/>
        <w:spacing w:before="0" w:beforeAutospacing="0" w:after="200" w:afterAutospacing="0" w:line="264" w:lineRule="auto"/>
        <w:rPr>
          <w:rFonts w:ascii="Arial" w:hAnsi="Arial" w:cs="Arial"/>
          <w:sz w:val="22"/>
          <w:szCs w:val="22"/>
        </w:rPr>
      </w:pPr>
      <w:r>
        <w:rPr>
          <w:rFonts w:ascii="Arial" w:hAnsi="Arial" w:cs="Arial"/>
          <w:sz w:val="22"/>
          <w:szCs w:val="22"/>
        </w:rPr>
        <w:t xml:space="preserve">Projects include HumeLink, </w:t>
      </w:r>
      <w:r w:rsidR="00D73126">
        <w:rPr>
          <w:rFonts w:ascii="Arial" w:hAnsi="Arial" w:cs="Arial"/>
          <w:sz w:val="22"/>
          <w:szCs w:val="22"/>
        </w:rPr>
        <w:t xml:space="preserve">Project </w:t>
      </w:r>
      <w:r>
        <w:rPr>
          <w:rFonts w:ascii="Arial" w:hAnsi="Arial" w:cs="Arial"/>
          <w:sz w:val="22"/>
          <w:szCs w:val="22"/>
        </w:rPr>
        <w:t>EnergyConnect, Marinus Link, Western Victoria Transmission Network Project, and V</w:t>
      </w:r>
      <w:r w:rsidR="00D73126">
        <w:rPr>
          <w:rFonts w:ascii="Arial" w:hAnsi="Arial" w:cs="Arial"/>
          <w:sz w:val="22"/>
          <w:szCs w:val="22"/>
        </w:rPr>
        <w:t xml:space="preserve">ictoria to </w:t>
      </w:r>
      <w:r>
        <w:rPr>
          <w:rFonts w:ascii="Arial" w:hAnsi="Arial" w:cs="Arial"/>
          <w:sz w:val="22"/>
          <w:szCs w:val="22"/>
        </w:rPr>
        <w:t>N</w:t>
      </w:r>
      <w:r w:rsidR="00D73126">
        <w:rPr>
          <w:rFonts w:ascii="Arial" w:hAnsi="Arial" w:cs="Arial"/>
          <w:sz w:val="22"/>
          <w:szCs w:val="22"/>
        </w:rPr>
        <w:t xml:space="preserve">ew South Wales </w:t>
      </w:r>
      <w:r>
        <w:rPr>
          <w:rFonts w:ascii="Arial" w:hAnsi="Arial" w:cs="Arial"/>
          <w:sz w:val="22"/>
          <w:szCs w:val="22"/>
        </w:rPr>
        <w:t>I</w:t>
      </w:r>
      <w:r w:rsidR="00D73126">
        <w:rPr>
          <w:rFonts w:ascii="Arial" w:hAnsi="Arial" w:cs="Arial"/>
          <w:sz w:val="22"/>
          <w:szCs w:val="22"/>
        </w:rPr>
        <w:t>nterconnector</w:t>
      </w:r>
      <w:r>
        <w:rPr>
          <w:rFonts w:ascii="Arial" w:hAnsi="Arial" w:cs="Arial"/>
          <w:sz w:val="22"/>
          <w:szCs w:val="22"/>
        </w:rPr>
        <w:t xml:space="preserve"> West. </w:t>
      </w:r>
      <w:r w:rsidR="007722A2">
        <w:rPr>
          <w:rFonts w:ascii="Arial" w:hAnsi="Arial" w:cs="Arial"/>
          <w:sz w:val="22"/>
          <w:szCs w:val="22"/>
        </w:rPr>
        <w:t xml:space="preserve">We look forward to working with that sector and affected community members, utilising our experience and best practices </w:t>
      </w:r>
      <w:r w:rsidR="00E84BBA">
        <w:rPr>
          <w:rFonts w:ascii="Arial" w:hAnsi="Arial" w:cs="Arial"/>
          <w:sz w:val="22"/>
          <w:szCs w:val="22"/>
        </w:rPr>
        <w:t xml:space="preserve">acquired </w:t>
      </w:r>
      <w:r w:rsidR="007722A2">
        <w:rPr>
          <w:rFonts w:ascii="Arial" w:hAnsi="Arial" w:cs="Arial"/>
          <w:sz w:val="22"/>
          <w:szCs w:val="22"/>
        </w:rPr>
        <w:t xml:space="preserve">from </w:t>
      </w:r>
      <w:r w:rsidR="00E84BBA">
        <w:rPr>
          <w:rFonts w:ascii="Arial" w:hAnsi="Arial" w:cs="Arial"/>
          <w:sz w:val="22"/>
          <w:szCs w:val="22"/>
        </w:rPr>
        <w:t>our work in the renewable energy generation sectors.</w:t>
      </w:r>
    </w:p>
    <w:p w14:paraId="4D1B83EE" w14:textId="4AFAF040" w:rsidR="00AE2C55" w:rsidRDefault="007C1B60" w:rsidP="007C1B60">
      <w:pPr>
        <w:pStyle w:val="gmail-p1"/>
        <w:spacing w:before="0" w:beforeAutospacing="0" w:after="200" w:afterAutospacing="0" w:line="264" w:lineRule="auto"/>
        <w:rPr>
          <w:rFonts w:ascii="Arial" w:hAnsi="Arial" w:cs="Arial"/>
          <w:sz w:val="22"/>
          <w:szCs w:val="22"/>
        </w:rPr>
      </w:pPr>
      <w:r w:rsidRPr="007C1B60">
        <w:rPr>
          <w:rFonts w:ascii="Arial" w:hAnsi="Arial" w:cs="Arial"/>
          <w:sz w:val="22"/>
          <w:szCs w:val="22"/>
        </w:rPr>
        <w:t>There have been several state and federal policy announcements</w:t>
      </w:r>
      <w:r w:rsidR="0025301E">
        <w:rPr>
          <w:rFonts w:ascii="Arial" w:hAnsi="Arial" w:cs="Arial"/>
          <w:sz w:val="22"/>
          <w:szCs w:val="22"/>
        </w:rPr>
        <w:t xml:space="preserve"> in recent times</w:t>
      </w:r>
      <w:r w:rsidR="00FF71F0">
        <w:rPr>
          <w:rFonts w:ascii="Arial" w:hAnsi="Arial" w:cs="Arial"/>
          <w:sz w:val="22"/>
          <w:szCs w:val="22"/>
        </w:rPr>
        <w:t xml:space="preserve"> relating to renewable en</w:t>
      </w:r>
      <w:r w:rsidR="00B9124F">
        <w:rPr>
          <w:rFonts w:ascii="Arial" w:hAnsi="Arial" w:cs="Arial"/>
          <w:sz w:val="22"/>
          <w:szCs w:val="22"/>
        </w:rPr>
        <w:t>ergy. These</w:t>
      </w:r>
      <w:r w:rsidRPr="007C1B60">
        <w:rPr>
          <w:rFonts w:ascii="Arial" w:hAnsi="Arial" w:cs="Arial"/>
          <w:sz w:val="22"/>
          <w:szCs w:val="22"/>
        </w:rPr>
        <w:t xml:space="preserve"> includ</w:t>
      </w:r>
      <w:r w:rsidR="00B9124F">
        <w:rPr>
          <w:rFonts w:ascii="Arial" w:hAnsi="Arial" w:cs="Arial"/>
          <w:sz w:val="22"/>
          <w:szCs w:val="22"/>
        </w:rPr>
        <w:t>e</w:t>
      </w:r>
      <w:r w:rsidRPr="007C1B60">
        <w:rPr>
          <w:rFonts w:ascii="Arial" w:hAnsi="Arial" w:cs="Arial"/>
          <w:sz w:val="22"/>
          <w:szCs w:val="22"/>
        </w:rPr>
        <w:t xml:space="preserve"> the release of the Australian Government’s technology investment roadmap, Tasmania’s 200% renewable energy action plan</w:t>
      </w:r>
      <w:r w:rsidR="0025301E">
        <w:rPr>
          <w:rFonts w:ascii="Arial" w:hAnsi="Arial" w:cs="Arial"/>
          <w:sz w:val="22"/>
          <w:szCs w:val="22"/>
        </w:rPr>
        <w:t>,</w:t>
      </w:r>
      <w:r w:rsidRPr="007C1B60">
        <w:rPr>
          <w:rFonts w:ascii="Arial" w:hAnsi="Arial" w:cs="Arial"/>
          <w:sz w:val="22"/>
          <w:szCs w:val="22"/>
        </w:rPr>
        <w:t xml:space="preserve"> Queensland’</w:t>
      </w:r>
      <w:r w:rsidR="00AE2C55">
        <w:rPr>
          <w:rFonts w:ascii="Arial" w:hAnsi="Arial" w:cs="Arial"/>
          <w:sz w:val="22"/>
          <w:szCs w:val="22"/>
        </w:rPr>
        <w:t>s 50% renewable energy target</w:t>
      </w:r>
      <w:r w:rsidR="0025301E">
        <w:rPr>
          <w:rFonts w:ascii="Arial" w:hAnsi="Arial" w:cs="Arial"/>
          <w:sz w:val="22"/>
          <w:szCs w:val="22"/>
        </w:rPr>
        <w:t xml:space="preserve"> along with Renewable Energy Zone (REZ) announcements in Victoria, NSW and Queensland</w:t>
      </w:r>
      <w:r w:rsidR="00AE2C55">
        <w:rPr>
          <w:rFonts w:ascii="Arial" w:hAnsi="Arial" w:cs="Arial"/>
          <w:sz w:val="22"/>
          <w:szCs w:val="22"/>
        </w:rPr>
        <w:t>.</w:t>
      </w:r>
      <w:r w:rsidR="0025301E">
        <w:rPr>
          <w:rFonts w:ascii="Arial" w:hAnsi="Arial" w:cs="Arial"/>
          <w:sz w:val="22"/>
          <w:szCs w:val="22"/>
        </w:rPr>
        <w:t xml:space="preserve"> These initiatives will very much drive the agenda in 2021 and beyond and we are already well engaged in many of the programs.</w:t>
      </w:r>
    </w:p>
    <w:p w14:paraId="6F5F6FF1" w14:textId="1773845E" w:rsidR="00B9124F" w:rsidRPr="008037B2" w:rsidRDefault="00B9124F" w:rsidP="007759C0">
      <w:pPr>
        <w:spacing w:line="264" w:lineRule="auto"/>
        <w:rPr>
          <w:rStyle w:val="gmail-s2"/>
          <w:rFonts w:cs="Arial"/>
        </w:rPr>
      </w:pPr>
      <w:r w:rsidRPr="008037B2">
        <w:rPr>
          <w:rStyle w:val="gmail-s2"/>
          <w:rFonts w:cs="Arial"/>
        </w:rPr>
        <w:t>The Commissioner is a</w:t>
      </w:r>
      <w:r w:rsidR="001A7D9A">
        <w:rPr>
          <w:rStyle w:val="gmail-s2"/>
          <w:rFonts w:cs="Arial"/>
        </w:rPr>
        <w:t>lso a current</w:t>
      </w:r>
      <w:r w:rsidRPr="008037B2">
        <w:rPr>
          <w:rStyle w:val="gmail-s2"/>
          <w:rFonts w:cs="Arial"/>
        </w:rPr>
        <w:t xml:space="preserve"> member of various governance and reference groups</w:t>
      </w:r>
      <w:r w:rsidR="001A7D9A">
        <w:rPr>
          <w:rStyle w:val="gmail-s2"/>
          <w:rFonts w:cs="Arial"/>
        </w:rPr>
        <w:t>,</w:t>
      </w:r>
      <w:r w:rsidRPr="008037B2">
        <w:rPr>
          <w:rStyle w:val="gmail-s2"/>
          <w:rFonts w:cs="Arial"/>
        </w:rPr>
        <w:t xml:space="preserve"> includ</w:t>
      </w:r>
      <w:r w:rsidR="001A7D9A">
        <w:rPr>
          <w:rStyle w:val="gmail-s2"/>
          <w:rFonts w:cs="Arial"/>
        </w:rPr>
        <w:t>ing</w:t>
      </w:r>
      <w:r w:rsidRPr="008037B2">
        <w:rPr>
          <w:rStyle w:val="gmail-s2"/>
          <w:rFonts w:cs="Arial"/>
        </w:rPr>
        <w:t>:</w:t>
      </w:r>
    </w:p>
    <w:p w14:paraId="4A692570" w14:textId="77777777" w:rsidR="008037B2" w:rsidRPr="004F5A4B" w:rsidRDefault="008037B2" w:rsidP="007A1D42">
      <w:pPr>
        <w:pStyle w:val="ListParagraph"/>
        <w:numPr>
          <w:ilvl w:val="0"/>
          <w:numId w:val="22"/>
        </w:numPr>
        <w:spacing w:before="120" w:line="264" w:lineRule="auto"/>
        <w:ind w:right="505"/>
        <w:rPr>
          <w:rFonts w:eastAsia="Times New Roman" w:cs="Arial"/>
        </w:rPr>
      </w:pPr>
      <w:r w:rsidRPr="004F5A4B">
        <w:rPr>
          <w:rFonts w:eastAsia="Times New Roman" w:cs="Arial"/>
        </w:rPr>
        <w:t xml:space="preserve">NSW Government </w:t>
      </w:r>
      <w:r w:rsidRPr="004F5A4B">
        <w:rPr>
          <w:rFonts w:eastAsia="Arial" w:cs="Arial"/>
        </w:rPr>
        <w:t>Currandooley Bushfire Coronial Inquiry Working Group</w:t>
      </w:r>
    </w:p>
    <w:p w14:paraId="3ECE1B78" w14:textId="4FC82911" w:rsidR="008037B2" w:rsidRPr="004F5A4B" w:rsidRDefault="008037B2" w:rsidP="007A1D42">
      <w:pPr>
        <w:pStyle w:val="ListParagraph"/>
        <w:numPr>
          <w:ilvl w:val="0"/>
          <w:numId w:val="22"/>
        </w:numPr>
        <w:spacing w:before="120" w:line="264" w:lineRule="auto"/>
        <w:ind w:right="505"/>
        <w:rPr>
          <w:rFonts w:eastAsia="Times New Roman" w:cs="Arial"/>
        </w:rPr>
      </w:pPr>
      <w:r w:rsidRPr="004F5A4B">
        <w:rPr>
          <w:rFonts w:eastAsia="Times New Roman" w:cs="Arial"/>
        </w:rPr>
        <w:lastRenderedPageBreak/>
        <w:t xml:space="preserve">Western Victoria Transmission Network Project stakeholder </w:t>
      </w:r>
      <w:r w:rsidR="001A7D9A">
        <w:rPr>
          <w:rFonts w:eastAsia="Times New Roman" w:cs="Arial"/>
        </w:rPr>
        <w:t>reference group</w:t>
      </w:r>
    </w:p>
    <w:p w14:paraId="0400A603" w14:textId="77777777" w:rsidR="008037B2" w:rsidRPr="004F5A4B" w:rsidRDefault="008037B2" w:rsidP="007A1D42">
      <w:pPr>
        <w:pStyle w:val="ListParagraph"/>
        <w:numPr>
          <w:ilvl w:val="0"/>
          <w:numId w:val="22"/>
        </w:numPr>
        <w:spacing w:before="120" w:line="264" w:lineRule="auto"/>
        <w:ind w:right="505"/>
        <w:rPr>
          <w:rFonts w:eastAsia="Times New Roman" w:cs="Arial"/>
        </w:rPr>
      </w:pPr>
      <w:r w:rsidRPr="004F5A4B">
        <w:rPr>
          <w:rFonts w:eastAsia="Times New Roman" w:cs="Arial"/>
        </w:rPr>
        <w:t xml:space="preserve">Standards Australia - </w:t>
      </w:r>
      <w:r w:rsidRPr="004F5A4B">
        <w:rPr>
          <w:rFonts w:cs="Arial"/>
        </w:rPr>
        <w:t xml:space="preserve">EL-048 Technical Committee </w:t>
      </w:r>
      <w:r w:rsidRPr="004F5A4B">
        <w:rPr>
          <w:rFonts w:cs="Arial"/>
          <w:color w:val="080707"/>
          <w:shd w:val="clear" w:color="auto" w:fill="FFFFFF"/>
        </w:rPr>
        <w:t>Wind Energy Generation Systems</w:t>
      </w:r>
    </w:p>
    <w:p w14:paraId="27ED6548" w14:textId="77777777" w:rsidR="008037B2" w:rsidRDefault="008037B2" w:rsidP="007A1D42">
      <w:pPr>
        <w:pStyle w:val="ListParagraph"/>
        <w:numPr>
          <w:ilvl w:val="0"/>
          <w:numId w:val="22"/>
        </w:numPr>
        <w:spacing w:before="120" w:line="264" w:lineRule="auto"/>
        <w:ind w:right="505"/>
        <w:rPr>
          <w:rFonts w:eastAsia="Times New Roman" w:cs="Arial"/>
        </w:rPr>
      </w:pPr>
      <w:r w:rsidRPr="004F5A4B">
        <w:rPr>
          <w:rFonts w:eastAsia="Times New Roman" w:cs="Arial"/>
        </w:rPr>
        <w:t>NSW Government Renewable Energy Zone Reference Group, and</w:t>
      </w:r>
    </w:p>
    <w:p w14:paraId="3B1F2248" w14:textId="59534ABB" w:rsidR="00B9124F" w:rsidRPr="008037B2" w:rsidRDefault="008037B2" w:rsidP="007A1D42">
      <w:pPr>
        <w:pStyle w:val="ListParagraph"/>
        <w:numPr>
          <w:ilvl w:val="0"/>
          <w:numId w:val="22"/>
        </w:numPr>
        <w:spacing w:before="120" w:line="264" w:lineRule="auto"/>
        <w:ind w:right="505"/>
        <w:rPr>
          <w:rStyle w:val="gmail-s2"/>
          <w:rFonts w:eastAsia="Times New Roman" w:cs="Arial"/>
        </w:rPr>
      </w:pPr>
      <w:r w:rsidRPr="008037B2">
        <w:rPr>
          <w:rFonts w:eastAsia="Times New Roman" w:cs="Arial"/>
        </w:rPr>
        <w:t>Humelink Transmission Reference Group.</w:t>
      </w:r>
    </w:p>
    <w:p w14:paraId="7730CEE7" w14:textId="0607AC08" w:rsidR="007759C0" w:rsidRDefault="007759C0" w:rsidP="007759C0">
      <w:pPr>
        <w:spacing w:line="264" w:lineRule="auto"/>
        <w:rPr>
          <w:rStyle w:val="gmail-s1"/>
          <w:rFonts w:cs="Arial"/>
        </w:rPr>
      </w:pPr>
      <w:r>
        <w:rPr>
          <w:rStyle w:val="gmail-s2"/>
          <w:rFonts w:cs="Arial"/>
        </w:rPr>
        <w:t xml:space="preserve">The </w:t>
      </w:r>
      <w:r w:rsidRPr="004146C5">
        <w:rPr>
          <w:rStyle w:val="gmail-s2"/>
          <w:rFonts w:cs="Arial"/>
        </w:rPr>
        <w:t xml:space="preserve">Office </w:t>
      </w:r>
      <w:r>
        <w:rPr>
          <w:rStyle w:val="gmail-s2"/>
          <w:rFonts w:cs="Arial"/>
        </w:rPr>
        <w:t>will</w:t>
      </w:r>
      <w:r w:rsidRPr="004146C5">
        <w:rPr>
          <w:rStyle w:val="gmail-s2"/>
          <w:rFonts w:cs="Arial"/>
        </w:rPr>
        <w:t xml:space="preserve"> </w:t>
      </w:r>
      <w:r w:rsidRPr="004146C5">
        <w:rPr>
          <w:rFonts w:cs="Arial"/>
        </w:rPr>
        <w:t xml:space="preserve">continue </w:t>
      </w:r>
      <w:r>
        <w:rPr>
          <w:rFonts w:cs="Arial"/>
        </w:rPr>
        <w:t xml:space="preserve">to </w:t>
      </w:r>
      <w:r w:rsidRPr="004146C5">
        <w:rPr>
          <w:rFonts w:cs="Arial"/>
        </w:rPr>
        <w:t>play an important role for communities and residents affected by new and operating projects, while maintaining a strong relationship with industry, governments and other</w:t>
      </w:r>
      <w:r>
        <w:rPr>
          <w:rFonts w:cs="Arial"/>
        </w:rPr>
        <w:t xml:space="preserve"> </w:t>
      </w:r>
      <w:r w:rsidRPr="004146C5">
        <w:rPr>
          <w:rFonts w:cs="Arial"/>
        </w:rPr>
        <w:t>stakeholders.</w:t>
      </w:r>
      <w:r>
        <w:rPr>
          <w:rFonts w:cs="Arial"/>
        </w:rPr>
        <w:t xml:space="preserve"> </w:t>
      </w:r>
      <w:r w:rsidRPr="004146C5">
        <w:rPr>
          <w:rStyle w:val="gmail-s1"/>
          <w:rFonts w:cs="Arial"/>
        </w:rPr>
        <w:t xml:space="preserve">The Commissioner looks forward to continuing to assist in resolving complaints, promoting best practices and increasing transparency within the large-scale renewable industry </w:t>
      </w:r>
      <w:r w:rsidR="00290CC4">
        <w:rPr>
          <w:rFonts w:cs="Arial"/>
          <w:lang w:val="en"/>
        </w:rPr>
        <w:t>d</w:t>
      </w:r>
      <w:r w:rsidR="00290CC4" w:rsidRPr="001C681F">
        <w:rPr>
          <w:rFonts w:cs="Arial"/>
          <w:lang w:val="en"/>
        </w:rPr>
        <w:t>uring this period of rapid change</w:t>
      </w:r>
      <w:r w:rsidRPr="004146C5">
        <w:rPr>
          <w:rStyle w:val="gmail-s1"/>
          <w:rFonts w:cs="Arial"/>
        </w:rPr>
        <w:t>.</w:t>
      </w:r>
    </w:p>
    <w:p w14:paraId="267E6E6D" w14:textId="5E4BA142" w:rsidR="00F80261" w:rsidRPr="001C681F" w:rsidRDefault="00547CD6" w:rsidP="00F80261">
      <w:pPr>
        <w:spacing w:line="264" w:lineRule="auto"/>
        <w:rPr>
          <w:rFonts w:cs="Arial"/>
          <w:lang w:val="en"/>
        </w:rPr>
      </w:pPr>
      <w:r>
        <w:rPr>
          <w:rStyle w:val="gmail-s1"/>
          <w:rFonts w:cs="Arial"/>
        </w:rPr>
        <w:t xml:space="preserve">As </w:t>
      </w:r>
      <w:r w:rsidR="00636515">
        <w:rPr>
          <w:rStyle w:val="gmail-s1"/>
          <w:rFonts w:cs="Arial"/>
        </w:rPr>
        <w:t>of writing this report, we have re</w:t>
      </w:r>
      <w:r w:rsidR="00013D5D">
        <w:rPr>
          <w:rStyle w:val="gmail-s1"/>
          <w:rFonts w:cs="Arial"/>
        </w:rPr>
        <w:t>turned to our office in Melbourne after</w:t>
      </w:r>
      <w:r w:rsidR="001A7D9A">
        <w:rPr>
          <w:rStyle w:val="gmail-s1"/>
          <w:rFonts w:cs="Arial"/>
        </w:rPr>
        <w:t xml:space="preserve"> approximately</w:t>
      </w:r>
      <w:r w:rsidR="00013D5D">
        <w:rPr>
          <w:rStyle w:val="gmail-s1"/>
          <w:rFonts w:cs="Arial"/>
        </w:rPr>
        <w:t xml:space="preserve"> twelve months of working from home. W</w:t>
      </w:r>
      <w:r>
        <w:rPr>
          <w:rStyle w:val="gmail-s1"/>
          <w:rFonts w:cs="Arial"/>
        </w:rPr>
        <w:t xml:space="preserve">e will </w:t>
      </w:r>
      <w:r w:rsidR="008159FC">
        <w:rPr>
          <w:rStyle w:val="gmail-s1"/>
          <w:rFonts w:cs="Arial"/>
        </w:rPr>
        <w:t xml:space="preserve">carefully </w:t>
      </w:r>
      <w:r>
        <w:rPr>
          <w:rStyle w:val="gmail-s1"/>
          <w:rFonts w:cs="Arial"/>
        </w:rPr>
        <w:t>monitor</w:t>
      </w:r>
      <w:r w:rsidR="008159FC">
        <w:rPr>
          <w:rStyle w:val="gmail-s1"/>
          <w:rFonts w:cs="Arial"/>
        </w:rPr>
        <w:t xml:space="preserve"> </w:t>
      </w:r>
      <w:r w:rsidR="00243120">
        <w:rPr>
          <w:rStyle w:val="gmail-s1"/>
          <w:rFonts w:cs="Arial"/>
        </w:rPr>
        <w:t>ongoing impacts of COVID-</w:t>
      </w:r>
      <w:r w:rsidR="000B5FAF">
        <w:rPr>
          <w:rStyle w:val="gmail-s1"/>
          <w:rFonts w:cs="Arial"/>
        </w:rPr>
        <w:t xml:space="preserve">19 restrictions </w:t>
      </w:r>
      <w:r w:rsidR="008159FC">
        <w:rPr>
          <w:rStyle w:val="gmail-s1"/>
          <w:rFonts w:cs="Arial"/>
        </w:rPr>
        <w:t>with anticipation</w:t>
      </w:r>
      <w:r w:rsidR="007759C0">
        <w:rPr>
          <w:rStyle w:val="gmail-s1"/>
          <w:rFonts w:cs="Arial"/>
        </w:rPr>
        <w:t xml:space="preserve"> of </w:t>
      </w:r>
      <w:r w:rsidR="008159FC">
        <w:rPr>
          <w:rStyle w:val="gmail-s1"/>
          <w:rFonts w:cs="Arial"/>
        </w:rPr>
        <w:t xml:space="preserve">re-commencing </w:t>
      </w:r>
      <w:r w:rsidR="000B5FAF">
        <w:rPr>
          <w:rStyle w:val="gmail-s1"/>
          <w:rFonts w:cs="Arial"/>
        </w:rPr>
        <w:t xml:space="preserve">interstate </w:t>
      </w:r>
      <w:r w:rsidR="007759C0">
        <w:rPr>
          <w:rStyle w:val="gmail-s1"/>
          <w:rFonts w:cs="Arial"/>
        </w:rPr>
        <w:t>site visits and face-to-face meetings with stakeholders</w:t>
      </w:r>
      <w:r w:rsidR="000B5FAF">
        <w:rPr>
          <w:rStyle w:val="gmail-s1"/>
          <w:rFonts w:cs="Arial"/>
        </w:rPr>
        <w:t xml:space="preserve"> during this year</w:t>
      </w:r>
      <w:r w:rsidR="007759C0">
        <w:rPr>
          <w:rStyle w:val="gmail-s1"/>
          <w:rFonts w:cs="Arial"/>
        </w:rPr>
        <w:t>.</w:t>
      </w:r>
      <w:r w:rsidR="00F80261" w:rsidRPr="001C681F">
        <w:rPr>
          <w:rFonts w:cs="Arial"/>
          <w:color w:val="000000"/>
        </w:rPr>
        <w:t xml:space="preserve"> </w:t>
      </w:r>
    </w:p>
    <w:p w14:paraId="5B5F24D6" w14:textId="5250835D" w:rsidR="007759C0" w:rsidRDefault="00290CC4" w:rsidP="007759C0">
      <w:pPr>
        <w:spacing w:line="264" w:lineRule="auto"/>
        <w:rPr>
          <w:rStyle w:val="gmail-s1"/>
          <w:rFonts w:cs="Arial"/>
        </w:rPr>
      </w:pPr>
      <w:r>
        <w:rPr>
          <w:rStyle w:val="gmail-s1"/>
          <w:rFonts w:cs="Arial"/>
        </w:rPr>
        <w:t>Finally, w</w:t>
      </w:r>
      <w:r w:rsidR="007759C0">
        <w:rPr>
          <w:rStyle w:val="gmail-s1"/>
          <w:rFonts w:cs="Arial"/>
        </w:rPr>
        <w:t>e w</w:t>
      </w:r>
      <w:r w:rsidR="000B5FAF">
        <w:rPr>
          <w:rStyle w:val="gmail-s1"/>
          <w:rFonts w:cs="Arial"/>
        </w:rPr>
        <w:t xml:space="preserve">ould like to take this opportunity to thank </w:t>
      </w:r>
      <w:r w:rsidR="007759C0">
        <w:rPr>
          <w:rStyle w:val="gmail-s1"/>
          <w:rFonts w:cs="Arial"/>
        </w:rPr>
        <w:t xml:space="preserve">all of our stakeholders </w:t>
      </w:r>
      <w:r w:rsidR="000B5FAF">
        <w:rPr>
          <w:rStyle w:val="gmail-s1"/>
          <w:rFonts w:cs="Arial"/>
        </w:rPr>
        <w:t xml:space="preserve">for continuing to work effectively with us </w:t>
      </w:r>
      <w:r w:rsidR="007759C0">
        <w:rPr>
          <w:rStyle w:val="gmail-s1"/>
          <w:rFonts w:cs="Arial"/>
        </w:rPr>
        <w:t>through</w:t>
      </w:r>
      <w:r w:rsidR="00CD38F1">
        <w:rPr>
          <w:rStyle w:val="gmail-s1"/>
          <w:rFonts w:cs="Arial"/>
        </w:rPr>
        <w:t>out</w:t>
      </w:r>
      <w:r w:rsidR="007759C0">
        <w:rPr>
          <w:rStyle w:val="gmail-s1"/>
          <w:rFonts w:cs="Arial"/>
        </w:rPr>
        <w:t xml:space="preserve"> </w:t>
      </w:r>
      <w:r w:rsidR="00CD38F1">
        <w:rPr>
          <w:rStyle w:val="gmail-s1"/>
          <w:rFonts w:cs="Arial"/>
        </w:rPr>
        <w:t>what has been a</w:t>
      </w:r>
      <w:r w:rsidR="007759C0">
        <w:rPr>
          <w:rStyle w:val="gmail-s1"/>
          <w:rFonts w:cs="Arial"/>
        </w:rPr>
        <w:t xml:space="preserve"> </w:t>
      </w:r>
      <w:r w:rsidR="000B5FAF">
        <w:rPr>
          <w:rStyle w:val="gmail-s1"/>
          <w:rFonts w:cs="Arial"/>
        </w:rPr>
        <w:t>d</w:t>
      </w:r>
      <w:r w:rsidR="0096290B">
        <w:rPr>
          <w:rStyle w:val="gmail-s1"/>
          <w:rFonts w:cs="Arial"/>
        </w:rPr>
        <w:t>ifficult</w:t>
      </w:r>
      <w:r w:rsidR="007759C0">
        <w:rPr>
          <w:rStyle w:val="gmail-s1"/>
          <w:rFonts w:cs="Arial"/>
        </w:rPr>
        <w:t xml:space="preserve"> </w:t>
      </w:r>
      <w:r w:rsidR="0096290B">
        <w:rPr>
          <w:rStyle w:val="gmail-s1"/>
          <w:rFonts w:cs="Arial"/>
        </w:rPr>
        <w:t xml:space="preserve">year </w:t>
      </w:r>
      <w:r w:rsidR="001A7D9A">
        <w:rPr>
          <w:rStyle w:val="gmail-s1"/>
          <w:rFonts w:cs="Arial"/>
        </w:rPr>
        <w:t>dealing</w:t>
      </w:r>
      <w:r w:rsidR="0096290B">
        <w:rPr>
          <w:rStyle w:val="gmail-s1"/>
          <w:rFonts w:cs="Arial"/>
        </w:rPr>
        <w:t xml:space="preserve"> with the various challenges of the COVID-19 pandemic</w:t>
      </w:r>
      <w:r w:rsidR="00CD38F1">
        <w:rPr>
          <w:rStyle w:val="gmail-s1"/>
          <w:rFonts w:cs="Arial"/>
        </w:rPr>
        <w:t xml:space="preserve">. We </w:t>
      </w:r>
      <w:r w:rsidR="007759C0">
        <w:rPr>
          <w:rStyle w:val="gmail-s1"/>
          <w:rFonts w:cs="Arial"/>
        </w:rPr>
        <w:t>look forward to providing you with our continued support and assistance throughout 202</w:t>
      </w:r>
      <w:r w:rsidR="00CD38F1">
        <w:rPr>
          <w:rStyle w:val="gmail-s1"/>
          <w:rFonts w:cs="Arial"/>
        </w:rPr>
        <w:t>1</w:t>
      </w:r>
      <w:r w:rsidR="007759C0">
        <w:rPr>
          <w:rStyle w:val="gmail-s1"/>
          <w:rFonts w:cs="Arial"/>
        </w:rPr>
        <w:t>.</w:t>
      </w:r>
    </w:p>
    <w:p w14:paraId="6C150C64" w14:textId="77777777" w:rsidR="00BA7BD6" w:rsidRDefault="005874E7" w:rsidP="005874E7">
      <w:pPr>
        <w:spacing w:after="0" w:line="264" w:lineRule="auto"/>
        <w:rPr>
          <w:rFonts w:cs="Arial"/>
          <w:b/>
        </w:rPr>
      </w:pPr>
      <w:r>
        <w:rPr>
          <w:rFonts w:cs="Arial"/>
          <w:noProof/>
          <w:lang w:eastAsia="en-AU"/>
        </w:rPr>
        <w:drawing>
          <wp:inline distT="0" distB="0" distL="0" distR="0" wp14:anchorId="309C1E0D" wp14:editId="7039B2B5">
            <wp:extent cx="821125" cy="561975"/>
            <wp:effectExtent l="0" t="0" r="0" b="0"/>
            <wp:docPr id="7" name="Picture 7"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8644" cy="573965"/>
                    </a:xfrm>
                    <a:prstGeom prst="rect">
                      <a:avLst/>
                    </a:prstGeom>
                    <a:noFill/>
                    <a:ln>
                      <a:noFill/>
                    </a:ln>
                  </pic:spPr>
                </pic:pic>
              </a:graphicData>
            </a:graphic>
          </wp:inline>
        </w:drawing>
      </w:r>
    </w:p>
    <w:p w14:paraId="7E8952AF" w14:textId="77777777" w:rsidR="005874E7" w:rsidRPr="00F47E6D" w:rsidRDefault="005874E7" w:rsidP="005874E7">
      <w:pPr>
        <w:spacing w:after="0" w:line="264" w:lineRule="auto"/>
        <w:rPr>
          <w:rFonts w:cs="Arial"/>
          <w:b/>
        </w:rPr>
      </w:pPr>
      <w:r w:rsidRPr="00F47E6D">
        <w:rPr>
          <w:rFonts w:cs="Arial"/>
          <w:b/>
        </w:rPr>
        <w:t>Andrew Dyer</w:t>
      </w:r>
    </w:p>
    <w:p w14:paraId="7535F53D" w14:textId="7FBC43E6" w:rsidR="005874E7" w:rsidRPr="007A0EF2" w:rsidRDefault="00826069" w:rsidP="00A937DA">
      <w:pPr>
        <w:spacing w:after="0" w:line="264" w:lineRule="auto"/>
        <w:rPr>
          <w:rFonts w:cs="Arial"/>
          <w:b/>
        </w:rPr>
      </w:pPr>
      <w:r>
        <w:rPr>
          <w:rFonts w:ascii="Calibri Light" w:hAnsi="Calibri Light"/>
          <w:b/>
          <w:noProof/>
          <w:lang w:eastAsia="en-AU"/>
        </w:rPr>
        <w:drawing>
          <wp:anchor distT="0" distB="0" distL="114300" distR="114300" simplePos="0" relativeHeight="251660290" behindDoc="1" locked="0" layoutInCell="1" allowOverlap="1" wp14:anchorId="7089CFB9" wp14:editId="71F2E3B7">
            <wp:simplePos x="0" y="0"/>
            <wp:positionH relativeFrom="margin">
              <wp:align>right</wp:align>
            </wp:positionH>
            <wp:positionV relativeFrom="margin">
              <wp:posOffset>7453766</wp:posOffset>
            </wp:positionV>
            <wp:extent cx="2914650" cy="2133600"/>
            <wp:effectExtent l="0" t="0" r="0" b="0"/>
            <wp:wrapSquare wrapText="bothSides"/>
            <wp:docPr id="4" name="Picture 4" descr="C:\Users\A19544\AppData\Local\Microsoft\Windows\Temporary Internet Files\Content.Word\Andrew Dyer Bi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19544\AppData\Local\Microsoft\Windows\Temporary Internet Files\Content.Word\Andrew Dyer Bio Photo.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5774" t="5089" r="19307" b="63246"/>
                    <a:stretch/>
                  </pic:blipFill>
                  <pic:spPr bwMode="auto">
                    <a:xfrm>
                      <a:off x="0" y="0"/>
                      <a:ext cx="29146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6DF6">
        <w:rPr>
          <w:rFonts w:cs="Arial"/>
          <w:b/>
        </w:rPr>
        <w:t>Australian Energy Infrastructure</w:t>
      </w:r>
      <w:r w:rsidR="005874E7">
        <w:rPr>
          <w:rFonts w:cs="Arial"/>
          <w:b/>
        </w:rPr>
        <w:t xml:space="preserve"> </w:t>
      </w:r>
      <w:r w:rsidR="005874E7" w:rsidRPr="00F47E6D">
        <w:rPr>
          <w:rFonts w:cs="Arial"/>
          <w:b/>
        </w:rPr>
        <w:t>Commissioner</w:t>
      </w:r>
    </w:p>
    <w:p w14:paraId="320E1421" w14:textId="77777777" w:rsidR="005874E7" w:rsidRDefault="005874E7" w:rsidP="005874E7">
      <w:pPr>
        <w:spacing w:after="0" w:line="240" w:lineRule="auto"/>
        <w:jc w:val="center"/>
        <w:rPr>
          <w:rFonts w:ascii="Calibri Light" w:hAnsi="Calibri Light"/>
          <w:b/>
        </w:rPr>
        <w:sectPr w:rsidR="005874E7" w:rsidSect="004B44A3">
          <w:headerReference w:type="even" r:id="rId32"/>
          <w:headerReference w:type="default" r:id="rId33"/>
          <w:footerReference w:type="even" r:id="rId34"/>
          <w:footerReference w:type="default" r:id="rId35"/>
          <w:headerReference w:type="first" r:id="rId36"/>
          <w:pgSz w:w="11906" w:h="16838"/>
          <w:pgMar w:top="720" w:right="720" w:bottom="720" w:left="720" w:header="425" w:footer="425" w:gutter="0"/>
          <w:pgNumType w:start="3"/>
          <w:cols w:space="708"/>
          <w:docGrid w:linePitch="360"/>
        </w:sectPr>
      </w:pPr>
    </w:p>
    <w:p w14:paraId="61271046" w14:textId="77777777" w:rsidR="005874E7" w:rsidRPr="00F47E6D" w:rsidRDefault="005874E7" w:rsidP="005874E7">
      <w:pPr>
        <w:pStyle w:val="Heading1"/>
      </w:pPr>
      <w:bookmarkStart w:id="7" w:name="_Toc84430803"/>
      <w:bookmarkStart w:id="8" w:name="_Toc473795853"/>
      <w:r w:rsidRPr="00F47E6D">
        <w:lastRenderedPageBreak/>
        <w:t>Overview</w:t>
      </w:r>
      <w:bookmarkEnd w:id="7"/>
    </w:p>
    <w:p w14:paraId="32A848EA" w14:textId="77777777" w:rsidR="005874E7" w:rsidRPr="00F47E6D" w:rsidRDefault="00564075" w:rsidP="005874E7">
      <w:pPr>
        <w:pStyle w:val="Heading2"/>
      </w:pPr>
      <w:bookmarkStart w:id="9" w:name="_Toc84430804"/>
      <w:bookmarkEnd w:id="8"/>
      <w:r>
        <w:t>Background</w:t>
      </w:r>
      <w:bookmarkEnd w:id="9"/>
    </w:p>
    <w:p w14:paraId="168809E2" w14:textId="77777777" w:rsidR="00911EE5" w:rsidRDefault="007424B9" w:rsidP="00047242">
      <w:pPr>
        <w:spacing w:line="264" w:lineRule="auto"/>
        <w:rPr>
          <w:rFonts w:cs="Arial"/>
        </w:rPr>
      </w:pPr>
      <w:r>
        <w:rPr>
          <w:rFonts w:cs="Arial"/>
        </w:rPr>
        <w:t>T</w:t>
      </w:r>
      <w:r w:rsidRPr="00F47E6D">
        <w:rPr>
          <w:rFonts w:cs="Arial"/>
        </w:rPr>
        <w:t>he National Wind Farm Comm</w:t>
      </w:r>
      <w:r>
        <w:rPr>
          <w:rFonts w:cs="Arial"/>
        </w:rPr>
        <w:t>issioner is an independent role</w:t>
      </w:r>
      <w:r w:rsidRPr="00F47E6D">
        <w:rPr>
          <w:rFonts w:cs="Arial"/>
        </w:rPr>
        <w:t xml:space="preserve"> </w:t>
      </w:r>
      <w:r>
        <w:rPr>
          <w:rFonts w:cs="Arial"/>
        </w:rPr>
        <w:t>e</w:t>
      </w:r>
      <w:r w:rsidRPr="00F47E6D">
        <w:rPr>
          <w:rFonts w:cs="Arial"/>
        </w:rPr>
        <w:t xml:space="preserve">stablished </w:t>
      </w:r>
      <w:r w:rsidR="00BC65B1">
        <w:rPr>
          <w:rFonts w:cs="Arial"/>
        </w:rPr>
        <w:t xml:space="preserve">in </w:t>
      </w:r>
      <w:r w:rsidR="00730D68">
        <w:rPr>
          <w:rFonts w:cs="Arial"/>
        </w:rPr>
        <w:t xml:space="preserve">October </w:t>
      </w:r>
      <w:r w:rsidR="00BC65B1">
        <w:rPr>
          <w:rFonts w:cs="Arial"/>
        </w:rPr>
        <w:t xml:space="preserve">2015 </w:t>
      </w:r>
      <w:r w:rsidR="00705E04" w:rsidRPr="004767EA">
        <w:rPr>
          <w:rFonts w:cs="Arial"/>
        </w:rPr>
        <w:t xml:space="preserve">by the then Minister for the Environment, the Hon Greg Hunt MP. </w:t>
      </w:r>
    </w:p>
    <w:p w14:paraId="7D01F9AB" w14:textId="614E5E64" w:rsidR="005874E7" w:rsidRPr="00047242" w:rsidRDefault="00E37BF7" w:rsidP="00047242">
      <w:pPr>
        <w:spacing w:line="264" w:lineRule="auto"/>
        <w:rPr>
          <w:rStyle w:val="Strong"/>
          <w:rFonts w:cs="Arial"/>
          <w:b w:val="0"/>
          <w:bCs w:val="0"/>
        </w:rPr>
      </w:pPr>
      <w:r w:rsidRPr="00730D68">
        <w:rPr>
          <w:rFonts w:cs="Arial"/>
        </w:rPr>
        <w:t>The role’s creation was initiated by</w:t>
      </w:r>
      <w:r>
        <w:rPr>
          <w:rFonts w:cs="Arial"/>
        </w:rPr>
        <w:t xml:space="preserve"> Recommendation </w:t>
      </w:r>
      <w:r w:rsidRPr="00730D68">
        <w:rPr>
          <w:rFonts w:cs="Arial"/>
        </w:rPr>
        <w:t>5 of the 2015 Senate Committee on Wind Turbines Interim Report</w:t>
      </w:r>
      <w:r>
        <w:rPr>
          <w:rFonts w:cs="Arial"/>
        </w:rPr>
        <w:t>.</w:t>
      </w:r>
      <w:r w:rsidRPr="004767EA">
        <w:rPr>
          <w:rFonts w:cs="Arial"/>
        </w:rPr>
        <w:t xml:space="preserve"> </w:t>
      </w:r>
      <w:r w:rsidR="00705E04" w:rsidRPr="004767EA">
        <w:rPr>
          <w:rFonts w:cs="Arial"/>
        </w:rPr>
        <w:t xml:space="preserve">The Commissioner commenced the role in </w:t>
      </w:r>
      <w:r w:rsidR="00FB41BE" w:rsidRPr="004767EA">
        <w:rPr>
          <w:rFonts w:cs="Arial"/>
        </w:rPr>
        <w:t>November</w:t>
      </w:r>
      <w:r w:rsidR="00FB41BE">
        <w:rPr>
          <w:rFonts w:cs="Arial"/>
        </w:rPr>
        <w:t> </w:t>
      </w:r>
      <w:r w:rsidR="00705E04" w:rsidRPr="004767EA">
        <w:rPr>
          <w:rFonts w:cs="Arial"/>
        </w:rPr>
        <w:t>2015</w:t>
      </w:r>
      <w:r w:rsidR="001F1F44">
        <w:rPr>
          <w:rFonts w:cs="Arial"/>
        </w:rPr>
        <w:t>.</w:t>
      </w:r>
    </w:p>
    <w:p w14:paraId="4FD40BF5" w14:textId="13A8B40E" w:rsidR="00EA6F61" w:rsidRDefault="001F1F44" w:rsidP="00D80348">
      <w:pPr>
        <w:rPr>
          <w:rFonts w:cs="Arial"/>
        </w:rPr>
      </w:pPr>
      <w:r>
        <w:rPr>
          <w:rFonts w:cs="Arial"/>
        </w:rPr>
        <w:t>In</w:t>
      </w:r>
      <w:r w:rsidRPr="00F47E6D">
        <w:rPr>
          <w:rFonts w:cs="Arial"/>
        </w:rPr>
        <w:t xml:space="preserve"> October 201</w:t>
      </w:r>
      <w:r>
        <w:rPr>
          <w:rFonts w:cs="Arial"/>
        </w:rPr>
        <w:t xml:space="preserve">8, following a review by the Climate Change Authority, </w:t>
      </w:r>
      <w:r w:rsidR="00730D68">
        <w:rPr>
          <w:rStyle w:val="gmail-s1"/>
          <w:rFonts w:cs="Arial"/>
        </w:rPr>
        <w:t xml:space="preserve">the </w:t>
      </w:r>
      <w:r w:rsidR="00F52A17">
        <w:rPr>
          <w:rStyle w:val="gmail-s1"/>
          <w:rFonts w:cs="Arial"/>
        </w:rPr>
        <w:t>r</w:t>
      </w:r>
      <w:r w:rsidR="00730D68">
        <w:rPr>
          <w:rStyle w:val="gmail-s1"/>
          <w:rFonts w:cs="Arial"/>
        </w:rPr>
        <w:t xml:space="preserve">ole was extended </w:t>
      </w:r>
      <w:r w:rsidR="00730D68">
        <w:rPr>
          <w:rFonts w:cs="Arial"/>
        </w:rPr>
        <w:t>for a further three years</w:t>
      </w:r>
      <w:r w:rsidR="00730D68">
        <w:rPr>
          <w:rStyle w:val="gmail-s1"/>
          <w:rFonts w:cs="Arial"/>
        </w:rPr>
        <w:t xml:space="preserve"> from the</w:t>
      </w:r>
      <w:r w:rsidR="00730D68">
        <w:rPr>
          <w:rFonts w:cs="Arial"/>
        </w:rPr>
        <w:t xml:space="preserve"> initial</w:t>
      </w:r>
      <w:r w:rsidR="00730D68" w:rsidRPr="00F47E6D">
        <w:rPr>
          <w:rFonts w:cs="Arial"/>
        </w:rPr>
        <w:t xml:space="preserve"> period</w:t>
      </w:r>
      <w:r>
        <w:rPr>
          <w:rFonts w:cs="Arial"/>
        </w:rPr>
        <w:t xml:space="preserve"> and was </w:t>
      </w:r>
      <w:r w:rsidR="004F65E8">
        <w:rPr>
          <w:rFonts w:cs="Arial"/>
        </w:rPr>
        <w:t xml:space="preserve">expanded </w:t>
      </w:r>
      <w:r w:rsidR="004F65E8" w:rsidRPr="0050245A">
        <w:rPr>
          <w:rStyle w:val="gmail-s1"/>
          <w:rFonts w:cs="Arial"/>
        </w:rPr>
        <w:t>to include large</w:t>
      </w:r>
      <w:r w:rsidR="0047107B">
        <w:rPr>
          <w:rStyle w:val="gmail-s1"/>
          <w:rFonts w:cs="Arial"/>
        </w:rPr>
        <w:t>-</w:t>
      </w:r>
      <w:r w:rsidR="004F65E8" w:rsidRPr="0050245A">
        <w:rPr>
          <w:rStyle w:val="gmail-s1"/>
          <w:rFonts w:cs="Arial"/>
        </w:rPr>
        <w:t xml:space="preserve">scale solar farms and </w:t>
      </w:r>
      <w:r w:rsidR="004F65E8" w:rsidRPr="008530B9">
        <w:rPr>
          <w:rStyle w:val="gmail-s1"/>
          <w:rFonts w:cs="Arial"/>
        </w:rPr>
        <w:t>energy storage</w:t>
      </w:r>
      <w:r w:rsidR="001831F6">
        <w:rPr>
          <w:rStyle w:val="gmail-s1"/>
          <w:rFonts w:cs="Arial"/>
        </w:rPr>
        <w:t xml:space="preserve"> facilities</w:t>
      </w:r>
      <w:r w:rsidR="00730D68">
        <w:rPr>
          <w:rFonts w:cs="Arial"/>
        </w:rPr>
        <w:t>.</w:t>
      </w:r>
    </w:p>
    <w:p w14:paraId="4A1039DA" w14:textId="74E7F36F" w:rsidR="00562B02" w:rsidRDefault="00562B02" w:rsidP="00096A1A">
      <w:pPr>
        <w:spacing w:line="264" w:lineRule="auto"/>
        <w:rPr>
          <w:rFonts w:cs="Arial"/>
        </w:rPr>
      </w:pPr>
      <w:r>
        <w:rPr>
          <w:rFonts w:cs="Arial"/>
        </w:rPr>
        <w:t xml:space="preserve">On 26 March 2021, the Minister </w:t>
      </w:r>
      <w:r w:rsidR="00096A1A">
        <w:rPr>
          <w:rFonts w:cs="Arial"/>
        </w:rPr>
        <w:t xml:space="preserve">for </w:t>
      </w:r>
      <w:r w:rsidR="00096A1A" w:rsidRPr="00CE58AE">
        <w:rPr>
          <w:rFonts w:cs="Arial"/>
        </w:rPr>
        <w:t xml:space="preserve">Energy </w:t>
      </w:r>
      <w:r w:rsidR="00096A1A">
        <w:rPr>
          <w:rFonts w:cs="Arial"/>
        </w:rPr>
        <w:t xml:space="preserve">and Emissions Reduction </w:t>
      </w:r>
      <w:r>
        <w:rPr>
          <w:rFonts w:cs="Arial"/>
        </w:rPr>
        <w:t>announced a further expansion to the role, with the inclusion of new large-scale transmission projects and changing the title of the role to the Australian Energy Infrastructure Commissioner.</w:t>
      </w:r>
    </w:p>
    <w:p w14:paraId="14DB9325" w14:textId="676413EB" w:rsidR="00E37BF7" w:rsidRDefault="001F1F44" w:rsidP="005874E7">
      <w:pPr>
        <w:rPr>
          <w:rFonts w:cs="Arial"/>
        </w:rPr>
      </w:pPr>
      <w:r>
        <w:rPr>
          <w:rFonts w:cs="Arial"/>
        </w:rPr>
        <w:t>T</w:t>
      </w:r>
      <w:r w:rsidR="005874E7" w:rsidRPr="00F47E6D">
        <w:rPr>
          <w:rFonts w:cs="Arial"/>
        </w:rPr>
        <w:t>he Commissioner</w:t>
      </w:r>
      <w:r w:rsidR="007424B9">
        <w:rPr>
          <w:rFonts w:cs="Arial"/>
        </w:rPr>
        <w:t>’s</w:t>
      </w:r>
      <w:r w:rsidR="005874E7" w:rsidRPr="00F47E6D">
        <w:rPr>
          <w:rFonts w:cs="Arial"/>
        </w:rPr>
        <w:t xml:space="preserve"> Terms of Reference</w:t>
      </w:r>
      <w:r w:rsidR="00E37BF7">
        <w:rPr>
          <w:rFonts w:cs="Arial"/>
        </w:rPr>
        <w:t xml:space="preserve"> </w:t>
      </w:r>
      <w:r w:rsidR="00562B02">
        <w:rPr>
          <w:rFonts w:cs="Arial"/>
        </w:rPr>
        <w:t xml:space="preserve">as at 31 March 2021 </w:t>
      </w:r>
      <w:r w:rsidR="00E37BF7">
        <w:rPr>
          <w:rFonts w:cs="Arial"/>
        </w:rPr>
        <w:t xml:space="preserve">are </w:t>
      </w:r>
      <w:r w:rsidR="004F65E8">
        <w:rPr>
          <w:rFonts w:cs="Arial"/>
        </w:rPr>
        <w:t xml:space="preserve">available </w:t>
      </w:r>
      <w:r w:rsidR="00355862">
        <w:rPr>
          <w:rFonts w:cs="Arial"/>
        </w:rPr>
        <w:t xml:space="preserve">at </w:t>
      </w:r>
      <w:r w:rsidR="00355862" w:rsidRPr="00B910AA">
        <w:rPr>
          <w:rFonts w:cs="Arial"/>
          <w:u w:val="single"/>
        </w:rPr>
        <w:t xml:space="preserve">Attachment </w:t>
      </w:r>
      <w:r w:rsidR="00B910AA">
        <w:rPr>
          <w:rFonts w:cs="Arial"/>
          <w:u w:val="single"/>
        </w:rPr>
        <w:t>B</w:t>
      </w:r>
      <w:r w:rsidR="00355862">
        <w:rPr>
          <w:rFonts w:cs="Arial"/>
        </w:rPr>
        <w:t xml:space="preserve"> and </w:t>
      </w:r>
      <w:r w:rsidR="00E37BF7">
        <w:rPr>
          <w:rFonts w:cs="Arial"/>
        </w:rPr>
        <w:t>on the Commissioner’s website at:</w:t>
      </w:r>
    </w:p>
    <w:p w14:paraId="46A89D73" w14:textId="75CC5A8D" w:rsidR="005874E7" w:rsidRDefault="00F72FA4" w:rsidP="005874E7">
      <w:pPr>
        <w:rPr>
          <w:rFonts w:cs="Arial"/>
        </w:rPr>
      </w:pPr>
      <w:hyperlink r:id="rId37" w:history="1">
        <w:r w:rsidR="00E37BF7" w:rsidRPr="00E37BF7">
          <w:rPr>
            <w:rStyle w:val="Hyperlink"/>
            <w:rFonts w:cs="Arial"/>
          </w:rPr>
          <w:t>www.nwfc.gov.au/about</w:t>
        </w:r>
      </w:hyperlink>
      <w:r w:rsidR="00E37BF7">
        <w:rPr>
          <w:rFonts w:cs="Arial"/>
        </w:rPr>
        <w:t xml:space="preserve"> </w:t>
      </w:r>
    </w:p>
    <w:p w14:paraId="71D64CDA" w14:textId="7CD5FDB6" w:rsidR="005D7CDF" w:rsidRDefault="005D7CDF" w:rsidP="005874E7">
      <w:pPr>
        <w:rPr>
          <w:rFonts w:cs="Arial"/>
        </w:rPr>
      </w:pPr>
      <w:r>
        <w:rPr>
          <w:rFonts w:cs="Arial"/>
        </w:rPr>
        <w:t xml:space="preserve">The </w:t>
      </w:r>
      <w:r w:rsidR="00BC2E8F">
        <w:rPr>
          <w:rFonts w:cs="Arial"/>
        </w:rPr>
        <w:t>finances</w:t>
      </w:r>
      <w:r>
        <w:rPr>
          <w:rFonts w:cs="Arial"/>
        </w:rPr>
        <w:t xml:space="preserve"> for the Commissioner’s office </w:t>
      </w:r>
      <w:r w:rsidR="00354E19">
        <w:rPr>
          <w:rFonts w:cs="Arial"/>
        </w:rPr>
        <w:t>are</w:t>
      </w:r>
      <w:r>
        <w:rPr>
          <w:rFonts w:cs="Arial"/>
        </w:rPr>
        <w:t xml:space="preserve"> managed through the Department of Industry, Science, Energy and Resources and are reflected in the Department’s annual report</w:t>
      </w:r>
      <w:r w:rsidR="00BC2E8F">
        <w:rPr>
          <w:rFonts w:cs="Arial"/>
        </w:rPr>
        <w:t>.</w:t>
      </w:r>
    </w:p>
    <w:p w14:paraId="4DAD28A8" w14:textId="77777777" w:rsidR="005874E7" w:rsidRPr="00F47E6D" w:rsidRDefault="005874E7" w:rsidP="005874E7">
      <w:pPr>
        <w:pStyle w:val="Heading2"/>
      </w:pPr>
      <w:bookmarkStart w:id="10" w:name="_Toc84430805"/>
      <w:r w:rsidRPr="00F47E6D">
        <w:t>Who We Are</w:t>
      </w:r>
      <w:bookmarkEnd w:id="10"/>
    </w:p>
    <w:p w14:paraId="06FD93BF" w14:textId="77777777" w:rsidR="00047242" w:rsidRDefault="005874E7" w:rsidP="00047242">
      <w:r w:rsidRPr="00F47E6D">
        <w:t xml:space="preserve">The Commissioner </w:t>
      </w:r>
      <w:r w:rsidR="00047242">
        <w:t>is</w:t>
      </w:r>
      <w:r w:rsidR="00F20C2B">
        <w:t xml:space="preserve"> </w:t>
      </w:r>
      <w:r>
        <w:t xml:space="preserve">supported by a small team provided by the </w:t>
      </w:r>
      <w:r w:rsidR="00E37BF7" w:rsidRPr="00B4199B">
        <w:t>Department of Industry, Science, Energy</w:t>
      </w:r>
      <w:r w:rsidR="00E37BF7">
        <w:t xml:space="preserve"> and Resources</w:t>
      </w:r>
      <w:r w:rsidR="00047242">
        <w:t>.</w:t>
      </w:r>
      <w:r w:rsidR="00E37BF7">
        <w:t xml:space="preserve"> </w:t>
      </w:r>
      <w:r w:rsidR="00047242">
        <w:t>This team</w:t>
      </w:r>
      <w:r>
        <w:t xml:space="preserve"> </w:t>
      </w:r>
      <w:r w:rsidRPr="00F47E6D">
        <w:t>comprise</w:t>
      </w:r>
      <w:r>
        <w:t>s</w:t>
      </w:r>
      <w:r w:rsidR="00581966">
        <w:t xml:space="preserve"> </w:t>
      </w:r>
      <w:r w:rsidR="00581966" w:rsidRPr="00F47E6D">
        <w:t xml:space="preserve">an </w:t>
      </w:r>
      <w:r w:rsidR="00581966">
        <w:t>Executive Officer</w:t>
      </w:r>
      <w:r w:rsidRPr="00F47E6D">
        <w:t xml:space="preserve">, a Complaints </w:t>
      </w:r>
      <w:r w:rsidR="000535EA">
        <w:t>Officer</w:t>
      </w:r>
      <w:r w:rsidRPr="00F47E6D">
        <w:t xml:space="preserve"> and</w:t>
      </w:r>
      <w:r w:rsidR="00581966">
        <w:t xml:space="preserve"> an </w:t>
      </w:r>
      <w:r w:rsidR="001B0419">
        <w:t>Administrative</w:t>
      </w:r>
      <w:r w:rsidR="00581966">
        <w:t xml:space="preserve"> Assistant</w:t>
      </w:r>
      <w:r w:rsidRPr="00F47E6D">
        <w:t>.</w:t>
      </w:r>
    </w:p>
    <w:p w14:paraId="4919AA47" w14:textId="77777777" w:rsidR="005874E7" w:rsidRPr="00F47E6D" w:rsidRDefault="005874E7" w:rsidP="00047242">
      <w:pPr>
        <w:pStyle w:val="Heading2"/>
      </w:pPr>
      <w:bookmarkStart w:id="11" w:name="_Toc84430806"/>
      <w:r w:rsidRPr="00F47E6D">
        <w:t>Office Location</w:t>
      </w:r>
      <w:r w:rsidR="008B10A9">
        <w:t xml:space="preserve"> and Contact Details</w:t>
      </w:r>
      <w:bookmarkEnd w:id="11"/>
    </w:p>
    <w:p w14:paraId="78A63FDB" w14:textId="71261C38" w:rsidR="008B10A9" w:rsidRDefault="005874E7" w:rsidP="005874E7">
      <w:pPr>
        <w:rPr>
          <w:rFonts w:cs="Arial"/>
        </w:rPr>
      </w:pPr>
      <w:r w:rsidRPr="00F47E6D">
        <w:rPr>
          <w:rFonts w:cs="Arial"/>
        </w:rPr>
        <w:t xml:space="preserve">The Office of </w:t>
      </w:r>
      <w:r>
        <w:rPr>
          <w:rFonts w:cs="Arial"/>
        </w:rPr>
        <w:t xml:space="preserve">the </w:t>
      </w:r>
      <w:r w:rsidRPr="00F47E6D">
        <w:rPr>
          <w:rFonts w:cs="Arial"/>
        </w:rPr>
        <w:t xml:space="preserve">National Wind Farm Commissioner </w:t>
      </w:r>
      <w:r w:rsidR="00396D0D">
        <w:rPr>
          <w:rFonts w:cs="Arial"/>
        </w:rPr>
        <w:t xml:space="preserve">(now known as the Australian Energy Infrastructure Commissioner) </w:t>
      </w:r>
      <w:r w:rsidRPr="00F47E6D">
        <w:rPr>
          <w:rFonts w:cs="Arial"/>
        </w:rPr>
        <w:t xml:space="preserve">is located </w:t>
      </w:r>
      <w:r>
        <w:rPr>
          <w:rFonts w:cs="Arial"/>
        </w:rPr>
        <w:t xml:space="preserve">in </w:t>
      </w:r>
      <w:r w:rsidRPr="00F47E6D">
        <w:rPr>
          <w:rFonts w:cs="Arial"/>
        </w:rPr>
        <w:t>Melbourne</w:t>
      </w:r>
      <w:r w:rsidR="00A956E2">
        <w:rPr>
          <w:rFonts w:cs="Arial"/>
        </w:rPr>
        <w:t>’s</w:t>
      </w:r>
      <w:r>
        <w:rPr>
          <w:rFonts w:cs="Arial"/>
        </w:rPr>
        <w:t xml:space="preserve"> </w:t>
      </w:r>
      <w:r w:rsidR="007E2B56">
        <w:rPr>
          <w:rFonts w:cs="Arial"/>
        </w:rPr>
        <w:t>central business district</w:t>
      </w:r>
      <w:r>
        <w:rPr>
          <w:rFonts w:cs="Arial"/>
        </w:rPr>
        <w:t xml:space="preserve">. </w:t>
      </w:r>
      <w:r w:rsidR="00A956E2">
        <w:rPr>
          <w:rFonts w:cs="Arial"/>
        </w:rPr>
        <w:t xml:space="preserve">The Office can be contacted </w:t>
      </w:r>
      <w:r w:rsidR="008B10A9">
        <w:rPr>
          <w:rFonts w:cs="Arial"/>
        </w:rPr>
        <w:t>via:</w:t>
      </w:r>
    </w:p>
    <w:p w14:paraId="1CEC9B23" w14:textId="77777777" w:rsidR="008B10A9" w:rsidRDefault="008B10A9" w:rsidP="008B10A9">
      <w:pPr>
        <w:spacing w:after="120"/>
        <w:ind w:firstLine="720"/>
        <w:rPr>
          <w:rFonts w:cs="Arial"/>
        </w:rPr>
      </w:pPr>
      <w:r>
        <w:rPr>
          <w:rFonts w:cs="Arial"/>
        </w:rPr>
        <w:t>T</w:t>
      </w:r>
      <w:r w:rsidR="00A956E2">
        <w:rPr>
          <w:rFonts w:cs="Arial"/>
        </w:rPr>
        <w:t>oll-</w:t>
      </w:r>
      <w:r>
        <w:rPr>
          <w:rFonts w:cs="Arial"/>
        </w:rPr>
        <w:t>free telephone:</w:t>
      </w:r>
      <w:r>
        <w:rPr>
          <w:rFonts w:cs="Arial"/>
        </w:rPr>
        <w:tab/>
        <w:t>1800 656 395</w:t>
      </w:r>
    </w:p>
    <w:p w14:paraId="3C085AD1" w14:textId="77777777" w:rsidR="008B10A9" w:rsidRDefault="008B10A9" w:rsidP="008B10A9">
      <w:pPr>
        <w:spacing w:after="120"/>
        <w:ind w:firstLine="720"/>
        <w:rPr>
          <w:rFonts w:cs="Arial"/>
        </w:rPr>
      </w:pPr>
      <w:r>
        <w:rPr>
          <w:rFonts w:cs="Arial"/>
        </w:rPr>
        <w:t>E</w:t>
      </w:r>
      <w:r w:rsidR="00A956E2">
        <w:rPr>
          <w:rFonts w:cs="Arial"/>
        </w:rPr>
        <w:t>mail</w:t>
      </w:r>
      <w:r>
        <w:rPr>
          <w:rFonts w:cs="Arial"/>
        </w:rPr>
        <w:t>:</w:t>
      </w:r>
      <w:r>
        <w:rPr>
          <w:rFonts w:cs="Arial"/>
        </w:rPr>
        <w:tab/>
      </w:r>
      <w:r>
        <w:rPr>
          <w:rFonts w:cs="Arial"/>
        </w:rPr>
        <w:tab/>
      </w:r>
      <w:r>
        <w:rPr>
          <w:rFonts w:cs="Arial"/>
        </w:rPr>
        <w:tab/>
      </w:r>
      <w:hyperlink r:id="rId38" w:history="1">
        <w:r w:rsidR="00B062EF" w:rsidRPr="00B062EF">
          <w:rPr>
            <w:rStyle w:val="Hyperlink"/>
            <w:rFonts w:cs="Arial"/>
          </w:rPr>
          <w:t>nwfc@</w:t>
        </w:r>
        <w:r w:rsidR="00B062EF" w:rsidRPr="002F15DC">
          <w:rPr>
            <w:rStyle w:val="Hyperlink"/>
            <w:rFonts w:cs="Arial"/>
          </w:rPr>
          <w:t>nwfc.gov.au</w:t>
        </w:r>
      </w:hyperlink>
      <w:r w:rsidR="00A956E2">
        <w:rPr>
          <w:rFonts w:cs="Arial"/>
        </w:rPr>
        <w:t xml:space="preserve"> </w:t>
      </w:r>
    </w:p>
    <w:p w14:paraId="2790DA3F" w14:textId="004551D2" w:rsidR="008B10A9" w:rsidRDefault="008B10A9" w:rsidP="008B10A9">
      <w:pPr>
        <w:spacing w:after="0"/>
        <w:ind w:firstLine="720"/>
        <w:rPr>
          <w:rFonts w:cs="Arial"/>
        </w:rPr>
      </w:pPr>
      <w:r>
        <w:rPr>
          <w:rFonts w:cs="Arial"/>
        </w:rPr>
        <w:t xml:space="preserve">Post: </w:t>
      </w:r>
      <w:r>
        <w:rPr>
          <w:rFonts w:cs="Arial"/>
        </w:rPr>
        <w:tab/>
      </w:r>
      <w:r>
        <w:rPr>
          <w:rFonts w:cs="Arial"/>
        </w:rPr>
        <w:tab/>
      </w:r>
      <w:r>
        <w:rPr>
          <w:rFonts w:cs="Arial"/>
        </w:rPr>
        <w:tab/>
      </w:r>
      <w:r w:rsidR="00396D0D">
        <w:rPr>
          <w:rFonts w:cs="Arial"/>
        </w:rPr>
        <w:t xml:space="preserve">Australian Energy Infrastructure </w:t>
      </w:r>
      <w:r>
        <w:rPr>
          <w:rFonts w:cs="Arial"/>
        </w:rPr>
        <w:t>Commissioner</w:t>
      </w:r>
    </w:p>
    <w:p w14:paraId="7B115FF3" w14:textId="77777777" w:rsidR="008B10A9" w:rsidRDefault="00A956E2" w:rsidP="008B10A9">
      <w:pPr>
        <w:spacing w:after="0"/>
        <w:ind w:left="2160" w:firstLine="720"/>
        <w:rPr>
          <w:rFonts w:cs="Arial"/>
        </w:rPr>
      </w:pPr>
      <w:r>
        <w:rPr>
          <w:rFonts w:cs="Arial"/>
        </w:rPr>
        <w:t>PO Box</w:t>
      </w:r>
      <w:r w:rsidR="008B10A9">
        <w:rPr>
          <w:rFonts w:cs="Arial"/>
        </w:rPr>
        <w:t xml:space="preserve"> 24434</w:t>
      </w:r>
    </w:p>
    <w:p w14:paraId="649AEEE7" w14:textId="77777777" w:rsidR="005874E7" w:rsidRPr="006F22E0" w:rsidRDefault="008B10A9" w:rsidP="008B10A9">
      <w:pPr>
        <w:ind w:left="2160" w:firstLine="720"/>
        <w:rPr>
          <w:rFonts w:cs="Arial"/>
        </w:rPr>
        <w:sectPr w:rsidR="005874E7" w:rsidRPr="006F22E0" w:rsidSect="00C90C75">
          <w:headerReference w:type="even" r:id="rId39"/>
          <w:headerReference w:type="default" r:id="rId40"/>
          <w:footerReference w:type="even" r:id="rId41"/>
          <w:headerReference w:type="first" r:id="rId42"/>
          <w:pgSz w:w="11906" w:h="16838" w:code="9"/>
          <w:pgMar w:top="720" w:right="720" w:bottom="720" w:left="720" w:header="425" w:footer="425" w:gutter="0"/>
          <w:cols w:space="708"/>
          <w:docGrid w:linePitch="360"/>
        </w:sectPr>
      </w:pPr>
      <w:r>
        <w:rPr>
          <w:rFonts w:cs="Arial"/>
        </w:rPr>
        <w:t>MELBOURNE  VIC  3001</w:t>
      </w:r>
    </w:p>
    <w:p w14:paraId="26CBF70D" w14:textId="77777777" w:rsidR="005874E7" w:rsidRDefault="005874E7" w:rsidP="005874E7">
      <w:pPr>
        <w:pStyle w:val="Heading1"/>
      </w:pPr>
      <w:bookmarkStart w:id="12" w:name="_Toc84430807"/>
      <w:r>
        <w:lastRenderedPageBreak/>
        <w:t>Complaint</w:t>
      </w:r>
      <w:r w:rsidRPr="00F47E6D">
        <w:t xml:space="preserve"> Management</w:t>
      </w:r>
      <w:bookmarkEnd w:id="12"/>
    </w:p>
    <w:p w14:paraId="79D16D1C" w14:textId="77777777" w:rsidR="005874E7" w:rsidRDefault="005874E7" w:rsidP="005874E7">
      <w:pPr>
        <w:pStyle w:val="Heading2"/>
      </w:pPr>
      <w:bookmarkStart w:id="13" w:name="_Toc84430808"/>
      <w:r>
        <w:t xml:space="preserve">Complaint Management </w:t>
      </w:r>
      <w:r w:rsidR="008F63B1">
        <w:t>Process</w:t>
      </w:r>
      <w:bookmarkEnd w:id="13"/>
    </w:p>
    <w:p w14:paraId="1CBF891B" w14:textId="77777777" w:rsidR="000E666B" w:rsidRDefault="00F66059" w:rsidP="005874E7">
      <w:pPr>
        <w:rPr>
          <w:rFonts w:cs="Arial"/>
        </w:rPr>
      </w:pPr>
      <w:r w:rsidRPr="00F66059">
        <w:rPr>
          <w:rFonts w:cs="Arial"/>
        </w:rPr>
        <w:t xml:space="preserve">A primary function of the Commissioner’s Office is to receive and refer complaints from concerned community members about operating and proposed projects and, via a voluntary process, help facilitate resolutions where practical. Information relating to </w:t>
      </w:r>
      <w:r w:rsidR="000A67DB">
        <w:rPr>
          <w:rFonts w:cs="Arial"/>
        </w:rPr>
        <w:t>the Office’s</w:t>
      </w:r>
      <w:r w:rsidRPr="00F66059">
        <w:rPr>
          <w:rFonts w:cs="Arial"/>
        </w:rPr>
        <w:t xml:space="preserve"> complaint handling activities are detailed in this report.</w:t>
      </w:r>
      <w:r w:rsidR="0055534C">
        <w:rPr>
          <w:rFonts w:cs="Arial"/>
        </w:rPr>
        <w:t xml:space="preserve"> </w:t>
      </w:r>
    </w:p>
    <w:p w14:paraId="7253BEA2" w14:textId="23631332" w:rsidR="008F0093" w:rsidRDefault="00141896" w:rsidP="005874E7">
      <w:pPr>
        <w:rPr>
          <w:rFonts w:cs="Arial"/>
        </w:rPr>
      </w:pPr>
      <w:r>
        <w:rPr>
          <w:rFonts w:cs="Arial"/>
        </w:rPr>
        <w:t>M</w:t>
      </w:r>
      <w:r w:rsidR="008F63B1" w:rsidRPr="00B84E66">
        <w:rPr>
          <w:rFonts w:cs="Arial"/>
        </w:rPr>
        <w:t xml:space="preserve">any of </w:t>
      </w:r>
      <w:r w:rsidR="00FB0391">
        <w:rPr>
          <w:rFonts w:cs="Arial"/>
        </w:rPr>
        <w:t xml:space="preserve">the </w:t>
      </w:r>
      <w:r w:rsidR="008F63B1" w:rsidRPr="00B84E66">
        <w:rPr>
          <w:rFonts w:cs="Arial"/>
        </w:rPr>
        <w:t xml:space="preserve">complaints </w:t>
      </w:r>
      <w:r w:rsidR="00FB0391">
        <w:rPr>
          <w:rFonts w:cs="Arial"/>
        </w:rPr>
        <w:t xml:space="preserve">received </w:t>
      </w:r>
      <w:r>
        <w:rPr>
          <w:rFonts w:cs="Arial"/>
        </w:rPr>
        <w:t xml:space="preserve">can be </w:t>
      </w:r>
      <w:r w:rsidR="008F63B1" w:rsidRPr="00B84E66">
        <w:rPr>
          <w:rFonts w:cs="Arial"/>
        </w:rPr>
        <w:t>complex</w:t>
      </w:r>
      <w:r>
        <w:rPr>
          <w:rFonts w:cs="Arial"/>
        </w:rPr>
        <w:t xml:space="preserve">, taking time </w:t>
      </w:r>
      <w:r w:rsidR="00FB0391">
        <w:rPr>
          <w:rFonts w:cs="Arial"/>
        </w:rPr>
        <w:t>to research and resolve</w:t>
      </w:r>
      <w:r>
        <w:rPr>
          <w:rFonts w:cs="Arial"/>
        </w:rPr>
        <w:t xml:space="preserve">. The </w:t>
      </w:r>
      <w:r w:rsidR="00D17D60">
        <w:rPr>
          <w:rFonts w:cs="Arial"/>
        </w:rPr>
        <w:t xml:space="preserve">Office’s </w:t>
      </w:r>
      <w:r w:rsidR="00FB0391">
        <w:rPr>
          <w:rFonts w:cs="Arial"/>
        </w:rPr>
        <w:t>c</w:t>
      </w:r>
      <w:r w:rsidR="00D17D60">
        <w:rPr>
          <w:rFonts w:cs="Arial"/>
        </w:rPr>
        <w:t xml:space="preserve">omplaint </w:t>
      </w:r>
      <w:r w:rsidR="00FB0391">
        <w:rPr>
          <w:rFonts w:cs="Arial"/>
        </w:rPr>
        <w:t>m</w:t>
      </w:r>
      <w:r w:rsidR="00D17D60">
        <w:rPr>
          <w:rFonts w:cs="Arial"/>
        </w:rPr>
        <w:t xml:space="preserve">anagement </w:t>
      </w:r>
      <w:r w:rsidR="00FB0391">
        <w:rPr>
          <w:rFonts w:cs="Arial"/>
        </w:rPr>
        <w:t>p</w:t>
      </w:r>
      <w:r w:rsidR="008F63B1">
        <w:rPr>
          <w:rFonts w:cs="Arial"/>
        </w:rPr>
        <w:t>rocess</w:t>
      </w:r>
      <w:r w:rsidR="00D17D60">
        <w:rPr>
          <w:rFonts w:cs="Arial"/>
        </w:rPr>
        <w:t xml:space="preserve"> has been designed to</w:t>
      </w:r>
      <w:r w:rsidR="005874E7" w:rsidRPr="00F47E6D">
        <w:rPr>
          <w:rFonts w:cs="Arial"/>
        </w:rPr>
        <w:t xml:space="preserve"> </w:t>
      </w:r>
      <w:r w:rsidR="00370CD6">
        <w:rPr>
          <w:rFonts w:cs="Arial"/>
        </w:rPr>
        <w:t xml:space="preserve">help </w:t>
      </w:r>
      <w:r w:rsidR="005874E7" w:rsidRPr="00F47E6D">
        <w:rPr>
          <w:rFonts w:cs="Arial"/>
        </w:rPr>
        <w:t xml:space="preserve">ensure that </w:t>
      </w:r>
      <w:r w:rsidR="00370CD6" w:rsidRPr="0044051C">
        <w:rPr>
          <w:rFonts w:cs="Arial"/>
        </w:rPr>
        <w:t>the Office function</w:t>
      </w:r>
      <w:r w:rsidR="00DF6397">
        <w:rPr>
          <w:rFonts w:cs="Arial"/>
        </w:rPr>
        <w:t>s</w:t>
      </w:r>
      <w:r w:rsidR="00370CD6" w:rsidRPr="0044051C">
        <w:rPr>
          <w:rFonts w:cs="Arial"/>
        </w:rPr>
        <w:t xml:space="preserve"> effectively</w:t>
      </w:r>
      <w:r w:rsidR="00DF6397">
        <w:rPr>
          <w:rFonts w:cs="Arial"/>
        </w:rPr>
        <w:t>,</w:t>
      </w:r>
      <w:r w:rsidR="00370CD6">
        <w:rPr>
          <w:rFonts w:cs="Arial"/>
        </w:rPr>
        <w:t xml:space="preserve"> </w:t>
      </w:r>
      <w:r>
        <w:rPr>
          <w:rFonts w:cs="Arial"/>
        </w:rPr>
        <w:t>manag</w:t>
      </w:r>
      <w:r w:rsidR="00DF6397">
        <w:rPr>
          <w:rFonts w:cs="Arial"/>
        </w:rPr>
        <w:t xml:space="preserve">ing </w:t>
      </w:r>
      <w:r>
        <w:rPr>
          <w:rFonts w:cs="Arial"/>
        </w:rPr>
        <w:t xml:space="preserve">each </w:t>
      </w:r>
      <w:r w:rsidR="005874E7" w:rsidRPr="00F47E6D">
        <w:rPr>
          <w:rFonts w:cs="Arial"/>
        </w:rPr>
        <w:t>com</w:t>
      </w:r>
      <w:r w:rsidR="005874E7">
        <w:rPr>
          <w:rFonts w:cs="Arial"/>
        </w:rPr>
        <w:t>plaint</w:t>
      </w:r>
      <w:r w:rsidR="00370CD6">
        <w:rPr>
          <w:rFonts w:cs="Arial"/>
        </w:rPr>
        <w:t xml:space="preserve"> received</w:t>
      </w:r>
      <w:r w:rsidR="005874E7">
        <w:rPr>
          <w:rFonts w:cs="Arial"/>
        </w:rPr>
        <w:t xml:space="preserve"> </w:t>
      </w:r>
      <w:r w:rsidR="00370CD6">
        <w:rPr>
          <w:rFonts w:cs="Arial"/>
        </w:rPr>
        <w:t>appropriately</w:t>
      </w:r>
      <w:r w:rsidR="008F0093">
        <w:rPr>
          <w:rFonts w:cs="Arial"/>
        </w:rPr>
        <w:t>.</w:t>
      </w:r>
    </w:p>
    <w:p w14:paraId="11C5499C" w14:textId="77777777" w:rsidR="00370CD6" w:rsidRDefault="00370CD6" w:rsidP="005874E7">
      <w:pPr>
        <w:rPr>
          <w:rFonts w:cs="Arial"/>
        </w:rPr>
      </w:pPr>
      <w:r>
        <w:rPr>
          <w:rFonts w:cs="Arial"/>
        </w:rPr>
        <w:t xml:space="preserve">It should also be noted that </w:t>
      </w:r>
      <w:r w:rsidR="000A67DB">
        <w:rPr>
          <w:rFonts w:cs="Arial"/>
        </w:rPr>
        <w:t>the Office’s</w:t>
      </w:r>
      <w:r w:rsidR="008F0093">
        <w:rPr>
          <w:rFonts w:cs="Arial"/>
        </w:rPr>
        <w:t xml:space="preserve"> procedures treat a complaint from a residence as </w:t>
      </w:r>
      <w:r w:rsidR="00D562D9" w:rsidRPr="00B85A19">
        <w:rPr>
          <w:rFonts w:cs="Arial"/>
          <w:b/>
          <w:i/>
        </w:rPr>
        <w:t>one</w:t>
      </w:r>
      <w:r w:rsidR="008F0093" w:rsidRPr="00B85A19">
        <w:rPr>
          <w:rFonts w:cs="Arial"/>
          <w:b/>
          <w:i/>
        </w:rPr>
        <w:t xml:space="preserve"> </w:t>
      </w:r>
      <w:r w:rsidR="008F0093">
        <w:rPr>
          <w:rFonts w:cs="Arial"/>
        </w:rPr>
        <w:t>complaint</w:t>
      </w:r>
      <w:r w:rsidR="00D562D9">
        <w:rPr>
          <w:rFonts w:cs="Arial"/>
        </w:rPr>
        <w:t xml:space="preserve">. </w:t>
      </w:r>
      <w:r w:rsidR="008F0093">
        <w:rPr>
          <w:rFonts w:cs="Arial"/>
        </w:rPr>
        <w:t xml:space="preserve">The complaint may contain a number of issues and </w:t>
      </w:r>
      <w:r w:rsidR="003C06D4">
        <w:rPr>
          <w:rFonts w:cs="Arial"/>
        </w:rPr>
        <w:t xml:space="preserve">may involve </w:t>
      </w:r>
      <w:r w:rsidR="008F63B1">
        <w:rPr>
          <w:rFonts w:cs="Arial"/>
        </w:rPr>
        <w:t>a large volume of correspondence</w:t>
      </w:r>
      <w:r w:rsidR="008F0093">
        <w:rPr>
          <w:rFonts w:cs="Arial"/>
        </w:rPr>
        <w:t xml:space="preserve"> </w:t>
      </w:r>
      <w:r w:rsidR="00B85A19">
        <w:rPr>
          <w:rFonts w:cs="Arial"/>
        </w:rPr>
        <w:t>with</w:t>
      </w:r>
      <w:r w:rsidR="008F0093">
        <w:rPr>
          <w:rFonts w:cs="Arial"/>
        </w:rPr>
        <w:t xml:space="preserve"> </w:t>
      </w:r>
      <w:r w:rsidR="000A67DB">
        <w:rPr>
          <w:rFonts w:cs="Arial"/>
        </w:rPr>
        <w:t xml:space="preserve">the </w:t>
      </w:r>
      <w:r w:rsidR="008F0093">
        <w:rPr>
          <w:rFonts w:cs="Arial"/>
        </w:rPr>
        <w:t>Office</w:t>
      </w:r>
      <w:r w:rsidR="00B84E66">
        <w:rPr>
          <w:rFonts w:cs="Arial"/>
        </w:rPr>
        <w:t xml:space="preserve"> over long periods of time</w:t>
      </w:r>
      <w:r w:rsidR="008F0093">
        <w:rPr>
          <w:rFonts w:cs="Arial"/>
        </w:rPr>
        <w:t xml:space="preserve">. </w:t>
      </w:r>
      <w:r w:rsidR="000A67DB">
        <w:rPr>
          <w:rFonts w:cs="Arial"/>
        </w:rPr>
        <w:t xml:space="preserve">The </w:t>
      </w:r>
      <w:r w:rsidR="00D562D9">
        <w:rPr>
          <w:rFonts w:cs="Arial"/>
        </w:rPr>
        <w:t xml:space="preserve">Office will record ongoing correspondence </w:t>
      </w:r>
      <w:r w:rsidR="00B85A19">
        <w:rPr>
          <w:rFonts w:cs="Arial"/>
        </w:rPr>
        <w:t>in the complainant’s file</w:t>
      </w:r>
      <w:r w:rsidR="00A7111A">
        <w:rPr>
          <w:rFonts w:cs="Arial"/>
        </w:rPr>
        <w:t xml:space="preserve"> as further information about that complaint</w:t>
      </w:r>
      <w:r w:rsidR="008F63B1">
        <w:rPr>
          <w:rFonts w:cs="Arial"/>
        </w:rPr>
        <w:t xml:space="preserve">. </w:t>
      </w:r>
      <w:r w:rsidR="007C769E" w:rsidRPr="00B84E66">
        <w:rPr>
          <w:rFonts w:cs="Arial"/>
        </w:rPr>
        <w:t xml:space="preserve">If </w:t>
      </w:r>
      <w:r w:rsidR="00D562D9" w:rsidRPr="00B84E66">
        <w:rPr>
          <w:rFonts w:cs="Arial"/>
        </w:rPr>
        <w:t xml:space="preserve">the complainant </w:t>
      </w:r>
      <w:r w:rsidR="007C769E" w:rsidRPr="00B84E66">
        <w:rPr>
          <w:rFonts w:cs="Arial"/>
        </w:rPr>
        <w:t>lodges</w:t>
      </w:r>
      <w:r w:rsidR="008F0093" w:rsidRPr="00B84E66">
        <w:rPr>
          <w:rFonts w:cs="Arial"/>
        </w:rPr>
        <w:t xml:space="preserve"> a complaint about a s</w:t>
      </w:r>
      <w:r w:rsidR="00D562D9" w:rsidRPr="00B84E66">
        <w:rPr>
          <w:rFonts w:cs="Arial"/>
        </w:rPr>
        <w:t xml:space="preserve">ubstantive new issue or a </w:t>
      </w:r>
      <w:r w:rsidR="008F0093" w:rsidRPr="00B84E66">
        <w:rPr>
          <w:rFonts w:cs="Arial"/>
        </w:rPr>
        <w:t xml:space="preserve">different </w:t>
      </w:r>
      <w:r w:rsidR="00450DFD">
        <w:rPr>
          <w:rFonts w:cs="Arial"/>
        </w:rPr>
        <w:t>project</w:t>
      </w:r>
      <w:r w:rsidR="007C769E" w:rsidRPr="00B84E66">
        <w:rPr>
          <w:rFonts w:cs="Arial"/>
        </w:rPr>
        <w:t xml:space="preserve">, a new complaint may be established and recorded by </w:t>
      </w:r>
      <w:r w:rsidR="000A67DB">
        <w:rPr>
          <w:rFonts w:cs="Arial"/>
        </w:rPr>
        <w:t>the</w:t>
      </w:r>
      <w:r w:rsidR="007C769E" w:rsidRPr="00B84E66">
        <w:rPr>
          <w:rFonts w:cs="Arial"/>
        </w:rPr>
        <w:t xml:space="preserve"> Office</w:t>
      </w:r>
      <w:r w:rsidR="007C769E">
        <w:rPr>
          <w:rFonts w:cs="Arial"/>
        </w:rPr>
        <w:t>.</w:t>
      </w:r>
    </w:p>
    <w:p w14:paraId="58A5A9C8" w14:textId="77777777" w:rsidR="005874E7" w:rsidRDefault="005874E7" w:rsidP="005874E7">
      <w:pPr>
        <w:pStyle w:val="Heading2"/>
        <w:rPr>
          <w:lang w:eastAsia="en-AU"/>
        </w:rPr>
      </w:pPr>
      <w:bookmarkStart w:id="14" w:name="_Toc84430809"/>
      <w:r>
        <w:rPr>
          <w:lang w:eastAsia="en-AU"/>
        </w:rPr>
        <w:t>Complaints Handling Policy</w:t>
      </w:r>
      <w:bookmarkEnd w:id="14"/>
    </w:p>
    <w:p w14:paraId="666F3BC4" w14:textId="77777777" w:rsidR="005874E7" w:rsidRDefault="00AB6DE0" w:rsidP="005874E7">
      <w:pPr>
        <w:rPr>
          <w:rFonts w:cs="Arial"/>
        </w:rPr>
      </w:pPr>
      <w:r>
        <w:rPr>
          <w:rFonts w:cs="Arial"/>
        </w:rPr>
        <w:t>T</w:t>
      </w:r>
      <w:r w:rsidR="005874E7">
        <w:rPr>
          <w:rFonts w:cs="Arial"/>
        </w:rPr>
        <w:t xml:space="preserve">he </w:t>
      </w:r>
      <w:r w:rsidR="00472A30">
        <w:rPr>
          <w:rFonts w:cs="Arial"/>
        </w:rPr>
        <w:t xml:space="preserve">Office’s </w:t>
      </w:r>
      <w:r w:rsidR="005874E7">
        <w:rPr>
          <w:rFonts w:cs="Arial"/>
        </w:rPr>
        <w:t xml:space="preserve">Complaints Handling Policy outlines the procedure for receiving and handling complaints. </w:t>
      </w:r>
      <w:r w:rsidR="005874E7" w:rsidRPr="00F47E6D">
        <w:rPr>
          <w:rFonts w:cs="Arial"/>
        </w:rPr>
        <w:t xml:space="preserve">Complaints </w:t>
      </w:r>
      <w:r w:rsidR="005874E7">
        <w:rPr>
          <w:rFonts w:cs="Arial"/>
        </w:rPr>
        <w:t xml:space="preserve">initially </w:t>
      </w:r>
      <w:r w:rsidR="005874E7" w:rsidRPr="00F47E6D">
        <w:rPr>
          <w:rFonts w:cs="Arial"/>
        </w:rPr>
        <w:t>received by the Office are classified as an ‘enquiry’</w:t>
      </w:r>
      <w:r w:rsidR="005874E7">
        <w:rPr>
          <w:rFonts w:cs="Arial"/>
        </w:rPr>
        <w:t xml:space="preserve"> and may be</w:t>
      </w:r>
      <w:r w:rsidR="005874E7" w:rsidRPr="00F47E6D">
        <w:rPr>
          <w:rFonts w:cs="Arial"/>
        </w:rPr>
        <w:t xml:space="preserve"> formally ‘accepted’ </w:t>
      </w:r>
      <w:r w:rsidR="005874E7">
        <w:rPr>
          <w:rFonts w:cs="Arial"/>
        </w:rPr>
        <w:t xml:space="preserve">and progressed </w:t>
      </w:r>
      <w:r w:rsidR="005874E7" w:rsidRPr="00F47E6D">
        <w:rPr>
          <w:rFonts w:cs="Arial"/>
        </w:rPr>
        <w:t>by the Office once sufficient information</w:t>
      </w:r>
      <w:r w:rsidR="005874E7">
        <w:rPr>
          <w:rFonts w:cs="Arial"/>
        </w:rPr>
        <w:t>,</w:t>
      </w:r>
      <w:r w:rsidR="005874E7" w:rsidRPr="00F47E6D">
        <w:rPr>
          <w:rFonts w:cs="Arial"/>
        </w:rPr>
        <w:t xml:space="preserve"> </w:t>
      </w:r>
      <w:r w:rsidR="005874E7">
        <w:rPr>
          <w:rFonts w:cs="Arial"/>
        </w:rPr>
        <w:t xml:space="preserve">including </w:t>
      </w:r>
      <w:r w:rsidR="00956A2F">
        <w:rPr>
          <w:rFonts w:cs="Arial"/>
        </w:rPr>
        <w:t xml:space="preserve">written consent </w:t>
      </w:r>
      <w:r w:rsidR="005874E7" w:rsidRPr="00F47E6D">
        <w:rPr>
          <w:rFonts w:cs="Arial"/>
        </w:rPr>
        <w:t>to share information</w:t>
      </w:r>
      <w:r w:rsidR="005874E7">
        <w:rPr>
          <w:rFonts w:cs="Arial"/>
        </w:rPr>
        <w:t>,</w:t>
      </w:r>
      <w:r w:rsidR="005874E7" w:rsidRPr="00F47E6D">
        <w:rPr>
          <w:rFonts w:cs="Arial"/>
        </w:rPr>
        <w:t xml:space="preserve"> has been provided by the complainant.</w:t>
      </w:r>
    </w:p>
    <w:p w14:paraId="5454AD70" w14:textId="77777777" w:rsidR="005874E7" w:rsidRDefault="005874E7" w:rsidP="005874E7">
      <w:pPr>
        <w:rPr>
          <w:rFonts w:cs="Arial"/>
        </w:rPr>
      </w:pPr>
      <w:r w:rsidRPr="003929F8">
        <w:rPr>
          <w:rFonts w:cs="Arial"/>
        </w:rPr>
        <w:t xml:space="preserve">The </w:t>
      </w:r>
      <w:r w:rsidR="0032384D">
        <w:rPr>
          <w:rFonts w:cs="Arial"/>
        </w:rPr>
        <w:t xml:space="preserve">Office is also guided by the </w:t>
      </w:r>
      <w:r w:rsidR="00776BB2">
        <w:rPr>
          <w:rFonts w:cs="Arial"/>
        </w:rPr>
        <w:t xml:space="preserve">Information Handling Policy, which </w:t>
      </w:r>
      <w:r>
        <w:rPr>
          <w:rFonts w:cs="Arial"/>
        </w:rPr>
        <w:t xml:space="preserve">outlines what information the Office </w:t>
      </w:r>
      <w:r w:rsidR="0032384D">
        <w:rPr>
          <w:rFonts w:cs="Arial"/>
        </w:rPr>
        <w:t>collects</w:t>
      </w:r>
      <w:r>
        <w:rPr>
          <w:rFonts w:cs="Arial"/>
        </w:rPr>
        <w:t>, how this information may be disclosed as well as information on confidentiality and privacy.</w:t>
      </w:r>
    </w:p>
    <w:p w14:paraId="4F8E765B" w14:textId="77777777" w:rsidR="002B0B91" w:rsidRDefault="00472A30" w:rsidP="00472A30">
      <w:pPr>
        <w:rPr>
          <w:rFonts w:cs="Arial"/>
        </w:rPr>
      </w:pPr>
      <w:r>
        <w:rPr>
          <w:rFonts w:cs="Arial"/>
        </w:rPr>
        <w:t>These policies are available o</w:t>
      </w:r>
      <w:r w:rsidR="00776BB2">
        <w:rPr>
          <w:rFonts w:cs="Arial"/>
        </w:rPr>
        <w:t xml:space="preserve">n the Commissioner’s website at </w:t>
      </w:r>
      <w:hyperlink r:id="rId43" w:history="1">
        <w:r w:rsidR="002B0B91" w:rsidRPr="00FD35BD">
          <w:rPr>
            <w:rStyle w:val="Hyperlink"/>
            <w:rFonts w:cs="Arial"/>
          </w:rPr>
          <w:t>www.nwfc.gov.au/about</w:t>
        </w:r>
      </w:hyperlink>
      <w:r w:rsidR="002B0B91">
        <w:rPr>
          <w:rFonts w:cs="Arial"/>
        </w:rPr>
        <w:t xml:space="preserve"> </w:t>
      </w:r>
    </w:p>
    <w:p w14:paraId="275F64A4" w14:textId="77777777" w:rsidR="005874E7" w:rsidRPr="00F47E6D" w:rsidRDefault="005874E7" w:rsidP="005874E7">
      <w:pPr>
        <w:pStyle w:val="Heading2"/>
      </w:pPr>
      <w:bookmarkStart w:id="15" w:name="_Toc84430810"/>
      <w:r w:rsidRPr="00F47E6D">
        <w:t>Complaint Activity</w:t>
      </w:r>
      <w:bookmarkEnd w:id="15"/>
    </w:p>
    <w:p w14:paraId="11A4AA6B" w14:textId="77777777" w:rsidR="005874E7" w:rsidRDefault="005874E7" w:rsidP="005874E7">
      <w:pPr>
        <w:spacing w:line="264" w:lineRule="auto"/>
        <w:rPr>
          <w:rFonts w:cs="Arial"/>
        </w:rPr>
      </w:pPr>
      <w:r>
        <w:rPr>
          <w:rFonts w:cs="Arial"/>
        </w:rPr>
        <w:t>From</w:t>
      </w:r>
      <w:r w:rsidRPr="00F47E6D">
        <w:rPr>
          <w:rFonts w:cs="Arial"/>
        </w:rPr>
        <w:t xml:space="preserve"> </w:t>
      </w:r>
      <w:r>
        <w:rPr>
          <w:rFonts w:cs="Arial"/>
        </w:rPr>
        <w:t xml:space="preserve">the </w:t>
      </w:r>
      <w:r w:rsidR="00012BD7">
        <w:rPr>
          <w:rFonts w:cs="Arial"/>
        </w:rPr>
        <w:t>period of 1 January 20</w:t>
      </w:r>
      <w:r w:rsidR="00557E79">
        <w:rPr>
          <w:rFonts w:cs="Arial"/>
        </w:rPr>
        <w:t>20</w:t>
      </w:r>
      <w:r>
        <w:rPr>
          <w:rFonts w:cs="Arial"/>
        </w:rPr>
        <w:t xml:space="preserve"> to 31</w:t>
      </w:r>
      <w:r w:rsidRPr="00F47E6D">
        <w:rPr>
          <w:rFonts w:cs="Arial"/>
        </w:rPr>
        <w:t xml:space="preserve"> December 20</w:t>
      </w:r>
      <w:r w:rsidR="00557E79">
        <w:rPr>
          <w:rFonts w:cs="Arial"/>
        </w:rPr>
        <w:t>20</w:t>
      </w:r>
      <w:r w:rsidRPr="00F47E6D">
        <w:rPr>
          <w:rFonts w:cs="Arial"/>
        </w:rPr>
        <w:t xml:space="preserve">, the Office received a total of </w:t>
      </w:r>
      <w:r w:rsidR="00557E79">
        <w:rPr>
          <w:rFonts w:cs="Arial"/>
        </w:rPr>
        <w:t>16</w:t>
      </w:r>
      <w:r w:rsidR="00CD4539">
        <w:rPr>
          <w:rFonts w:cs="Arial"/>
        </w:rPr>
        <w:t>3</w:t>
      </w:r>
      <w:r w:rsidRPr="00F47E6D">
        <w:rPr>
          <w:rFonts w:cs="Arial"/>
        </w:rPr>
        <w:t xml:space="preserve"> complaints</w:t>
      </w:r>
      <w:r>
        <w:rPr>
          <w:rFonts w:cs="Arial"/>
        </w:rPr>
        <w:t xml:space="preserve">. </w:t>
      </w:r>
      <w:r w:rsidR="00FB41BE">
        <w:rPr>
          <w:rFonts w:cs="Arial"/>
        </w:rPr>
        <w:br/>
      </w:r>
      <w:r w:rsidR="00813A4E">
        <w:rPr>
          <w:rFonts w:cs="Arial"/>
        </w:rPr>
        <w:t>The breakdown of the complaints received are as follows</w:t>
      </w:r>
      <w:r>
        <w:rPr>
          <w:rFonts w:cs="Arial"/>
        </w:rPr>
        <w:t>:</w:t>
      </w:r>
    </w:p>
    <w:p w14:paraId="752A7F3E" w14:textId="77777777" w:rsidR="005874E7" w:rsidRPr="00D4498E" w:rsidRDefault="00D61D01" w:rsidP="007A1D42">
      <w:pPr>
        <w:pStyle w:val="ListParagraph"/>
        <w:numPr>
          <w:ilvl w:val="0"/>
          <w:numId w:val="16"/>
        </w:numPr>
        <w:spacing w:line="264" w:lineRule="auto"/>
        <w:rPr>
          <w:rFonts w:cs="Arial"/>
        </w:rPr>
      </w:pPr>
      <w:r>
        <w:rPr>
          <w:rFonts w:cs="Arial"/>
          <w:color w:val="000000"/>
          <w:lang w:eastAsia="en-AU"/>
        </w:rPr>
        <w:t>eight</w:t>
      </w:r>
      <w:r w:rsidR="003D6887">
        <w:rPr>
          <w:rFonts w:cs="Arial"/>
          <w:color w:val="000000"/>
          <w:lang w:eastAsia="en-AU"/>
        </w:rPr>
        <w:t xml:space="preserve"> matters</w:t>
      </w:r>
      <w:r w:rsidR="005874E7" w:rsidRPr="00D4498E">
        <w:rPr>
          <w:rFonts w:cs="Arial"/>
          <w:color w:val="000000"/>
          <w:lang w:eastAsia="en-AU"/>
        </w:rPr>
        <w:t xml:space="preserve"> </w:t>
      </w:r>
      <w:r w:rsidR="00813A4E">
        <w:rPr>
          <w:rFonts w:cs="Arial"/>
          <w:color w:val="000000"/>
          <w:lang w:eastAsia="en-AU"/>
        </w:rPr>
        <w:t xml:space="preserve">were received </w:t>
      </w:r>
      <w:r w:rsidR="005874E7">
        <w:rPr>
          <w:rFonts w:cs="Arial"/>
          <w:color w:val="000000"/>
          <w:lang w:eastAsia="en-AU"/>
        </w:rPr>
        <w:t>relating to</w:t>
      </w:r>
      <w:r w:rsidR="006510C8">
        <w:rPr>
          <w:rFonts w:cs="Arial"/>
          <w:color w:val="000000"/>
          <w:lang w:eastAsia="en-AU"/>
        </w:rPr>
        <w:t xml:space="preserve"> </w:t>
      </w:r>
      <w:r w:rsidR="003007E4">
        <w:rPr>
          <w:rFonts w:cs="Arial"/>
          <w:color w:val="000000"/>
          <w:lang w:eastAsia="en-AU"/>
        </w:rPr>
        <w:t>three</w:t>
      </w:r>
      <w:r w:rsidR="005874E7" w:rsidRPr="00D4498E">
        <w:rPr>
          <w:rFonts w:cs="Arial"/>
          <w:color w:val="000000"/>
          <w:lang w:eastAsia="en-AU"/>
        </w:rPr>
        <w:t xml:space="preserve"> operating wind farms</w:t>
      </w:r>
    </w:p>
    <w:p w14:paraId="7A606C73" w14:textId="77777777" w:rsidR="005874E7" w:rsidRPr="00D4498E" w:rsidRDefault="00C93CB2" w:rsidP="007A1D42">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12</w:t>
      </w:r>
      <w:r w:rsidR="00CD4539">
        <w:rPr>
          <w:rFonts w:cs="Arial"/>
          <w:color w:val="000000"/>
          <w:lang w:eastAsia="en-AU"/>
        </w:rPr>
        <w:t>2</w:t>
      </w:r>
      <w:r w:rsidR="005874E7" w:rsidRPr="00D4498E">
        <w:rPr>
          <w:rFonts w:cs="Arial"/>
          <w:color w:val="000000"/>
          <w:lang w:eastAsia="en-AU"/>
        </w:rPr>
        <w:t xml:space="preserve"> </w:t>
      </w:r>
      <w:r w:rsidR="003D6887">
        <w:rPr>
          <w:rFonts w:cs="Arial"/>
          <w:color w:val="000000"/>
          <w:lang w:eastAsia="en-AU"/>
        </w:rPr>
        <w:t>matters</w:t>
      </w:r>
      <w:r w:rsidR="005874E7" w:rsidRPr="00D4498E">
        <w:rPr>
          <w:rFonts w:cs="Arial"/>
          <w:color w:val="000000"/>
          <w:lang w:eastAsia="en-AU"/>
        </w:rPr>
        <w:t xml:space="preserve"> </w:t>
      </w:r>
      <w:r w:rsidR="00813A4E">
        <w:rPr>
          <w:rFonts w:cs="Arial"/>
          <w:color w:val="000000"/>
          <w:lang w:eastAsia="en-AU"/>
        </w:rPr>
        <w:t xml:space="preserve">were received </w:t>
      </w:r>
      <w:r w:rsidR="005874E7">
        <w:rPr>
          <w:rFonts w:cs="Arial"/>
          <w:color w:val="000000"/>
          <w:lang w:eastAsia="en-AU"/>
        </w:rPr>
        <w:t xml:space="preserve">relating to </w:t>
      </w:r>
      <w:r w:rsidR="00420193">
        <w:rPr>
          <w:rFonts w:cs="Arial"/>
          <w:color w:val="000000"/>
          <w:lang w:eastAsia="en-AU"/>
        </w:rPr>
        <w:t>18</w:t>
      </w:r>
      <w:r w:rsidR="005874E7" w:rsidRPr="00D4498E">
        <w:rPr>
          <w:rFonts w:cs="Arial"/>
          <w:color w:val="000000"/>
          <w:lang w:eastAsia="en-AU"/>
        </w:rPr>
        <w:t xml:space="preserve"> proposed wind farms</w:t>
      </w:r>
    </w:p>
    <w:p w14:paraId="602D6C97" w14:textId="77777777" w:rsidR="005E7C4A" w:rsidRDefault="00C93CB2" w:rsidP="007A1D42">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3</w:t>
      </w:r>
      <w:r w:rsidR="00D61D01">
        <w:rPr>
          <w:rFonts w:cs="Arial"/>
          <w:color w:val="000000"/>
          <w:lang w:eastAsia="en-AU"/>
        </w:rPr>
        <w:t>3</w:t>
      </w:r>
      <w:r w:rsidR="003D6887">
        <w:rPr>
          <w:rFonts w:cs="Arial"/>
          <w:color w:val="000000"/>
          <w:lang w:eastAsia="en-AU"/>
        </w:rPr>
        <w:t xml:space="preserve"> matters </w:t>
      </w:r>
      <w:r w:rsidR="005874E7" w:rsidRPr="00D4498E">
        <w:rPr>
          <w:rFonts w:cs="Arial"/>
          <w:color w:val="000000"/>
          <w:lang w:eastAsia="en-AU"/>
        </w:rPr>
        <w:t xml:space="preserve">did not specify a </w:t>
      </w:r>
      <w:r w:rsidR="00007830">
        <w:rPr>
          <w:rFonts w:cs="Arial"/>
          <w:color w:val="000000"/>
          <w:lang w:eastAsia="en-AU"/>
        </w:rPr>
        <w:t xml:space="preserve">particular </w:t>
      </w:r>
      <w:r w:rsidR="00A77A86">
        <w:rPr>
          <w:rFonts w:cs="Arial"/>
          <w:color w:val="000000"/>
          <w:lang w:eastAsia="en-AU"/>
        </w:rPr>
        <w:t xml:space="preserve">project </w:t>
      </w:r>
      <w:r w:rsidR="003D6887">
        <w:rPr>
          <w:rFonts w:cs="Arial"/>
          <w:color w:val="000000"/>
          <w:lang w:eastAsia="en-AU"/>
        </w:rPr>
        <w:t xml:space="preserve">or </w:t>
      </w:r>
      <w:r w:rsidR="00A77A86">
        <w:rPr>
          <w:rFonts w:cs="Arial"/>
          <w:color w:val="000000"/>
          <w:lang w:eastAsia="en-AU"/>
        </w:rPr>
        <w:t>development</w:t>
      </w:r>
      <w:r w:rsidR="005E7C4A">
        <w:rPr>
          <w:rFonts w:cs="Arial"/>
          <w:color w:val="000000"/>
          <w:lang w:eastAsia="en-AU"/>
        </w:rPr>
        <w:t>, and</w:t>
      </w:r>
    </w:p>
    <w:p w14:paraId="49ABBD96" w14:textId="77777777" w:rsidR="005874E7" w:rsidRPr="00A77A86" w:rsidRDefault="004D1E73" w:rsidP="007A1D42">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n</w:t>
      </w:r>
      <w:r w:rsidR="005E7C4A">
        <w:rPr>
          <w:rFonts w:cs="Arial"/>
          <w:color w:val="000000"/>
          <w:lang w:eastAsia="en-AU"/>
        </w:rPr>
        <w:t xml:space="preserve">o complaints were received in relation to </w:t>
      </w:r>
      <w:r w:rsidR="00C93CB2">
        <w:rPr>
          <w:rFonts w:cs="Arial"/>
          <w:color w:val="000000"/>
          <w:lang w:eastAsia="en-AU"/>
        </w:rPr>
        <w:t xml:space="preserve">solar farms or </w:t>
      </w:r>
      <w:r w:rsidR="005E7C4A">
        <w:rPr>
          <w:rFonts w:cs="Arial"/>
          <w:color w:val="000000"/>
          <w:lang w:eastAsia="en-AU"/>
        </w:rPr>
        <w:t>energy storage developments.</w:t>
      </w:r>
    </w:p>
    <w:p w14:paraId="5C951070" w14:textId="77777777" w:rsidR="00012BD7" w:rsidRPr="00080CEC" w:rsidRDefault="00012BD7" w:rsidP="00C056EF">
      <w:pPr>
        <w:spacing w:line="264" w:lineRule="auto"/>
        <w:rPr>
          <w:rFonts w:cs="Arial"/>
        </w:rPr>
      </w:pPr>
      <w:r w:rsidRPr="00080CEC">
        <w:rPr>
          <w:rFonts w:cs="Arial"/>
        </w:rPr>
        <w:t xml:space="preserve">From the Office’s inception </w:t>
      </w:r>
      <w:r w:rsidR="00D87B90">
        <w:rPr>
          <w:rFonts w:cs="Arial"/>
        </w:rPr>
        <w:t xml:space="preserve">in November 2015 </w:t>
      </w:r>
      <w:r w:rsidR="00813A4E">
        <w:rPr>
          <w:rFonts w:cs="Arial"/>
        </w:rPr>
        <w:t>through</w:t>
      </w:r>
      <w:r w:rsidRPr="00080CEC">
        <w:rPr>
          <w:rFonts w:cs="Arial"/>
        </w:rPr>
        <w:t xml:space="preserve"> to 31 December 20</w:t>
      </w:r>
      <w:r w:rsidR="00420193">
        <w:rPr>
          <w:rFonts w:cs="Arial"/>
        </w:rPr>
        <w:t>20</w:t>
      </w:r>
      <w:r w:rsidRPr="00080CEC">
        <w:rPr>
          <w:rFonts w:cs="Arial"/>
        </w:rPr>
        <w:t xml:space="preserve">, the Office </w:t>
      </w:r>
      <w:r w:rsidR="00D87B90">
        <w:rPr>
          <w:rFonts w:cs="Arial"/>
        </w:rPr>
        <w:t xml:space="preserve">has </w:t>
      </w:r>
      <w:r w:rsidR="00054666">
        <w:rPr>
          <w:rFonts w:cs="Arial"/>
        </w:rPr>
        <w:t xml:space="preserve">received a total of </w:t>
      </w:r>
      <w:r w:rsidR="00557E79">
        <w:rPr>
          <w:rFonts w:cs="Arial"/>
        </w:rPr>
        <w:t>52</w:t>
      </w:r>
      <w:r w:rsidR="003007E4">
        <w:rPr>
          <w:rFonts w:cs="Arial"/>
        </w:rPr>
        <w:t>4</w:t>
      </w:r>
      <w:r w:rsidR="00957219" w:rsidRPr="00957219">
        <w:rPr>
          <w:rFonts w:cs="Arial"/>
        </w:rPr>
        <w:t xml:space="preserve"> </w:t>
      </w:r>
      <w:r w:rsidRPr="00080CEC">
        <w:rPr>
          <w:rFonts w:cs="Arial"/>
        </w:rPr>
        <w:t>complaints</w:t>
      </w:r>
      <w:r w:rsidR="00776BB2">
        <w:rPr>
          <w:rFonts w:cs="Arial"/>
        </w:rPr>
        <w:t>, comprising:</w:t>
      </w:r>
    </w:p>
    <w:p w14:paraId="5DA47692" w14:textId="77777777" w:rsidR="00012BD7" w:rsidRPr="00080CEC" w:rsidRDefault="003007E4" w:rsidP="007A1D42">
      <w:pPr>
        <w:pStyle w:val="ListParagraph"/>
        <w:numPr>
          <w:ilvl w:val="0"/>
          <w:numId w:val="16"/>
        </w:numPr>
        <w:spacing w:line="264" w:lineRule="auto"/>
        <w:rPr>
          <w:rFonts w:cs="Arial"/>
        </w:rPr>
      </w:pPr>
      <w:r>
        <w:rPr>
          <w:rFonts w:cs="Arial"/>
          <w:color w:val="000000"/>
          <w:lang w:eastAsia="en-AU"/>
        </w:rPr>
        <w:t>7</w:t>
      </w:r>
      <w:r w:rsidR="006F1973">
        <w:rPr>
          <w:rFonts w:cs="Arial"/>
          <w:color w:val="000000"/>
          <w:lang w:eastAsia="en-AU"/>
        </w:rPr>
        <w:t>8</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relating </w:t>
      </w:r>
      <w:r w:rsidR="00357643">
        <w:rPr>
          <w:rFonts w:cs="Arial"/>
          <w:color w:val="000000"/>
          <w:lang w:eastAsia="en-AU"/>
        </w:rPr>
        <w:t>to 1</w:t>
      </w:r>
      <w:r w:rsidR="009A5AC5">
        <w:rPr>
          <w:rFonts w:cs="Arial"/>
          <w:color w:val="000000"/>
          <w:lang w:eastAsia="en-AU"/>
        </w:rPr>
        <w:t>7</w:t>
      </w:r>
      <w:r w:rsidR="00CA58D9" w:rsidRPr="00CA58D9">
        <w:rPr>
          <w:rFonts w:cs="Arial"/>
          <w:color w:val="000000"/>
          <w:lang w:eastAsia="en-AU"/>
        </w:rPr>
        <w:t xml:space="preserve"> </w:t>
      </w:r>
      <w:r w:rsidR="00012BD7" w:rsidRPr="00CA58D9">
        <w:rPr>
          <w:rFonts w:cs="Arial"/>
          <w:color w:val="000000"/>
          <w:lang w:eastAsia="en-AU"/>
        </w:rPr>
        <w:t>operating</w:t>
      </w:r>
      <w:r w:rsidR="00012BD7" w:rsidRPr="00080CEC">
        <w:rPr>
          <w:rFonts w:cs="Arial"/>
          <w:color w:val="000000"/>
          <w:lang w:eastAsia="en-AU"/>
        </w:rPr>
        <w:t xml:space="preserve"> wind farms</w:t>
      </w:r>
    </w:p>
    <w:p w14:paraId="0965AFBC" w14:textId="77777777" w:rsidR="00012BD7" w:rsidRDefault="0050394A" w:rsidP="007A1D42">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356</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relating to </w:t>
      </w:r>
      <w:r w:rsidR="00A22804" w:rsidRPr="00357643">
        <w:rPr>
          <w:rFonts w:cs="Arial"/>
          <w:color w:val="000000"/>
          <w:lang w:eastAsia="en-AU"/>
        </w:rPr>
        <w:t>5</w:t>
      </w:r>
      <w:r w:rsidR="00357643">
        <w:rPr>
          <w:rFonts w:cs="Arial"/>
          <w:color w:val="000000"/>
          <w:lang w:eastAsia="en-AU"/>
        </w:rPr>
        <w:t>8</w:t>
      </w:r>
      <w:r w:rsidR="00012BD7" w:rsidRPr="00080CEC">
        <w:rPr>
          <w:rFonts w:cs="Arial"/>
          <w:color w:val="000000"/>
          <w:lang w:eastAsia="en-AU"/>
        </w:rPr>
        <w:t xml:space="preserve"> proposed wind farms</w:t>
      </w:r>
    </w:p>
    <w:p w14:paraId="1D1379F8" w14:textId="77777777" w:rsidR="00720BB9" w:rsidRPr="00080CEC" w:rsidRDefault="00F9398A" w:rsidP="007A1D42">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 xml:space="preserve">six </w:t>
      </w:r>
      <w:r w:rsidR="003D6887">
        <w:rPr>
          <w:rFonts w:cs="Arial"/>
          <w:color w:val="000000"/>
          <w:lang w:eastAsia="en-AU"/>
        </w:rPr>
        <w:t>matters</w:t>
      </w:r>
      <w:r w:rsidR="00720BB9">
        <w:rPr>
          <w:rFonts w:cs="Arial"/>
          <w:color w:val="000000"/>
          <w:lang w:eastAsia="en-AU"/>
        </w:rPr>
        <w:t xml:space="preserve"> relating to </w:t>
      </w:r>
      <w:r w:rsidR="00DA547A">
        <w:rPr>
          <w:rFonts w:cs="Arial"/>
          <w:color w:val="000000"/>
          <w:lang w:eastAsia="en-AU"/>
        </w:rPr>
        <w:t>five</w:t>
      </w:r>
      <w:r w:rsidR="00720BB9">
        <w:rPr>
          <w:rFonts w:cs="Arial"/>
          <w:color w:val="000000"/>
          <w:lang w:eastAsia="en-AU"/>
        </w:rPr>
        <w:t xml:space="preserve"> proposed solar farms, and</w:t>
      </w:r>
    </w:p>
    <w:p w14:paraId="0F3ADB31" w14:textId="77777777" w:rsidR="00012BD7" w:rsidRPr="00080CEC" w:rsidRDefault="0050394A" w:rsidP="007A1D42">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8</w:t>
      </w:r>
      <w:r w:rsidR="006F1973">
        <w:rPr>
          <w:rFonts w:cs="Arial"/>
          <w:color w:val="000000"/>
          <w:lang w:eastAsia="en-AU"/>
        </w:rPr>
        <w:t>4</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that did not specify a </w:t>
      </w:r>
      <w:r w:rsidR="00720BB9">
        <w:rPr>
          <w:rFonts w:cs="Arial"/>
          <w:color w:val="000000"/>
          <w:lang w:eastAsia="en-AU"/>
        </w:rPr>
        <w:t xml:space="preserve">particular project </w:t>
      </w:r>
      <w:r w:rsidR="003D6887">
        <w:rPr>
          <w:rFonts w:cs="Arial"/>
          <w:color w:val="000000"/>
          <w:lang w:eastAsia="en-AU"/>
        </w:rPr>
        <w:t xml:space="preserve">or </w:t>
      </w:r>
      <w:r w:rsidR="00720BB9">
        <w:rPr>
          <w:rFonts w:cs="Arial"/>
          <w:color w:val="000000"/>
          <w:lang w:eastAsia="en-AU"/>
        </w:rPr>
        <w:t>development</w:t>
      </w:r>
      <w:r w:rsidR="00012BD7" w:rsidRPr="00080CEC">
        <w:rPr>
          <w:rFonts w:cs="Arial"/>
          <w:color w:val="000000"/>
          <w:lang w:eastAsia="en-AU"/>
        </w:rPr>
        <w:t>.</w:t>
      </w:r>
    </w:p>
    <w:p w14:paraId="5FF78DD6" w14:textId="77777777" w:rsidR="005874E7" w:rsidRPr="001B24F7" w:rsidRDefault="00A956E2" w:rsidP="00776BB2">
      <w:pPr>
        <w:autoSpaceDE w:val="0"/>
        <w:autoSpaceDN w:val="0"/>
        <w:adjustRightInd w:val="0"/>
        <w:spacing w:after="0" w:line="264" w:lineRule="auto"/>
        <w:rPr>
          <w:rFonts w:cs="Arial"/>
          <w:color w:val="000000"/>
          <w:lang w:eastAsia="en-AU"/>
        </w:rPr>
      </w:pPr>
      <w:r>
        <w:rPr>
          <w:rFonts w:cs="Arial"/>
          <w:color w:val="000000"/>
          <w:lang w:eastAsia="en-AU"/>
        </w:rPr>
        <w:t>O</w:t>
      </w:r>
      <w:r w:rsidR="004C31A6" w:rsidRPr="00957219">
        <w:rPr>
          <w:rFonts w:cs="Arial"/>
          <w:color w:val="000000"/>
          <w:lang w:eastAsia="en-AU"/>
        </w:rPr>
        <w:t xml:space="preserve">f the total of </w:t>
      </w:r>
      <w:r w:rsidR="0050394A">
        <w:rPr>
          <w:rFonts w:cs="Arial"/>
        </w:rPr>
        <w:t>52</w:t>
      </w:r>
      <w:r w:rsidR="003007E4">
        <w:rPr>
          <w:rFonts w:cs="Arial"/>
        </w:rPr>
        <w:t>4</w:t>
      </w:r>
      <w:r w:rsidR="004C31A6" w:rsidRPr="00957219">
        <w:rPr>
          <w:rFonts w:cs="Arial"/>
          <w:color w:val="000000"/>
          <w:lang w:eastAsia="en-AU"/>
        </w:rPr>
        <w:t xml:space="preserve"> complaints received</w:t>
      </w:r>
      <w:r w:rsidRPr="00A956E2">
        <w:rPr>
          <w:rFonts w:cs="Arial"/>
          <w:color w:val="000000"/>
          <w:lang w:eastAsia="en-AU"/>
        </w:rPr>
        <w:t xml:space="preserve"> </w:t>
      </w:r>
      <w:r w:rsidRPr="00957219">
        <w:rPr>
          <w:rFonts w:cs="Arial"/>
          <w:color w:val="000000"/>
          <w:lang w:eastAsia="en-AU"/>
        </w:rPr>
        <w:t>by the Office</w:t>
      </w:r>
      <w:r>
        <w:rPr>
          <w:rFonts w:cs="Arial"/>
          <w:color w:val="000000"/>
          <w:lang w:eastAsia="en-AU"/>
        </w:rPr>
        <w:t xml:space="preserve"> a</w:t>
      </w:r>
      <w:r w:rsidRPr="00957219">
        <w:rPr>
          <w:rFonts w:cs="Arial"/>
          <w:color w:val="000000"/>
          <w:lang w:eastAsia="en-AU"/>
        </w:rPr>
        <w:t>s at 31 December 20</w:t>
      </w:r>
      <w:r w:rsidR="0050394A">
        <w:rPr>
          <w:rFonts w:cs="Arial"/>
          <w:color w:val="000000"/>
          <w:lang w:eastAsia="en-AU"/>
        </w:rPr>
        <w:t>20</w:t>
      </w:r>
      <w:r w:rsidR="004C31A6" w:rsidRPr="00957219">
        <w:rPr>
          <w:rFonts w:cs="Arial"/>
          <w:color w:val="000000"/>
          <w:lang w:eastAsia="en-AU"/>
        </w:rPr>
        <w:t xml:space="preserve">, </w:t>
      </w:r>
      <w:r w:rsidR="0050394A">
        <w:rPr>
          <w:rFonts w:cs="Arial"/>
          <w:color w:val="000000"/>
          <w:lang w:eastAsia="en-AU"/>
        </w:rPr>
        <w:t>500</w:t>
      </w:r>
      <w:r w:rsidR="005874E7" w:rsidRPr="00957219">
        <w:rPr>
          <w:rFonts w:cs="Arial"/>
          <w:color w:val="000000"/>
          <w:lang w:eastAsia="en-AU"/>
        </w:rPr>
        <w:t xml:space="preserve"> </w:t>
      </w:r>
      <w:r w:rsidR="00617B64" w:rsidRPr="00957219">
        <w:rPr>
          <w:rFonts w:cs="Arial"/>
          <w:color w:val="000000"/>
          <w:lang w:eastAsia="en-AU"/>
        </w:rPr>
        <w:t xml:space="preserve">of those </w:t>
      </w:r>
      <w:r w:rsidR="005874E7" w:rsidRPr="00957219">
        <w:rPr>
          <w:rFonts w:cs="Arial"/>
          <w:color w:val="000000"/>
          <w:lang w:eastAsia="en-AU"/>
        </w:rPr>
        <w:t xml:space="preserve">complaints </w:t>
      </w:r>
      <w:r w:rsidR="004C31A6" w:rsidRPr="00957219">
        <w:rPr>
          <w:rFonts w:cs="Arial"/>
          <w:color w:val="000000"/>
          <w:lang w:eastAsia="en-AU"/>
        </w:rPr>
        <w:t>had been</w:t>
      </w:r>
      <w:r w:rsidR="005874E7" w:rsidRPr="00957219">
        <w:rPr>
          <w:rFonts w:cs="Arial"/>
          <w:color w:val="000000"/>
          <w:lang w:eastAsia="en-AU"/>
        </w:rPr>
        <w:t xml:space="preserve"> closed. The remain</w:t>
      </w:r>
      <w:r>
        <w:rPr>
          <w:rFonts w:cs="Arial"/>
          <w:color w:val="000000"/>
          <w:lang w:eastAsia="en-AU"/>
        </w:rPr>
        <w:t>ing</w:t>
      </w:r>
      <w:r w:rsidR="005874E7" w:rsidRPr="00957219">
        <w:rPr>
          <w:rFonts w:cs="Arial"/>
          <w:color w:val="000000"/>
          <w:lang w:eastAsia="en-AU"/>
        </w:rPr>
        <w:t xml:space="preserve"> </w:t>
      </w:r>
      <w:r w:rsidR="0050394A">
        <w:rPr>
          <w:rFonts w:cs="Arial"/>
          <w:color w:val="000000"/>
          <w:lang w:eastAsia="en-AU"/>
        </w:rPr>
        <w:t>2</w:t>
      </w:r>
      <w:r w:rsidR="003007E4">
        <w:rPr>
          <w:rFonts w:cs="Arial"/>
          <w:color w:val="000000"/>
          <w:lang w:eastAsia="en-AU"/>
        </w:rPr>
        <w:t>4</w:t>
      </w:r>
      <w:r w:rsidR="005874E7" w:rsidRPr="00957219">
        <w:rPr>
          <w:rFonts w:cs="Arial"/>
          <w:color w:val="000000"/>
          <w:lang w:eastAsia="en-AU"/>
        </w:rPr>
        <w:t xml:space="preserve"> </w:t>
      </w:r>
      <w:r w:rsidR="00450DFD">
        <w:rPr>
          <w:rFonts w:cs="Arial"/>
          <w:color w:val="000000"/>
          <w:lang w:eastAsia="en-AU"/>
        </w:rPr>
        <w:t xml:space="preserve">complaint </w:t>
      </w:r>
      <w:r w:rsidR="005874E7" w:rsidRPr="00957219">
        <w:rPr>
          <w:rFonts w:cs="Arial"/>
          <w:color w:val="000000"/>
          <w:lang w:eastAsia="en-AU"/>
        </w:rPr>
        <w:t>matters are at various stages of the complaint handling process.</w:t>
      </w:r>
    </w:p>
    <w:p w14:paraId="37093CEF" w14:textId="77777777" w:rsidR="005874E7" w:rsidRPr="00F47E6D" w:rsidRDefault="005874E7" w:rsidP="005874E7">
      <w:pPr>
        <w:pStyle w:val="Heading2"/>
      </w:pPr>
      <w:bookmarkStart w:id="16" w:name="_Toc84430811"/>
      <w:r>
        <w:lastRenderedPageBreak/>
        <w:t>Proposed Wind Farms versus Operating Wind Farms</w:t>
      </w:r>
      <w:bookmarkEnd w:id="16"/>
    </w:p>
    <w:p w14:paraId="78736FC4" w14:textId="09BB096F" w:rsidR="005874E7" w:rsidRPr="00EB3D5A" w:rsidRDefault="005874E7" w:rsidP="005874E7">
      <w:pPr>
        <w:spacing w:line="264" w:lineRule="auto"/>
        <w:rPr>
          <w:rFonts w:cs="Arial"/>
        </w:rPr>
      </w:pPr>
      <w:r w:rsidRPr="00EB3D5A">
        <w:rPr>
          <w:rFonts w:cs="Arial"/>
          <w:b/>
        </w:rPr>
        <w:t>Figure 1</w:t>
      </w:r>
      <w:r w:rsidRPr="00EB3D5A">
        <w:rPr>
          <w:rFonts w:cs="Arial"/>
        </w:rPr>
        <w:t xml:space="preserve"> below provides information on the number of complaints the Office has received in relation to proposed and operating wind farms</w:t>
      </w:r>
      <w:r w:rsidRPr="00EB3D5A" w:rsidDel="003B1911">
        <w:rPr>
          <w:rFonts w:cs="Arial"/>
        </w:rPr>
        <w:t xml:space="preserve"> </w:t>
      </w:r>
      <w:r w:rsidR="0083029A" w:rsidRPr="00EB3D5A">
        <w:rPr>
          <w:rFonts w:cs="Arial"/>
        </w:rPr>
        <w:t>for</w:t>
      </w:r>
      <w:r w:rsidR="002E13ED" w:rsidRPr="00EB3D5A">
        <w:rPr>
          <w:rFonts w:cs="Arial"/>
        </w:rPr>
        <w:t xml:space="preserve"> the period of 1 January 20</w:t>
      </w:r>
      <w:r w:rsidR="002D6DD0" w:rsidRPr="00EB3D5A">
        <w:rPr>
          <w:rFonts w:cs="Arial"/>
        </w:rPr>
        <w:t>20</w:t>
      </w:r>
      <w:r w:rsidR="002E13ED" w:rsidRPr="00EB3D5A">
        <w:rPr>
          <w:rFonts w:cs="Arial"/>
        </w:rPr>
        <w:t xml:space="preserve"> to 31</w:t>
      </w:r>
      <w:r w:rsidR="002D6DD0" w:rsidRPr="00EB3D5A">
        <w:rPr>
          <w:rFonts w:cs="Arial"/>
        </w:rPr>
        <w:t xml:space="preserve"> December 2020</w:t>
      </w:r>
      <w:r w:rsidRPr="00EB3D5A">
        <w:rPr>
          <w:rFonts w:cs="Arial"/>
        </w:rPr>
        <w:t xml:space="preserve">. Proposed wind farms are those which are at </w:t>
      </w:r>
      <w:r w:rsidR="005E2B10" w:rsidRPr="00EB3D5A">
        <w:rPr>
          <w:rFonts w:cs="Arial"/>
        </w:rPr>
        <w:t xml:space="preserve">either the </w:t>
      </w:r>
      <w:r w:rsidR="002E13ED" w:rsidRPr="00EB3D5A">
        <w:rPr>
          <w:rFonts w:cs="Arial"/>
        </w:rPr>
        <w:t xml:space="preserve">planning stage, have been approved by a state </w:t>
      </w:r>
      <w:r w:rsidR="00B062EF" w:rsidRPr="00EB3D5A">
        <w:rPr>
          <w:rFonts w:cs="Arial"/>
        </w:rPr>
        <w:t xml:space="preserve">or local </w:t>
      </w:r>
      <w:r w:rsidR="002E13ED" w:rsidRPr="00EB3D5A">
        <w:rPr>
          <w:rFonts w:cs="Arial"/>
        </w:rPr>
        <w:t xml:space="preserve">planning authority or are under construction </w:t>
      </w:r>
      <w:r w:rsidR="005E2B10" w:rsidRPr="00EB3D5A">
        <w:rPr>
          <w:rFonts w:cs="Arial"/>
        </w:rPr>
        <w:t xml:space="preserve">– but </w:t>
      </w:r>
      <w:r w:rsidR="002E13ED" w:rsidRPr="00EB3D5A">
        <w:rPr>
          <w:rFonts w:cs="Arial"/>
        </w:rPr>
        <w:t xml:space="preserve">not </w:t>
      </w:r>
      <w:r w:rsidR="0044051C" w:rsidRPr="00EB3D5A">
        <w:rPr>
          <w:rFonts w:cs="Arial"/>
        </w:rPr>
        <w:t xml:space="preserve">yet </w:t>
      </w:r>
      <w:r w:rsidR="001A7D9A" w:rsidRPr="00EB3D5A">
        <w:rPr>
          <w:rFonts w:cs="Arial"/>
        </w:rPr>
        <w:t>fully commissioned</w:t>
      </w:r>
      <w:r w:rsidR="008075AB" w:rsidRPr="00EB3D5A">
        <w:rPr>
          <w:rFonts w:cs="Arial"/>
        </w:rPr>
        <w:t xml:space="preserve"> at the time the complaint was registered</w:t>
      </w:r>
      <w:r w:rsidRPr="00EB3D5A">
        <w:rPr>
          <w:rFonts w:cs="Arial"/>
        </w:rPr>
        <w:t>.</w:t>
      </w:r>
    </w:p>
    <w:p w14:paraId="7F93B553" w14:textId="77777777" w:rsidR="00407C7D" w:rsidRPr="00EB3D5A" w:rsidRDefault="00407C7D" w:rsidP="000B34CB">
      <w:pPr>
        <w:spacing w:line="264" w:lineRule="auto"/>
        <w:rPr>
          <w:rFonts w:cs="Arial"/>
          <w:color w:val="000000"/>
          <w:lang w:eastAsia="en-AU"/>
        </w:rPr>
      </w:pPr>
      <w:r w:rsidRPr="00EB3D5A">
        <w:rPr>
          <w:rFonts w:cs="Arial"/>
          <w:noProof/>
          <w:lang w:eastAsia="en-AU"/>
        </w:rPr>
        <w:drawing>
          <wp:inline distT="0" distB="0" distL="0" distR="0" wp14:anchorId="0E16D8E5" wp14:editId="1D8B94F2">
            <wp:extent cx="6562725" cy="2724150"/>
            <wp:effectExtent l="0" t="0" r="952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0A02C8F" w14:textId="77777777" w:rsidR="002B0B91" w:rsidRPr="00EB3D5A" w:rsidRDefault="00046944" w:rsidP="00323444">
      <w:pPr>
        <w:spacing w:after="160" w:line="264" w:lineRule="auto"/>
        <w:rPr>
          <w:rFonts w:cs="Arial"/>
        </w:rPr>
      </w:pPr>
      <w:r w:rsidRPr="00EB3D5A">
        <w:rPr>
          <w:rFonts w:cs="Arial"/>
          <w:b/>
          <w:color w:val="000000"/>
        </w:rPr>
        <w:t>Figure 2</w:t>
      </w:r>
      <w:r w:rsidRPr="00EB3D5A">
        <w:rPr>
          <w:rFonts w:cs="Arial"/>
          <w:color w:val="000000"/>
        </w:rPr>
        <w:t xml:space="preserve"> </w:t>
      </w:r>
      <w:r w:rsidR="006039EB" w:rsidRPr="00EB3D5A">
        <w:rPr>
          <w:rFonts w:cs="Arial"/>
          <w:color w:val="000000"/>
        </w:rPr>
        <w:t xml:space="preserve">and </w:t>
      </w:r>
      <w:r w:rsidR="006039EB" w:rsidRPr="00EB3D5A">
        <w:rPr>
          <w:rFonts w:cs="Arial"/>
          <w:b/>
          <w:color w:val="000000"/>
        </w:rPr>
        <w:t>Figure 3</w:t>
      </w:r>
      <w:r w:rsidR="006039EB" w:rsidRPr="00EB3D5A">
        <w:rPr>
          <w:rFonts w:cs="Arial"/>
          <w:color w:val="000000"/>
        </w:rPr>
        <w:t xml:space="preserve"> </w:t>
      </w:r>
      <w:r w:rsidRPr="00EB3D5A">
        <w:rPr>
          <w:rFonts w:cs="Arial"/>
          <w:color w:val="000000"/>
        </w:rPr>
        <w:t xml:space="preserve">below provides comparative data on the </w:t>
      </w:r>
      <w:r w:rsidR="001B7267" w:rsidRPr="00EB3D5A">
        <w:rPr>
          <w:rFonts w:cs="Arial"/>
        </w:rPr>
        <w:t xml:space="preserve">number of complaints the Office has received in relation to proposed and operating wind </w:t>
      </w:r>
      <w:r w:rsidR="00434F8B" w:rsidRPr="00EB3D5A">
        <w:rPr>
          <w:rFonts w:cs="Arial"/>
        </w:rPr>
        <w:t xml:space="preserve">and solar </w:t>
      </w:r>
      <w:r w:rsidR="001B7267" w:rsidRPr="00EB3D5A">
        <w:rPr>
          <w:rFonts w:cs="Arial"/>
        </w:rPr>
        <w:t>farms</w:t>
      </w:r>
      <w:r w:rsidR="001B7267" w:rsidRPr="00EB3D5A" w:rsidDel="003B1911">
        <w:rPr>
          <w:rFonts w:cs="Arial"/>
        </w:rPr>
        <w:t xml:space="preserve"> </w:t>
      </w:r>
      <w:r w:rsidR="001B7267" w:rsidRPr="00EB3D5A">
        <w:rPr>
          <w:rFonts w:cs="Arial"/>
        </w:rPr>
        <w:t>for each calendar year since the commencement of the Commissio</w:t>
      </w:r>
      <w:r w:rsidR="002B0B91" w:rsidRPr="00EB3D5A">
        <w:rPr>
          <w:rFonts w:cs="Arial"/>
        </w:rPr>
        <w:t>ner’s role in November 2015.</w:t>
      </w:r>
    </w:p>
    <w:p w14:paraId="7BDA4A14" w14:textId="77777777" w:rsidR="001B7267" w:rsidRPr="00EB3D5A" w:rsidRDefault="008159FC" w:rsidP="00776BB2">
      <w:pPr>
        <w:spacing w:line="264" w:lineRule="auto"/>
        <w:rPr>
          <w:rFonts w:cs="Arial"/>
        </w:rPr>
      </w:pPr>
      <w:r w:rsidRPr="00EB3D5A">
        <w:rPr>
          <w:rFonts w:cs="Arial"/>
          <w:b/>
        </w:rPr>
        <w:t>Figure 2</w:t>
      </w:r>
      <w:r w:rsidRPr="00EB3D5A">
        <w:rPr>
          <w:rFonts w:cs="Arial"/>
        </w:rPr>
        <w:t xml:space="preserve"> illustrates the high level of complaint activity during 2020, </w:t>
      </w:r>
      <w:r w:rsidRPr="00EB3D5A">
        <w:rPr>
          <w:rFonts w:eastAsia="Times New Roman" w:cs="Arial"/>
        </w:rPr>
        <w:t>being more than double the number of complaints than received during 2019 and the h</w:t>
      </w:r>
      <w:r w:rsidRPr="00EB3D5A">
        <w:rPr>
          <w:rFonts w:cs="Arial"/>
          <w:color w:val="000000"/>
          <w:lang w:eastAsia="en-AU"/>
        </w:rPr>
        <w:t xml:space="preserve">ighest total number of complaints per year since the inception of the </w:t>
      </w:r>
      <w:r w:rsidR="00195FCD" w:rsidRPr="00EB3D5A">
        <w:rPr>
          <w:rFonts w:cs="Arial"/>
          <w:color w:val="000000"/>
          <w:lang w:eastAsia="en-AU"/>
        </w:rPr>
        <w:t>O</w:t>
      </w:r>
      <w:r w:rsidRPr="00EB3D5A">
        <w:rPr>
          <w:rFonts w:cs="Arial"/>
          <w:color w:val="000000"/>
          <w:lang w:eastAsia="en-AU"/>
        </w:rPr>
        <w:t>ffice</w:t>
      </w:r>
      <w:r w:rsidRPr="00EB3D5A">
        <w:rPr>
          <w:rFonts w:eastAsia="Times New Roman" w:cs="Arial"/>
        </w:rPr>
        <w:t xml:space="preserve">. </w:t>
      </w:r>
      <w:r w:rsidRPr="00EB3D5A">
        <w:rPr>
          <w:rFonts w:eastAsia="Times New Roman" w:cs="Arial"/>
          <w:b/>
        </w:rPr>
        <w:t>Figure 3</w:t>
      </w:r>
      <w:r w:rsidRPr="00EB3D5A">
        <w:rPr>
          <w:rFonts w:eastAsia="Times New Roman" w:cs="Arial"/>
        </w:rPr>
        <w:t xml:space="preserve"> also indicates the ongoing trend </w:t>
      </w:r>
      <w:r w:rsidR="000B34CB" w:rsidRPr="00EB3D5A">
        <w:rPr>
          <w:rFonts w:cs="Arial"/>
        </w:rPr>
        <w:t>of complaints</w:t>
      </w:r>
      <w:r w:rsidR="00797B3F" w:rsidRPr="00EB3D5A">
        <w:rPr>
          <w:rFonts w:cs="Arial"/>
        </w:rPr>
        <w:t xml:space="preserve"> </w:t>
      </w:r>
      <w:r w:rsidR="000B34CB" w:rsidRPr="00EB3D5A">
        <w:rPr>
          <w:rFonts w:cs="Arial"/>
        </w:rPr>
        <w:t xml:space="preserve">about proposed </w:t>
      </w:r>
      <w:r w:rsidR="00434F8B" w:rsidRPr="00EB3D5A">
        <w:rPr>
          <w:rFonts w:cs="Arial"/>
        </w:rPr>
        <w:t>projects</w:t>
      </w:r>
      <w:r w:rsidR="00B339CA" w:rsidRPr="00EB3D5A">
        <w:rPr>
          <w:rFonts w:cs="Arial"/>
        </w:rPr>
        <w:t xml:space="preserve"> remain</w:t>
      </w:r>
      <w:r w:rsidRPr="00EB3D5A">
        <w:rPr>
          <w:rFonts w:cs="Arial"/>
        </w:rPr>
        <w:t>ing</w:t>
      </w:r>
      <w:r w:rsidR="000B34CB" w:rsidRPr="00EB3D5A">
        <w:rPr>
          <w:rFonts w:cs="Arial"/>
        </w:rPr>
        <w:t xml:space="preserve"> relatively high</w:t>
      </w:r>
      <w:r w:rsidR="005F1069" w:rsidRPr="00EB3D5A">
        <w:rPr>
          <w:rFonts w:cs="Arial"/>
        </w:rPr>
        <w:t xml:space="preserve"> compared to operating wind farms</w:t>
      </w:r>
      <w:r w:rsidR="00B339CA" w:rsidRPr="00EB3D5A">
        <w:rPr>
          <w:rFonts w:cs="Arial"/>
        </w:rPr>
        <w:t xml:space="preserve">. </w:t>
      </w:r>
      <w:r w:rsidR="000B34CB" w:rsidRPr="00EB3D5A">
        <w:rPr>
          <w:rFonts w:cs="Arial"/>
        </w:rPr>
        <w:t xml:space="preserve">The increase in general enquiries </w:t>
      </w:r>
      <w:r w:rsidR="00B339CA" w:rsidRPr="00EB3D5A">
        <w:rPr>
          <w:rFonts w:cs="Arial"/>
        </w:rPr>
        <w:t>across each year</w:t>
      </w:r>
      <w:r w:rsidR="000B34CB" w:rsidRPr="00EB3D5A">
        <w:rPr>
          <w:rFonts w:cs="Arial"/>
        </w:rPr>
        <w:t xml:space="preserve"> also indicates the ongoing value of the Office as an independent, reliable source of factual information.</w:t>
      </w:r>
    </w:p>
    <w:p w14:paraId="0058E332" w14:textId="77777777" w:rsidR="006039EB" w:rsidRPr="00EB3D5A" w:rsidRDefault="006039EB" w:rsidP="00776BB2">
      <w:pPr>
        <w:spacing w:line="264" w:lineRule="auto"/>
        <w:rPr>
          <w:rFonts w:cs="Arial"/>
        </w:rPr>
      </w:pPr>
      <w:r w:rsidRPr="00EB3D5A">
        <w:rPr>
          <w:noProof/>
          <w:lang w:eastAsia="en-AU"/>
        </w:rPr>
        <w:drawing>
          <wp:inline distT="0" distB="0" distL="0" distR="0" wp14:anchorId="0EDDD3E5" wp14:editId="233AD04A">
            <wp:extent cx="6705600" cy="36322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D10A770" w14:textId="77777777" w:rsidR="00046944" w:rsidRPr="00EB3D5A" w:rsidRDefault="0046524D" w:rsidP="00E134A0">
      <w:pPr>
        <w:spacing w:after="0"/>
        <w:rPr>
          <w:lang w:eastAsia="en-AU"/>
        </w:rPr>
      </w:pPr>
      <w:r w:rsidRPr="00EB3D5A">
        <w:rPr>
          <w:noProof/>
          <w:lang w:eastAsia="en-AU"/>
        </w:rPr>
        <w:lastRenderedPageBreak/>
        <w:drawing>
          <wp:inline distT="0" distB="0" distL="0" distR="0" wp14:anchorId="54D2C4A3" wp14:editId="2D29605C">
            <wp:extent cx="6591504" cy="4146584"/>
            <wp:effectExtent l="0" t="0" r="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2F46F52" w14:textId="77777777" w:rsidR="000B34CB" w:rsidRPr="00EB3D5A" w:rsidRDefault="000B34CB" w:rsidP="000B34CB">
      <w:pPr>
        <w:spacing w:after="0"/>
        <w:rPr>
          <w:rFonts w:cs="Arial"/>
          <w:i/>
          <w:sz w:val="16"/>
          <w:szCs w:val="16"/>
        </w:rPr>
      </w:pPr>
      <w:r w:rsidRPr="00EB3D5A">
        <w:rPr>
          <w:rFonts w:cs="Arial"/>
          <w:i/>
          <w:sz w:val="16"/>
          <w:szCs w:val="16"/>
        </w:rPr>
        <w:t>*2015-16 – refers to data collected from inception of the Office on 1 November 2015 up until 31 December 2016</w:t>
      </w:r>
    </w:p>
    <w:p w14:paraId="665F79C6" w14:textId="77777777" w:rsidR="006039EB" w:rsidRPr="00EB3D5A" w:rsidRDefault="006039EB" w:rsidP="000B34CB">
      <w:pPr>
        <w:spacing w:after="0"/>
        <w:rPr>
          <w:rFonts w:cs="Arial"/>
          <w:i/>
          <w:sz w:val="16"/>
          <w:szCs w:val="16"/>
        </w:rPr>
      </w:pPr>
    </w:p>
    <w:p w14:paraId="77CF8ABA" w14:textId="0F24302A" w:rsidR="005874E7" w:rsidRPr="00EB3D5A" w:rsidRDefault="005874E7" w:rsidP="005874E7">
      <w:pPr>
        <w:pStyle w:val="Heading2"/>
      </w:pPr>
      <w:bookmarkStart w:id="17" w:name="_Toc84430812"/>
      <w:r w:rsidRPr="00EB3D5A">
        <w:t xml:space="preserve">Operating </w:t>
      </w:r>
      <w:r w:rsidR="00997B39" w:rsidRPr="00EB3D5A">
        <w:t>w</w:t>
      </w:r>
      <w:r w:rsidRPr="00EB3D5A">
        <w:t xml:space="preserve">ind </w:t>
      </w:r>
      <w:r w:rsidR="00997B39" w:rsidRPr="00EB3D5A">
        <w:t>f</w:t>
      </w:r>
      <w:r w:rsidRPr="00EB3D5A">
        <w:t>arms</w:t>
      </w:r>
      <w:r w:rsidR="001A7D9A" w:rsidRPr="00EB3D5A">
        <w:t xml:space="preserve"> – </w:t>
      </w:r>
      <w:r w:rsidR="00997B39" w:rsidRPr="00EB3D5A">
        <w:t xml:space="preserve">overview </w:t>
      </w:r>
      <w:r w:rsidR="001A7D9A" w:rsidRPr="00EB3D5A">
        <w:t>2015-2020</w:t>
      </w:r>
      <w:bookmarkEnd w:id="17"/>
    </w:p>
    <w:p w14:paraId="47F07D56" w14:textId="1DF7459D" w:rsidR="00323444" w:rsidRPr="00EB3D5A" w:rsidRDefault="00046944" w:rsidP="005874E7">
      <w:pPr>
        <w:rPr>
          <w:rFonts w:cs="Arial"/>
        </w:rPr>
      </w:pPr>
      <w:r w:rsidRPr="00EB3D5A">
        <w:rPr>
          <w:rFonts w:cs="Arial"/>
          <w:b/>
        </w:rPr>
        <w:t xml:space="preserve">Figure </w:t>
      </w:r>
      <w:r w:rsidR="00484DDC" w:rsidRPr="00EB3D5A">
        <w:rPr>
          <w:rFonts w:cs="Arial"/>
          <w:b/>
        </w:rPr>
        <w:t>4</w:t>
      </w:r>
      <w:r w:rsidRPr="00EB3D5A">
        <w:rPr>
          <w:rFonts w:cs="Arial"/>
        </w:rPr>
        <w:t xml:space="preserve"> below provides information on the location of all complaints relating to operating wind farms</w:t>
      </w:r>
      <w:r w:rsidR="00245389" w:rsidRPr="00EB3D5A">
        <w:rPr>
          <w:rFonts w:cs="Arial"/>
        </w:rPr>
        <w:t xml:space="preserve"> by state,</w:t>
      </w:r>
      <w:r w:rsidRPr="00EB3D5A">
        <w:rPr>
          <w:rFonts w:cs="Arial"/>
        </w:rPr>
        <w:t xml:space="preserve"> from the period of the Office’s inception</w:t>
      </w:r>
      <w:r w:rsidR="00A77FB8" w:rsidRPr="00EB3D5A">
        <w:rPr>
          <w:rFonts w:cs="Arial"/>
        </w:rPr>
        <w:t xml:space="preserve"> on November 2015</w:t>
      </w:r>
      <w:r w:rsidRPr="00EB3D5A">
        <w:rPr>
          <w:rFonts w:cs="Arial"/>
        </w:rPr>
        <w:t xml:space="preserve"> up to 31 December 20</w:t>
      </w:r>
      <w:r w:rsidR="00796788" w:rsidRPr="00EB3D5A">
        <w:rPr>
          <w:rFonts w:cs="Arial"/>
        </w:rPr>
        <w:t>20</w:t>
      </w:r>
      <w:r w:rsidRPr="00EB3D5A">
        <w:rPr>
          <w:rFonts w:cs="Arial"/>
        </w:rPr>
        <w:t>.</w:t>
      </w:r>
    </w:p>
    <w:p w14:paraId="70052494" w14:textId="77777777" w:rsidR="00046944" w:rsidRPr="00EB3D5A" w:rsidRDefault="00A77FB8" w:rsidP="005874E7">
      <w:pPr>
        <w:rPr>
          <w:rFonts w:cs="Arial"/>
        </w:rPr>
      </w:pPr>
      <w:r w:rsidRPr="00EB3D5A">
        <w:rPr>
          <w:rFonts w:cs="Arial"/>
        </w:rPr>
        <w:t xml:space="preserve">The majority of complaints about operating wind farms are based in Victoria, although this </w:t>
      </w:r>
      <w:r w:rsidR="00797B3F" w:rsidRPr="00EB3D5A">
        <w:rPr>
          <w:rFonts w:cs="Arial"/>
        </w:rPr>
        <w:t xml:space="preserve">is likely to </w:t>
      </w:r>
      <w:r w:rsidRPr="00EB3D5A">
        <w:rPr>
          <w:rFonts w:cs="Arial"/>
        </w:rPr>
        <w:t>reflect ‘legacy’ community issues</w:t>
      </w:r>
      <w:r w:rsidR="00A53711" w:rsidRPr="00EB3D5A">
        <w:rPr>
          <w:rFonts w:cs="Arial"/>
        </w:rPr>
        <w:t xml:space="preserve"> resulting</w:t>
      </w:r>
      <w:r w:rsidRPr="00EB3D5A">
        <w:rPr>
          <w:rFonts w:cs="Arial"/>
        </w:rPr>
        <w:t xml:space="preserve"> from </w:t>
      </w:r>
      <w:r w:rsidR="00A53711" w:rsidRPr="00EB3D5A">
        <w:rPr>
          <w:rFonts w:cs="Arial"/>
        </w:rPr>
        <w:t>older</w:t>
      </w:r>
      <w:r w:rsidRPr="00EB3D5A">
        <w:rPr>
          <w:rFonts w:cs="Arial"/>
        </w:rPr>
        <w:t xml:space="preserve"> wind farm projects in the state, as well </w:t>
      </w:r>
      <w:r w:rsidR="00A53711" w:rsidRPr="00EB3D5A">
        <w:rPr>
          <w:rFonts w:cs="Arial"/>
        </w:rPr>
        <w:t xml:space="preserve">as projects located where </w:t>
      </w:r>
      <w:r w:rsidRPr="00EB3D5A">
        <w:rPr>
          <w:rFonts w:cs="Arial"/>
        </w:rPr>
        <w:t xml:space="preserve">the energy grid system </w:t>
      </w:r>
      <w:r w:rsidR="00A53711" w:rsidRPr="00EB3D5A">
        <w:rPr>
          <w:rFonts w:cs="Arial"/>
        </w:rPr>
        <w:t xml:space="preserve">was traditionally designed to service </w:t>
      </w:r>
      <w:r w:rsidRPr="00EB3D5A">
        <w:rPr>
          <w:rFonts w:cs="Arial"/>
        </w:rPr>
        <w:t>relatively dense regional population</w:t>
      </w:r>
      <w:r w:rsidR="00A53711" w:rsidRPr="00EB3D5A">
        <w:rPr>
          <w:rFonts w:cs="Arial"/>
        </w:rPr>
        <w:t>s</w:t>
      </w:r>
      <w:r w:rsidRPr="00EB3D5A">
        <w:rPr>
          <w:rFonts w:cs="Arial"/>
        </w:rPr>
        <w:t>.</w:t>
      </w:r>
    </w:p>
    <w:p w14:paraId="105947E4" w14:textId="77777777" w:rsidR="005874E7" w:rsidRPr="00EB3D5A" w:rsidRDefault="003B4A65" w:rsidP="000B34CB">
      <w:pPr>
        <w:spacing w:line="240" w:lineRule="auto"/>
      </w:pPr>
      <w:r w:rsidRPr="00EB3D5A">
        <w:rPr>
          <w:rFonts w:cs="Arial"/>
          <w:noProof/>
          <w:lang w:eastAsia="en-AU"/>
        </w:rPr>
        <w:drawing>
          <wp:inline distT="0" distB="0" distL="0" distR="0" wp14:anchorId="6FB2A0FF" wp14:editId="51B3C1FC">
            <wp:extent cx="6524625" cy="292417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4981EA2" w14:textId="77777777" w:rsidR="00713FDC" w:rsidRPr="00EB3D5A" w:rsidRDefault="00713FDC" w:rsidP="00245389">
      <w:pPr>
        <w:rPr>
          <w:rFonts w:cs="Arial"/>
          <w:b/>
        </w:rPr>
      </w:pPr>
    </w:p>
    <w:p w14:paraId="4C27AEB3" w14:textId="77777777" w:rsidR="000B34CB" w:rsidRPr="00EB3D5A" w:rsidRDefault="000B34CB" w:rsidP="00245389">
      <w:pPr>
        <w:rPr>
          <w:rFonts w:cs="Arial"/>
        </w:rPr>
      </w:pPr>
      <w:r w:rsidRPr="00EB3D5A">
        <w:rPr>
          <w:rFonts w:cs="Arial"/>
          <w:b/>
        </w:rPr>
        <w:lastRenderedPageBreak/>
        <w:t xml:space="preserve">Figure </w:t>
      </w:r>
      <w:r w:rsidR="00484DDC" w:rsidRPr="00EB3D5A">
        <w:rPr>
          <w:rFonts w:cs="Arial"/>
          <w:b/>
        </w:rPr>
        <w:t>5</w:t>
      </w:r>
      <w:r w:rsidRPr="00EB3D5A">
        <w:rPr>
          <w:rFonts w:cs="Arial"/>
        </w:rPr>
        <w:t xml:space="preserve"> below provides information on the </w:t>
      </w:r>
      <w:r w:rsidR="009646AE" w:rsidRPr="00EB3D5A">
        <w:rPr>
          <w:rFonts w:cs="Arial"/>
        </w:rPr>
        <w:t xml:space="preserve">number and </w:t>
      </w:r>
      <w:r w:rsidRPr="00EB3D5A">
        <w:rPr>
          <w:rFonts w:cs="Arial"/>
        </w:rPr>
        <w:t xml:space="preserve">location of all </w:t>
      </w:r>
      <w:r w:rsidR="001D328F" w:rsidRPr="00EB3D5A">
        <w:rPr>
          <w:rFonts w:cs="Arial"/>
        </w:rPr>
        <w:t>operating wind farms</w:t>
      </w:r>
      <w:r w:rsidR="007B0053" w:rsidRPr="00EB3D5A">
        <w:rPr>
          <w:rFonts w:cs="Arial"/>
        </w:rPr>
        <w:t>, by state,</w:t>
      </w:r>
      <w:r w:rsidR="001D328F" w:rsidRPr="00EB3D5A">
        <w:rPr>
          <w:rFonts w:cs="Arial"/>
        </w:rPr>
        <w:t xml:space="preserve"> </w:t>
      </w:r>
      <w:r w:rsidR="002B0B91" w:rsidRPr="00EB3D5A">
        <w:rPr>
          <w:rFonts w:cs="Arial"/>
        </w:rPr>
        <w:t xml:space="preserve">for </w:t>
      </w:r>
      <w:r w:rsidR="001D328F" w:rsidRPr="00EB3D5A">
        <w:rPr>
          <w:rFonts w:cs="Arial"/>
        </w:rPr>
        <w:t xml:space="preserve">which the Office received </w:t>
      </w:r>
      <w:r w:rsidRPr="00EB3D5A">
        <w:rPr>
          <w:rFonts w:cs="Arial"/>
        </w:rPr>
        <w:t>complaints</w:t>
      </w:r>
      <w:r w:rsidR="001D328F" w:rsidRPr="00EB3D5A">
        <w:rPr>
          <w:rFonts w:cs="Arial"/>
        </w:rPr>
        <w:t xml:space="preserve"> </w:t>
      </w:r>
      <w:r w:rsidRPr="00EB3D5A">
        <w:rPr>
          <w:rFonts w:cs="Arial"/>
        </w:rPr>
        <w:t xml:space="preserve">from the period of </w:t>
      </w:r>
      <w:r w:rsidR="007B0053" w:rsidRPr="00EB3D5A">
        <w:rPr>
          <w:rFonts w:cs="Arial"/>
        </w:rPr>
        <w:t>the Office’s inception up to 31 December </w:t>
      </w:r>
      <w:r w:rsidRPr="00EB3D5A">
        <w:rPr>
          <w:rFonts w:cs="Arial"/>
        </w:rPr>
        <w:t>20</w:t>
      </w:r>
      <w:r w:rsidR="009A392C" w:rsidRPr="00EB3D5A">
        <w:rPr>
          <w:rFonts w:cs="Arial"/>
        </w:rPr>
        <w:t>20</w:t>
      </w:r>
      <w:r w:rsidRPr="00EB3D5A">
        <w:rPr>
          <w:rFonts w:cs="Arial"/>
        </w:rPr>
        <w:t>.</w:t>
      </w:r>
      <w:r w:rsidR="009A392C" w:rsidRPr="00EB3D5A">
        <w:rPr>
          <w:rFonts w:cs="Arial"/>
        </w:rPr>
        <w:t xml:space="preserve"> </w:t>
      </w:r>
      <w:r w:rsidR="00A53711" w:rsidRPr="00EB3D5A">
        <w:rPr>
          <w:rFonts w:cs="Arial"/>
        </w:rPr>
        <w:t>As outlined above, the majority of operating wind farms that the Office has received complaints about are located in Victoria.</w:t>
      </w:r>
    </w:p>
    <w:p w14:paraId="2965DDB3" w14:textId="77777777" w:rsidR="005E7C4A" w:rsidRPr="00EB3D5A" w:rsidRDefault="005E7C4A" w:rsidP="005874E7">
      <w:pPr>
        <w:spacing w:after="0" w:line="240" w:lineRule="auto"/>
      </w:pPr>
      <w:r w:rsidRPr="00EB3D5A">
        <w:rPr>
          <w:rFonts w:cs="Arial"/>
          <w:noProof/>
          <w:lang w:eastAsia="en-AU"/>
        </w:rPr>
        <w:drawing>
          <wp:inline distT="0" distB="0" distL="0" distR="0" wp14:anchorId="0A310799" wp14:editId="4E6A1989">
            <wp:extent cx="6524625" cy="2924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3F6D93E" w14:textId="759A83F6" w:rsidR="005874E7" w:rsidRPr="00EB3D5A" w:rsidRDefault="005874E7" w:rsidP="00713FDC">
      <w:pPr>
        <w:pStyle w:val="Heading2"/>
        <w:spacing w:before="240"/>
      </w:pPr>
      <w:bookmarkStart w:id="18" w:name="_Toc84430813"/>
      <w:r w:rsidRPr="00EB3D5A">
        <w:t xml:space="preserve">Proposed </w:t>
      </w:r>
      <w:r w:rsidR="00997B39" w:rsidRPr="00EB3D5A">
        <w:t>w</w:t>
      </w:r>
      <w:r w:rsidRPr="00EB3D5A">
        <w:t xml:space="preserve">ind </w:t>
      </w:r>
      <w:r w:rsidR="00997B39" w:rsidRPr="00EB3D5A">
        <w:t>f</w:t>
      </w:r>
      <w:r w:rsidRPr="00EB3D5A">
        <w:t>arms</w:t>
      </w:r>
      <w:r w:rsidR="001A7D9A" w:rsidRPr="00EB3D5A">
        <w:t xml:space="preserve"> – </w:t>
      </w:r>
      <w:r w:rsidR="00997B39" w:rsidRPr="00EB3D5A">
        <w:t xml:space="preserve">overview </w:t>
      </w:r>
      <w:r w:rsidR="001A7D9A" w:rsidRPr="00EB3D5A">
        <w:t>2015-2020</w:t>
      </w:r>
      <w:bookmarkEnd w:id="18"/>
    </w:p>
    <w:p w14:paraId="6361BB62" w14:textId="77777777" w:rsidR="000B592A" w:rsidRPr="00EB3D5A" w:rsidRDefault="001D328F" w:rsidP="000B592A">
      <w:pPr>
        <w:spacing w:before="240"/>
        <w:rPr>
          <w:rFonts w:cs="Arial"/>
        </w:rPr>
      </w:pPr>
      <w:r w:rsidRPr="00EB3D5A">
        <w:rPr>
          <w:rFonts w:cs="Arial"/>
          <w:b/>
        </w:rPr>
        <w:t xml:space="preserve">Figure </w:t>
      </w:r>
      <w:r w:rsidR="00EC02FB" w:rsidRPr="00EB3D5A">
        <w:rPr>
          <w:rFonts w:cs="Arial"/>
          <w:b/>
        </w:rPr>
        <w:t>6</w:t>
      </w:r>
      <w:r w:rsidRPr="00EB3D5A">
        <w:rPr>
          <w:rFonts w:cs="Arial"/>
        </w:rPr>
        <w:t xml:space="preserve"> provide</w:t>
      </w:r>
      <w:r w:rsidR="005D542C" w:rsidRPr="00EB3D5A">
        <w:rPr>
          <w:rFonts w:cs="Arial"/>
        </w:rPr>
        <w:t>s information</w:t>
      </w:r>
      <w:r w:rsidRPr="00EB3D5A">
        <w:rPr>
          <w:rFonts w:cs="Arial"/>
        </w:rPr>
        <w:t xml:space="preserve"> on the</w:t>
      </w:r>
      <w:r w:rsidR="005D542C" w:rsidRPr="00EB3D5A">
        <w:rPr>
          <w:rFonts w:cs="Arial"/>
        </w:rPr>
        <w:t xml:space="preserve"> number of complaints about </w:t>
      </w:r>
      <w:r w:rsidRPr="00EB3D5A">
        <w:rPr>
          <w:rFonts w:cs="Arial"/>
        </w:rPr>
        <w:t>proposed wind farms</w:t>
      </w:r>
      <w:r w:rsidR="007B0053" w:rsidRPr="00EB3D5A">
        <w:rPr>
          <w:rFonts w:cs="Arial"/>
        </w:rPr>
        <w:t>, by state,</w:t>
      </w:r>
      <w:r w:rsidRPr="00EB3D5A">
        <w:rPr>
          <w:rFonts w:cs="Arial"/>
        </w:rPr>
        <w:t xml:space="preserve"> f</w:t>
      </w:r>
      <w:r w:rsidR="005D542C" w:rsidRPr="00EB3D5A">
        <w:rPr>
          <w:rFonts w:cs="Arial"/>
        </w:rPr>
        <w:t xml:space="preserve">or </w:t>
      </w:r>
      <w:r w:rsidRPr="00EB3D5A">
        <w:rPr>
          <w:rFonts w:cs="Arial"/>
        </w:rPr>
        <w:t>the period of the Office’s inception</w:t>
      </w:r>
      <w:r w:rsidR="005D542C" w:rsidRPr="00EB3D5A">
        <w:rPr>
          <w:rFonts w:cs="Arial"/>
        </w:rPr>
        <w:t xml:space="preserve"> in November 2015 through to </w:t>
      </w:r>
      <w:r w:rsidRPr="00EB3D5A">
        <w:rPr>
          <w:rFonts w:cs="Arial"/>
        </w:rPr>
        <w:t>31 December 20</w:t>
      </w:r>
      <w:r w:rsidR="00441D1F" w:rsidRPr="00EB3D5A">
        <w:rPr>
          <w:rFonts w:cs="Arial"/>
        </w:rPr>
        <w:t>20</w:t>
      </w:r>
      <w:r w:rsidRPr="00EB3D5A">
        <w:rPr>
          <w:rFonts w:cs="Arial"/>
        </w:rPr>
        <w:t>.</w:t>
      </w:r>
      <w:r w:rsidR="009D5083" w:rsidRPr="00EB3D5A">
        <w:rPr>
          <w:rFonts w:cs="Arial"/>
        </w:rPr>
        <w:t xml:space="preserve"> </w:t>
      </w:r>
      <w:r w:rsidR="000B592A" w:rsidRPr="00EB3D5A">
        <w:rPr>
          <w:rFonts w:cs="Arial"/>
          <w:b/>
        </w:rPr>
        <w:t>Figure 7</w:t>
      </w:r>
      <w:r w:rsidR="000B592A" w:rsidRPr="00EB3D5A">
        <w:rPr>
          <w:rFonts w:cs="Arial"/>
        </w:rPr>
        <w:t xml:space="preserve"> also provides information on the location of proposed wind farms, by state, for which the Office has received complaints from the period of the Office’s inception up to 31 December 2020.</w:t>
      </w:r>
    </w:p>
    <w:p w14:paraId="10A0DBDC" w14:textId="707A9EB2" w:rsidR="00E049A3" w:rsidRPr="00EB3D5A" w:rsidRDefault="009D5083" w:rsidP="00AE1F06">
      <w:pPr>
        <w:spacing w:line="264" w:lineRule="auto"/>
        <w:rPr>
          <w:rFonts w:cs="Arial"/>
        </w:rPr>
      </w:pPr>
      <w:r w:rsidRPr="00EB3D5A">
        <w:rPr>
          <w:rFonts w:cs="Arial"/>
        </w:rPr>
        <w:t>While the Office has received complaints from all states in which wind farms have been proposed, the majority of these complaints have been about proposed projects in Victoria.</w:t>
      </w:r>
    </w:p>
    <w:p w14:paraId="061F2F2A" w14:textId="77777777" w:rsidR="008B6522" w:rsidRPr="00EB3D5A" w:rsidRDefault="008B6522" w:rsidP="003D79A3">
      <w:pPr>
        <w:spacing w:after="120"/>
      </w:pPr>
      <w:r w:rsidRPr="00EB3D5A">
        <w:rPr>
          <w:rFonts w:cs="Arial"/>
          <w:noProof/>
          <w:lang w:eastAsia="en-AU"/>
        </w:rPr>
        <w:drawing>
          <wp:inline distT="0" distB="0" distL="0" distR="0" wp14:anchorId="470C9B3B" wp14:editId="5057B744">
            <wp:extent cx="6543675" cy="297180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5C41140" w14:textId="6DD2C0D8" w:rsidR="00896A3F" w:rsidRPr="00EB3D5A" w:rsidRDefault="00896A3F" w:rsidP="001D328F">
      <w:pPr>
        <w:rPr>
          <w:rFonts w:cs="Arial"/>
        </w:rPr>
      </w:pPr>
    </w:p>
    <w:p w14:paraId="5DD6B47E" w14:textId="77777777" w:rsidR="00896A3F" w:rsidRPr="00EB3D5A" w:rsidRDefault="0072720A" w:rsidP="0072720A">
      <w:pPr>
        <w:tabs>
          <w:tab w:val="left" w:pos="3690"/>
        </w:tabs>
        <w:spacing w:after="0"/>
        <w:rPr>
          <w:rFonts w:cs="Arial"/>
          <w:sz w:val="6"/>
          <w:szCs w:val="4"/>
        </w:rPr>
      </w:pPr>
      <w:r w:rsidRPr="00EB3D5A">
        <w:rPr>
          <w:rFonts w:cs="Arial"/>
          <w:sz w:val="6"/>
          <w:szCs w:val="4"/>
        </w:rPr>
        <w:tab/>
      </w:r>
    </w:p>
    <w:p w14:paraId="10D7235D" w14:textId="77777777" w:rsidR="008B6522" w:rsidRPr="00EB3D5A" w:rsidRDefault="00896A3F" w:rsidP="00896A3F">
      <w:pPr>
        <w:spacing w:before="240"/>
      </w:pPr>
      <w:r w:rsidRPr="00EB3D5A">
        <w:rPr>
          <w:rFonts w:cs="Arial"/>
          <w:noProof/>
          <w:lang w:eastAsia="en-AU"/>
        </w:rPr>
        <w:lastRenderedPageBreak/>
        <w:drawing>
          <wp:inline distT="0" distB="0" distL="0" distR="0" wp14:anchorId="7864E267" wp14:editId="66D1F9F9">
            <wp:extent cx="6562725" cy="304800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E304CE9" w14:textId="6BCAF3C5" w:rsidR="00713FDC" w:rsidRPr="00EB3D5A" w:rsidRDefault="00713FDC" w:rsidP="00713FDC">
      <w:pPr>
        <w:pStyle w:val="Heading2"/>
      </w:pPr>
      <w:bookmarkStart w:id="19" w:name="_Toc84430814"/>
      <w:r w:rsidRPr="00EB3D5A">
        <w:t>Operating wind farms in 2020</w:t>
      </w:r>
      <w:bookmarkEnd w:id="19"/>
    </w:p>
    <w:p w14:paraId="54F94E20" w14:textId="77777777" w:rsidR="00EC02FB" w:rsidRPr="00EB3D5A" w:rsidRDefault="00713FDC" w:rsidP="00713FDC">
      <w:pPr>
        <w:rPr>
          <w:rFonts w:cs="Arial"/>
        </w:rPr>
      </w:pPr>
      <w:r w:rsidRPr="00EB3D5A">
        <w:rPr>
          <w:rFonts w:cs="Arial"/>
        </w:rPr>
        <w:t>From the period of 1 January 2020 to 31 December 2020, the Office received eight complaints in relation to three operating wind farms. As at 31 December 2020, five of these complaints were recorded as closed</w:t>
      </w:r>
      <w:r w:rsidRPr="00EB3D5A">
        <w:rPr>
          <w:rFonts w:cs="Arial"/>
          <w:color w:val="000000"/>
          <w:lang w:eastAsia="en-AU"/>
        </w:rPr>
        <w:t xml:space="preserve"> and the remaining three complaints are at various stages of the complaint handling process</w:t>
      </w:r>
      <w:r w:rsidR="00EC02FB" w:rsidRPr="00EB3D5A">
        <w:rPr>
          <w:rFonts w:cs="Arial"/>
        </w:rPr>
        <w:t>.</w:t>
      </w:r>
    </w:p>
    <w:p w14:paraId="7E03729D" w14:textId="7B36F6F7" w:rsidR="00713FDC" w:rsidRPr="00EB3D5A" w:rsidRDefault="00713FDC" w:rsidP="00713FDC">
      <w:pPr>
        <w:rPr>
          <w:rFonts w:cs="Arial"/>
        </w:rPr>
      </w:pPr>
      <w:r w:rsidRPr="00EB3D5A">
        <w:rPr>
          <w:rFonts w:cs="Arial"/>
        </w:rPr>
        <w:t>Six of these complaints related to two operating wind farms in Victoria and the other two complaints were in relation to one operating wind farm in Queensland.</w:t>
      </w:r>
    </w:p>
    <w:p w14:paraId="3FA61D8F" w14:textId="364C6659" w:rsidR="00713FDC" w:rsidRPr="00EB3D5A" w:rsidRDefault="00713FDC" w:rsidP="00713FDC">
      <w:pPr>
        <w:pStyle w:val="Heading2"/>
        <w:spacing w:before="120"/>
      </w:pPr>
      <w:bookmarkStart w:id="20" w:name="_Toc84430815"/>
      <w:r w:rsidRPr="00EB3D5A">
        <w:t>Proposed wind farms in 2020</w:t>
      </w:r>
      <w:bookmarkEnd w:id="20"/>
    </w:p>
    <w:p w14:paraId="62C8C2ED" w14:textId="77777777" w:rsidR="00713FDC" w:rsidRDefault="00713FDC" w:rsidP="00713FDC">
      <w:pPr>
        <w:spacing w:line="264" w:lineRule="auto"/>
        <w:rPr>
          <w:rFonts w:cs="Arial"/>
        </w:rPr>
      </w:pPr>
      <w:r w:rsidRPr="00EB3D5A">
        <w:rPr>
          <w:rFonts w:cs="Arial"/>
        </w:rPr>
        <w:t xml:space="preserve">From the period of 1 January 2019 to 31 December 2020, the Office received 122 complaints in relation to 19 proposed wind farms. As at 31 December 2020, 104 of these complaints were recorded as closed and the </w:t>
      </w:r>
      <w:r w:rsidRPr="00EB3D5A">
        <w:rPr>
          <w:rFonts w:cs="Arial"/>
          <w:color w:val="000000"/>
          <w:lang w:eastAsia="en-AU"/>
        </w:rPr>
        <w:t>remaining 18 complaints are at various stages of the complaint handling process</w:t>
      </w:r>
      <w:r w:rsidRPr="00EB3D5A">
        <w:rPr>
          <w:rFonts w:cs="Arial"/>
        </w:rPr>
        <w:t>.</w:t>
      </w:r>
      <w:r>
        <w:rPr>
          <w:rFonts w:cs="Arial"/>
        </w:rPr>
        <w:t xml:space="preserve"> </w:t>
      </w:r>
    </w:p>
    <w:p w14:paraId="7A06AF65" w14:textId="667298DE" w:rsidR="00713FDC" w:rsidRDefault="00713FDC" w:rsidP="00713FDC">
      <w:pPr>
        <w:spacing w:line="264" w:lineRule="auto"/>
        <w:rPr>
          <w:rFonts w:cs="Arial"/>
        </w:rPr>
      </w:pPr>
      <w:r w:rsidRPr="0046524D">
        <w:rPr>
          <w:rFonts w:cs="Arial"/>
          <w:b/>
        </w:rPr>
        <w:t>Figure </w:t>
      </w:r>
      <w:r w:rsidR="000B592A">
        <w:rPr>
          <w:rFonts w:cs="Arial"/>
          <w:b/>
        </w:rPr>
        <w:t>8</w:t>
      </w:r>
      <w:r>
        <w:rPr>
          <w:rFonts w:cs="Arial"/>
        </w:rPr>
        <w:t xml:space="preserve"> below</w:t>
      </w:r>
      <w:r w:rsidRPr="00F47E6D">
        <w:rPr>
          <w:rFonts w:cs="Arial"/>
        </w:rPr>
        <w:t xml:space="preserve"> provide</w:t>
      </w:r>
      <w:r>
        <w:rPr>
          <w:rFonts w:cs="Arial"/>
        </w:rPr>
        <w:t>s</w:t>
      </w:r>
      <w:r w:rsidRPr="00F47E6D">
        <w:rPr>
          <w:rFonts w:cs="Arial"/>
        </w:rPr>
        <w:t xml:space="preserve"> information on </w:t>
      </w:r>
      <w:r>
        <w:rPr>
          <w:rFonts w:cs="Arial"/>
        </w:rPr>
        <w:t xml:space="preserve">the number of complaints about proposed wind farms, by state, for </w:t>
      </w:r>
      <w:r w:rsidRPr="00F47E6D">
        <w:rPr>
          <w:rFonts w:cs="Arial"/>
        </w:rPr>
        <w:t xml:space="preserve">the </w:t>
      </w:r>
      <w:r>
        <w:rPr>
          <w:rFonts w:cs="Arial"/>
        </w:rPr>
        <w:t>period 1 January 2020 to 31 </w:t>
      </w:r>
      <w:r w:rsidRPr="00F47E6D">
        <w:rPr>
          <w:rFonts w:cs="Arial"/>
        </w:rPr>
        <w:t>December 20</w:t>
      </w:r>
      <w:r>
        <w:rPr>
          <w:rFonts w:cs="Arial"/>
        </w:rPr>
        <w:t xml:space="preserve">20. </w:t>
      </w:r>
      <w:r w:rsidR="004560EE" w:rsidRPr="007B0053">
        <w:rPr>
          <w:rFonts w:cs="Arial"/>
          <w:b/>
        </w:rPr>
        <w:t xml:space="preserve">Figure </w:t>
      </w:r>
      <w:r w:rsidR="000B592A">
        <w:rPr>
          <w:rFonts w:cs="Arial"/>
          <w:b/>
        </w:rPr>
        <w:t>9</w:t>
      </w:r>
      <w:r w:rsidR="004560EE" w:rsidRPr="007B0053">
        <w:rPr>
          <w:rFonts w:cs="Arial"/>
          <w:b/>
        </w:rPr>
        <w:t xml:space="preserve"> </w:t>
      </w:r>
      <w:r w:rsidR="000B592A">
        <w:rPr>
          <w:rFonts w:cs="Arial"/>
        </w:rPr>
        <w:t>also</w:t>
      </w:r>
      <w:r w:rsidR="000B592A" w:rsidRPr="00F47E6D">
        <w:rPr>
          <w:rFonts w:cs="Arial"/>
        </w:rPr>
        <w:t xml:space="preserve"> provide</w:t>
      </w:r>
      <w:r w:rsidR="000B592A">
        <w:rPr>
          <w:rFonts w:cs="Arial"/>
        </w:rPr>
        <w:t>s</w:t>
      </w:r>
      <w:r w:rsidR="000B592A" w:rsidRPr="00F47E6D">
        <w:rPr>
          <w:rFonts w:cs="Arial"/>
        </w:rPr>
        <w:t xml:space="preserve"> information on the</w:t>
      </w:r>
      <w:r w:rsidR="000B592A">
        <w:rPr>
          <w:rFonts w:cs="Arial"/>
        </w:rPr>
        <w:t xml:space="preserve"> location o</w:t>
      </w:r>
      <w:r w:rsidR="000B592A" w:rsidRPr="00F47E6D">
        <w:rPr>
          <w:rFonts w:cs="Arial"/>
        </w:rPr>
        <w:t xml:space="preserve">f </w:t>
      </w:r>
      <w:r w:rsidR="000B592A">
        <w:rPr>
          <w:rFonts w:cs="Arial"/>
        </w:rPr>
        <w:t>proposed wind farms, by state,</w:t>
      </w:r>
      <w:r w:rsidR="000B592A" w:rsidRPr="00F47E6D">
        <w:rPr>
          <w:rFonts w:cs="Arial"/>
        </w:rPr>
        <w:t xml:space="preserve"> </w:t>
      </w:r>
      <w:r w:rsidR="000B592A">
        <w:rPr>
          <w:rFonts w:cs="Arial"/>
        </w:rPr>
        <w:t>for</w:t>
      </w:r>
      <w:r w:rsidR="004560EE">
        <w:rPr>
          <w:rFonts w:cs="Arial"/>
        </w:rPr>
        <w:t xml:space="preserve"> the period 1 January 2020 to 31 </w:t>
      </w:r>
      <w:r w:rsidR="004560EE" w:rsidRPr="00F47E6D">
        <w:rPr>
          <w:rFonts w:cs="Arial"/>
        </w:rPr>
        <w:t>December 20</w:t>
      </w:r>
      <w:r w:rsidR="000B592A">
        <w:rPr>
          <w:rFonts w:cs="Arial"/>
        </w:rPr>
        <w:t xml:space="preserve">20. </w:t>
      </w:r>
      <w:r w:rsidRPr="00FD3720">
        <w:rPr>
          <w:rFonts w:cs="Arial"/>
        </w:rPr>
        <w:t xml:space="preserve">Further detail and analysis in relation to these complaints is available on </w:t>
      </w:r>
      <w:r w:rsidRPr="00B910AA">
        <w:rPr>
          <w:rFonts w:cs="Arial"/>
        </w:rPr>
        <w:t>page 1</w:t>
      </w:r>
      <w:r w:rsidR="0072304E">
        <w:rPr>
          <w:rFonts w:cs="Arial"/>
        </w:rPr>
        <w:t>3</w:t>
      </w:r>
      <w:r>
        <w:rPr>
          <w:rFonts w:cs="Arial"/>
        </w:rPr>
        <w:t>.</w:t>
      </w:r>
    </w:p>
    <w:p w14:paraId="12682026" w14:textId="2A8D5097" w:rsidR="00713FDC" w:rsidRDefault="00713FDC" w:rsidP="00713FDC">
      <w:pPr>
        <w:rPr>
          <w:rFonts w:cs="Arial"/>
        </w:rPr>
      </w:pPr>
      <w:r>
        <w:rPr>
          <w:rFonts w:cs="Arial"/>
          <w:noProof/>
          <w:lang w:eastAsia="en-AU"/>
        </w:rPr>
        <w:drawing>
          <wp:inline distT="0" distB="0" distL="0" distR="0" wp14:anchorId="0A598634" wp14:editId="62BF7400">
            <wp:extent cx="6515100" cy="2921000"/>
            <wp:effectExtent l="0" t="0" r="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F2AC1F6" w14:textId="7AA5A187" w:rsidR="009D5083" w:rsidRDefault="009D5083" w:rsidP="00713FDC">
      <w:pPr>
        <w:rPr>
          <w:rFonts w:cs="Arial"/>
        </w:rPr>
      </w:pPr>
      <w:r>
        <w:rPr>
          <w:rFonts w:cs="Arial"/>
          <w:noProof/>
          <w:lang w:eastAsia="en-AU"/>
        </w:rPr>
        <w:lastRenderedPageBreak/>
        <w:drawing>
          <wp:inline distT="0" distB="0" distL="0" distR="0" wp14:anchorId="3F32A032" wp14:editId="21E09194">
            <wp:extent cx="6553200" cy="30480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874553E" w14:textId="24110DBA" w:rsidR="002C58C0" w:rsidRDefault="002C58C0" w:rsidP="005874E7">
      <w:pPr>
        <w:pStyle w:val="Heading2"/>
      </w:pPr>
      <w:bookmarkStart w:id="21" w:name="_Toc84430816"/>
      <w:r>
        <w:t>Solar farms and energy storage</w:t>
      </w:r>
      <w:r w:rsidR="00997B39">
        <w:t xml:space="preserve"> – overview 2018-2020</w:t>
      </w:r>
      <w:bookmarkEnd w:id="21"/>
    </w:p>
    <w:p w14:paraId="11F6F6AE" w14:textId="77777777" w:rsidR="002C58C0" w:rsidRDefault="002C58C0" w:rsidP="002C58C0">
      <w:r>
        <w:t xml:space="preserve">Since the Commissioner’s role was expanded to include solar farms and energy storage </w:t>
      </w:r>
      <w:r w:rsidR="009A57AE">
        <w:t>in</w:t>
      </w:r>
      <w:r>
        <w:t xml:space="preserve"> October 2018, the Commissioner has received a total of six complaints about five proposed solar farms. As at</w:t>
      </w:r>
      <w:r w:rsidRPr="00F47E6D">
        <w:t xml:space="preserve"> </w:t>
      </w:r>
      <w:r>
        <w:t>31 </w:t>
      </w:r>
      <w:r w:rsidRPr="00F47E6D">
        <w:t>December 201</w:t>
      </w:r>
      <w:r>
        <w:t>9, all o</w:t>
      </w:r>
      <w:r w:rsidR="009A57AE">
        <w:t>f these complaints were closed</w:t>
      </w:r>
      <w:r w:rsidR="00F13A34">
        <w:t xml:space="preserve"> and no further complaints were received in 2020</w:t>
      </w:r>
      <w:r w:rsidR="009A57AE">
        <w:t xml:space="preserve">. </w:t>
      </w:r>
      <w:r w:rsidR="00450DFD">
        <w:t>The Office has not received any complaints</w:t>
      </w:r>
      <w:r>
        <w:t xml:space="preserve"> </w:t>
      </w:r>
      <w:r w:rsidR="00450DFD">
        <w:t>about proposed or operating</w:t>
      </w:r>
      <w:r>
        <w:t xml:space="preserve"> energy storage developments.</w:t>
      </w:r>
    </w:p>
    <w:p w14:paraId="4A622BCE" w14:textId="79CC3F7E" w:rsidR="00665ACC" w:rsidRDefault="00450DFD" w:rsidP="002C58C0">
      <w:r>
        <w:t xml:space="preserve">It should be noted that some complaints received have been in relation to proposed projects that could be considered hybrid renewable projects which include </w:t>
      </w:r>
      <w:r w:rsidR="0017359D">
        <w:t xml:space="preserve">wind, </w:t>
      </w:r>
      <w:r>
        <w:t xml:space="preserve">solar and/or energy storage </w:t>
      </w:r>
      <w:r w:rsidR="0017359D">
        <w:t>facilities</w:t>
      </w:r>
      <w:r>
        <w:t>. In these cases, where the complaint matter is specifically in relation to the wind turbine component of the proposal, the</w:t>
      </w:r>
      <w:r w:rsidR="0017359D">
        <w:t xml:space="preserve"> complaint has</w:t>
      </w:r>
      <w:r>
        <w:t xml:space="preserve"> been </w:t>
      </w:r>
      <w:r w:rsidR="000F1C26">
        <w:t xml:space="preserve">recorded </w:t>
      </w:r>
      <w:r w:rsidR="0017359D">
        <w:t>as a wind farm complaint</w:t>
      </w:r>
      <w:r w:rsidR="000F1C26">
        <w:t>.</w:t>
      </w:r>
    </w:p>
    <w:p w14:paraId="358CE74C" w14:textId="1E668174" w:rsidR="000B592A" w:rsidRPr="00F47E6D" w:rsidRDefault="000B592A" w:rsidP="000B592A">
      <w:pPr>
        <w:pStyle w:val="Heading2"/>
      </w:pPr>
      <w:bookmarkStart w:id="22" w:name="_Toc84430817"/>
      <w:r w:rsidRPr="00F47E6D">
        <w:t>Resolutions</w:t>
      </w:r>
      <w:r>
        <w:t xml:space="preserve"> and Closure</w:t>
      </w:r>
      <w:r w:rsidR="00BE0EC3">
        <w:t xml:space="preserve"> in 2020</w:t>
      </w:r>
      <w:bookmarkEnd w:id="22"/>
    </w:p>
    <w:p w14:paraId="79922B98" w14:textId="77777777" w:rsidR="000B592A" w:rsidRPr="00CB7184" w:rsidRDefault="000B592A" w:rsidP="000B592A">
      <w:pPr>
        <w:pStyle w:val="ListBullet"/>
        <w:numPr>
          <w:ilvl w:val="0"/>
          <w:numId w:val="0"/>
        </w:numPr>
        <w:rPr>
          <w:rFonts w:cs="Arial"/>
        </w:rPr>
      </w:pPr>
      <w:r w:rsidRPr="00CB7184">
        <w:rPr>
          <w:rFonts w:cs="Arial"/>
        </w:rPr>
        <w:t>As at 31 December 20</w:t>
      </w:r>
      <w:r>
        <w:rPr>
          <w:rFonts w:cs="Arial"/>
        </w:rPr>
        <w:t>20</w:t>
      </w:r>
      <w:r w:rsidRPr="00CB7184">
        <w:rPr>
          <w:rFonts w:cs="Arial"/>
        </w:rPr>
        <w:t xml:space="preserve">, </w:t>
      </w:r>
      <w:r>
        <w:rPr>
          <w:rFonts w:cs="Arial"/>
        </w:rPr>
        <w:t>500</w:t>
      </w:r>
      <w:r w:rsidRPr="00CB7184">
        <w:rPr>
          <w:rFonts w:cs="Arial"/>
        </w:rPr>
        <w:t xml:space="preserve"> of the </w:t>
      </w:r>
      <w:r>
        <w:rPr>
          <w:rFonts w:cs="Arial"/>
        </w:rPr>
        <w:t>524</w:t>
      </w:r>
      <w:r w:rsidRPr="00CB7184">
        <w:rPr>
          <w:rFonts w:cs="Arial"/>
        </w:rPr>
        <w:t xml:space="preserve"> complaints received</w:t>
      </w:r>
      <w:r>
        <w:rPr>
          <w:rFonts w:cs="Arial"/>
        </w:rPr>
        <w:t xml:space="preserve"> since the inception of the Office</w:t>
      </w:r>
      <w:r w:rsidRPr="00CB7184">
        <w:rPr>
          <w:rFonts w:cs="Arial"/>
        </w:rPr>
        <w:t xml:space="preserve"> have been closed</w:t>
      </w:r>
      <w:r>
        <w:rPr>
          <w:rFonts w:cs="Arial"/>
        </w:rPr>
        <w:t>, with 24 </w:t>
      </w:r>
      <w:r w:rsidRPr="00CB7184">
        <w:rPr>
          <w:rFonts w:cs="Arial"/>
        </w:rPr>
        <w:t xml:space="preserve">complaints </w:t>
      </w:r>
      <w:r>
        <w:rPr>
          <w:rFonts w:cs="Arial"/>
        </w:rPr>
        <w:t>remaining open at various stages of the Office’s complaint handling process</w:t>
      </w:r>
      <w:r w:rsidRPr="00CB7184">
        <w:rPr>
          <w:rFonts w:cs="Arial"/>
        </w:rPr>
        <w:t xml:space="preserve">. </w:t>
      </w:r>
    </w:p>
    <w:p w14:paraId="779F5004" w14:textId="77777777" w:rsidR="000B592A" w:rsidRPr="00CB7184" w:rsidRDefault="000B592A" w:rsidP="000B592A">
      <w:pPr>
        <w:pStyle w:val="ListBullet"/>
        <w:numPr>
          <w:ilvl w:val="0"/>
          <w:numId w:val="0"/>
        </w:numPr>
        <w:rPr>
          <w:rFonts w:cs="Arial"/>
        </w:rPr>
      </w:pPr>
      <w:r w:rsidRPr="008A4AAF">
        <w:rPr>
          <w:rFonts w:cs="Arial"/>
        </w:rPr>
        <w:t>15</w:t>
      </w:r>
      <w:r>
        <w:rPr>
          <w:rFonts w:cs="Arial"/>
        </w:rPr>
        <w:t>1</w:t>
      </w:r>
      <w:r w:rsidRPr="008A4AAF">
        <w:rPr>
          <w:rFonts w:cs="Arial"/>
        </w:rPr>
        <w:t xml:space="preserve"> </w:t>
      </w:r>
      <w:r w:rsidRPr="00CB7184">
        <w:rPr>
          <w:rFonts w:cs="Arial"/>
        </w:rPr>
        <w:t>complaints were closed</w:t>
      </w:r>
      <w:r>
        <w:rPr>
          <w:rFonts w:cs="Arial"/>
        </w:rPr>
        <w:t xml:space="preserve"> during </w:t>
      </w:r>
      <w:r w:rsidRPr="00CB7184">
        <w:rPr>
          <w:rFonts w:cs="Arial"/>
        </w:rPr>
        <w:t>the period of 1 January 20</w:t>
      </w:r>
      <w:r>
        <w:rPr>
          <w:rFonts w:cs="Arial"/>
        </w:rPr>
        <w:t>20</w:t>
      </w:r>
      <w:r w:rsidRPr="00CB7184">
        <w:rPr>
          <w:rFonts w:cs="Arial"/>
        </w:rPr>
        <w:t xml:space="preserve"> to 31 December 20</w:t>
      </w:r>
      <w:r>
        <w:rPr>
          <w:rFonts w:cs="Arial"/>
        </w:rPr>
        <w:t>20</w:t>
      </w:r>
      <w:r w:rsidRPr="00CB7184">
        <w:rPr>
          <w:rFonts w:cs="Arial"/>
        </w:rPr>
        <w:t>,</w:t>
      </w:r>
      <w:r>
        <w:rPr>
          <w:rFonts w:cs="Arial"/>
        </w:rPr>
        <w:t xml:space="preserve"> including </w:t>
      </w:r>
      <w:r w:rsidRPr="008A4AAF">
        <w:rPr>
          <w:rFonts w:cs="Arial"/>
        </w:rPr>
        <w:t>1</w:t>
      </w:r>
      <w:r>
        <w:rPr>
          <w:rFonts w:cs="Arial"/>
        </w:rPr>
        <w:t>2 </w:t>
      </w:r>
      <w:r w:rsidRPr="008A4AAF">
        <w:rPr>
          <w:rFonts w:cs="Arial"/>
        </w:rPr>
        <w:t>complaints</w:t>
      </w:r>
      <w:r w:rsidRPr="00CB7184">
        <w:rPr>
          <w:rFonts w:cs="Arial"/>
        </w:rPr>
        <w:t xml:space="preserve"> </w:t>
      </w:r>
      <w:r>
        <w:rPr>
          <w:rFonts w:cs="Arial"/>
        </w:rPr>
        <w:t xml:space="preserve">that </w:t>
      </w:r>
      <w:r w:rsidRPr="00CB7184">
        <w:rPr>
          <w:rFonts w:cs="Arial"/>
        </w:rPr>
        <w:t>were lodged with the Office prior to 1 January 20</w:t>
      </w:r>
      <w:r>
        <w:rPr>
          <w:rFonts w:cs="Arial"/>
        </w:rPr>
        <w:t>20</w:t>
      </w:r>
      <w:r w:rsidRPr="00CB7184">
        <w:rPr>
          <w:rFonts w:cs="Arial"/>
        </w:rPr>
        <w:t>.</w:t>
      </w:r>
    </w:p>
    <w:p w14:paraId="35CD9593" w14:textId="77777777" w:rsidR="000B592A" w:rsidRPr="003479AA" w:rsidRDefault="000B592A" w:rsidP="000B592A">
      <w:pPr>
        <w:pStyle w:val="ListBullet"/>
        <w:numPr>
          <w:ilvl w:val="0"/>
          <w:numId w:val="0"/>
        </w:numPr>
      </w:pPr>
      <w:r>
        <w:t>T</w:t>
      </w:r>
      <w:r w:rsidRPr="003479AA">
        <w:t xml:space="preserve">he majority of complaint matters </w:t>
      </w:r>
      <w:r>
        <w:t xml:space="preserve">were resolved in 2020 </w:t>
      </w:r>
      <w:r w:rsidRPr="00852F07">
        <w:t>by the provision of relevant information to the complainant. This included providing factual information addressing the concerns raised or facilitating an introduction for the complainant to the appropriate contacts at the respondent organisation.</w:t>
      </w:r>
    </w:p>
    <w:p w14:paraId="2AF00670" w14:textId="77777777" w:rsidR="000B592A" w:rsidRPr="003479AA" w:rsidRDefault="000B592A" w:rsidP="000B592A">
      <w:pPr>
        <w:pStyle w:val="ListBullet"/>
        <w:numPr>
          <w:ilvl w:val="0"/>
          <w:numId w:val="0"/>
        </w:numPr>
        <w:rPr>
          <w:rFonts w:cs="Arial"/>
        </w:rPr>
      </w:pPr>
      <w:r w:rsidRPr="003479AA">
        <w:t>In other</w:t>
      </w:r>
      <w:r>
        <w:t>, more complex matters</w:t>
      </w:r>
      <w:r w:rsidRPr="003479AA">
        <w:t>,</w:t>
      </w:r>
      <w:r>
        <w:t xml:space="preserve"> the Commissioner worked closely with the respective parties to reach acceptable resolutions, including making specific recommendations to these parties for consideration.</w:t>
      </w:r>
    </w:p>
    <w:p w14:paraId="5533CEF4" w14:textId="77777777" w:rsidR="000B592A" w:rsidRPr="002C1C98" w:rsidRDefault="000B592A" w:rsidP="000B592A">
      <w:pPr>
        <w:pStyle w:val="ListBullet"/>
        <w:numPr>
          <w:ilvl w:val="0"/>
          <w:numId w:val="0"/>
        </w:numPr>
        <w:rPr>
          <w:rFonts w:cs="Arial"/>
        </w:rPr>
      </w:pPr>
      <w:r>
        <w:rPr>
          <w:rFonts w:cs="Arial"/>
        </w:rPr>
        <w:t xml:space="preserve">Some complaint matters were closed after </w:t>
      </w:r>
      <w:r w:rsidRPr="00CB7184">
        <w:rPr>
          <w:rFonts w:cs="Arial"/>
        </w:rPr>
        <w:t>complainant</w:t>
      </w:r>
      <w:r>
        <w:rPr>
          <w:rFonts w:cs="Arial"/>
        </w:rPr>
        <w:t>s</w:t>
      </w:r>
      <w:r w:rsidRPr="00CB7184">
        <w:rPr>
          <w:rFonts w:cs="Arial"/>
        </w:rPr>
        <w:t xml:space="preserve"> </w:t>
      </w:r>
      <w:r>
        <w:rPr>
          <w:rFonts w:cs="Arial"/>
        </w:rPr>
        <w:t xml:space="preserve">withdrew their complaint or did not otherwise </w:t>
      </w:r>
      <w:r w:rsidRPr="00CB7184">
        <w:rPr>
          <w:rFonts w:cs="Arial"/>
        </w:rPr>
        <w:t>progress the</w:t>
      </w:r>
      <w:r>
        <w:rPr>
          <w:rFonts w:cs="Arial"/>
        </w:rPr>
        <w:t>ir</w:t>
      </w:r>
      <w:r w:rsidRPr="00CB7184">
        <w:rPr>
          <w:rFonts w:cs="Arial"/>
        </w:rPr>
        <w:t xml:space="preserve"> complaint</w:t>
      </w:r>
      <w:r>
        <w:rPr>
          <w:rFonts w:cs="Arial"/>
        </w:rPr>
        <w:t xml:space="preserve">. This </w:t>
      </w:r>
      <w:r w:rsidRPr="00CB7184">
        <w:rPr>
          <w:rFonts w:cs="Arial"/>
        </w:rPr>
        <w:t>include</w:t>
      </w:r>
      <w:r>
        <w:rPr>
          <w:rFonts w:cs="Arial"/>
        </w:rPr>
        <w:t xml:space="preserve">d closure of matters after a complainant would </w:t>
      </w:r>
      <w:r w:rsidRPr="00CB7184">
        <w:rPr>
          <w:rFonts w:cs="Arial"/>
        </w:rPr>
        <w:t xml:space="preserve">not </w:t>
      </w:r>
      <w:r>
        <w:rPr>
          <w:rFonts w:cs="Arial"/>
        </w:rPr>
        <w:t>to provide</w:t>
      </w:r>
      <w:r w:rsidRPr="00CB7184">
        <w:rPr>
          <w:rFonts w:cs="Arial"/>
        </w:rPr>
        <w:t xml:space="preserve"> consent to share information with </w:t>
      </w:r>
      <w:r>
        <w:rPr>
          <w:rFonts w:cs="Arial"/>
        </w:rPr>
        <w:t>respondent</w:t>
      </w:r>
      <w:r w:rsidRPr="00CB7184">
        <w:rPr>
          <w:rFonts w:cs="Arial"/>
        </w:rPr>
        <w:t xml:space="preserve"> parties or </w:t>
      </w:r>
      <w:r>
        <w:rPr>
          <w:rFonts w:cs="Arial"/>
        </w:rPr>
        <w:t>did not provide</w:t>
      </w:r>
      <w:r w:rsidRPr="00CB7184">
        <w:rPr>
          <w:rFonts w:cs="Arial"/>
        </w:rPr>
        <w:t xml:space="preserve"> sufficient information for the Commissioner to assess the merits of the complaint.</w:t>
      </w:r>
      <w:r>
        <w:rPr>
          <w:rFonts w:cs="Arial"/>
        </w:rPr>
        <w:t xml:space="preserve"> There were also a small number of </w:t>
      </w:r>
      <w:r w:rsidRPr="00CB7184">
        <w:rPr>
          <w:rFonts w:cs="Arial"/>
        </w:rPr>
        <w:t xml:space="preserve">matters </w:t>
      </w:r>
      <w:r>
        <w:rPr>
          <w:rFonts w:cs="Arial"/>
        </w:rPr>
        <w:t>closed which</w:t>
      </w:r>
      <w:r w:rsidRPr="00CB7184">
        <w:rPr>
          <w:rFonts w:cs="Arial"/>
        </w:rPr>
        <w:t xml:space="preserve"> include</w:t>
      </w:r>
      <w:r>
        <w:rPr>
          <w:rFonts w:cs="Arial"/>
        </w:rPr>
        <w:t>d</w:t>
      </w:r>
      <w:r w:rsidRPr="00CB7184">
        <w:rPr>
          <w:rFonts w:cs="Arial"/>
        </w:rPr>
        <w:t xml:space="preserve"> situations in which further efforts would be unlikely to</w:t>
      </w:r>
      <w:r>
        <w:rPr>
          <w:rFonts w:cs="Arial"/>
        </w:rPr>
        <w:t xml:space="preserve"> result in a resolution.</w:t>
      </w:r>
    </w:p>
    <w:p w14:paraId="68BCFEEE" w14:textId="77777777" w:rsidR="000B592A" w:rsidRDefault="000B592A" w:rsidP="002C58C0"/>
    <w:p w14:paraId="33375953" w14:textId="77777777" w:rsidR="005874E7" w:rsidRPr="00F47E6D" w:rsidRDefault="003B47B4" w:rsidP="005874E7">
      <w:pPr>
        <w:pStyle w:val="Heading2"/>
      </w:pPr>
      <w:bookmarkStart w:id="23" w:name="_Toc84430818"/>
      <w:r>
        <w:lastRenderedPageBreak/>
        <w:t>Key o</w:t>
      </w:r>
      <w:r w:rsidR="00165EFA">
        <w:t>bservations on complaint handling and i</w:t>
      </w:r>
      <w:r w:rsidR="005874E7" w:rsidRPr="00F47E6D">
        <w:t xml:space="preserve">ssues </w:t>
      </w:r>
      <w:r w:rsidR="00165EFA">
        <w:t>r</w:t>
      </w:r>
      <w:r w:rsidR="005874E7" w:rsidRPr="00F47E6D">
        <w:t>aised</w:t>
      </w:r>
      <w:r w:rsidR="007C1755">
        <w:t xml:space="preserve"> in 20</w:t>
      </w:r>
      <w:r w:rsidR="00D95CCB">
        <w:t>20</w:t>
      </w:r>
      <w:bookmarkEnd w:id="23"/>
    </w:p>
    <w:p w14:paraId="2D23364D" w14:textId="486E4996" w:rsidR="006B6C94" w:rsidRDefault="006B6C94" w:rsidP="006B6C94">
      <w:pPr>
        <w:rPr>
          <w:rFonts w:cs="Arial"/>
        </w:rPr>
      </w:pPr>
      <w:r w:rsidRPr="006B6C94">
        <w:rPr>
          <w:rFonts w:cs="Arial"/>
          <w:b/>
        </w:rPr>
        <w:t>Figure 10</w:t>
      </w:r>
      <w:r>
        <w:rPr>
          <w:rFonts w:cs="Arial"/>
        </w:rPr>
        <w:t xml:space="preserve"> on </w:t>
      </w:r>
      <w:r w:rsidRPr="006B6C94">
        <w:rPr>
          <w:rFonts w:cs="Arial"/>
        </w:rPr>
        <w:t>page</w:t>
      </w:r>
      <w:r>
        <w:rPr>
          <w:rFonts w:cs="Arial"/>
        </w:rPr>
        <w:t xml:space="preserve"> </w:t>
      </w:r>
      <w:r w:rsidRPr="00B910AA">
        <w:rPr>
          <w:rFonts w:cs="Arial"/>
        </w:rPr>
        <w:t>1</w:t>
      </w:r>
      <w:r w:rsidR="0072304E">
        <w:rPr>
          <w:rFonts w:cs="Arial"/>
        </w:rPr>
        <w:t>4</w:t>
      </w:r>
      <w:r w:rsidRPr="006B6C94">
        <w:rPr>
          <w:rFonts w:cs="Arial"/>
        </w:rPr>
        <w:t xml:space="preserve"> provides comparative data on the types of complaint issues raised with the Office and the number of times the type of issue has been raised by complainants.</w:t>
      </w:r>
    </w:p>
    <w:p w14:paraId="3AE6FE84" w14:textId="77777777" w:rsidR="006B6C94" w:rsidRPr="006B6C94" w:rsidRDefault="006B6C94" w:rsidP="006B6C94">
      <w:pPr>
        <w:rPr>
          <w:rFonts w:cs="Arial"/>
        </w:rPr>
      </w:pPr>
      <w:r>
        <w:rPr>
          <w:rFonts w:cs="Arial"/>
        </w:rPr>
        <w:t>Some key observations include:</w:t>
      </w:r>
    </w:p>
    <w:p w14:paraId="4ABEDFED" w14:textId="77777777" w:rsidR="003B47B4" w:rsidRPr="006B6C94" w:rsidRDefault="000C59BC" w:rsidP="007A1D42">
      <w:pPr>
        <w:pStyle w:val="ListParagraph"/>
        <w:numPr>
          <w:ilvl w:val="0"/>
          <w:numId w:val="19"/>
        </w:numPr>
        <w:rPr>
          <w:rFonts w:cs="Arial"/>
        </w:rPr>
      </w:pPr>
      <w:r w:rsidRPr="006B6C94">
        <w:rPr>
          <w:rFonts w:cs="Arial"/>
        </w:rPr>
        <w:t xml:space="preserve">The complaint data reflects a </w:t>
      </w:r>
      <w:r w:rsidR="003B47B4" w:rsidRPr="006B6C94">
        <w:rPr>
          <w:rFonts w:cs="Arial"/>
        </w:rPr>
        <w:t>busy year for complaints and complaint handling</w:t>
      </w:r>
      <w:r w:rsidRPr="006B6C94">
        <w:rPr>
          <w:rFonts w:cs="Arial"/>
        </w:rPr>
        <w:t xml:space="preserve">, with the </w:t>
      </w:r>
      <w:r w:rsidR="00364939" w:rsidRPr="006B6C94">
        <w:rPr>
          <w:rFonts w:cs="Arial"/>
        </w:rPr>
        <w:t xml:space="preserve">Office </w:t>
      </w:r>
      <w:r w:rsidRPr="006B6C94">
        <w:rPr>
          <w:rFonts w:cs="Arial"/>
        </w:rPr>
        <w:t>receiving</w:t>
      </w:r>
      <w:r w:rsidR="003B47B4" w:rsidRPr="006B6C94">
        <w:rPr>
          <w:rFonts w:cs="Arial"/>
        </w:rPr>
        <w:t xml:space="preserve"> </w:t>
      </w:r>
      <w:r w:rsidR="00364939" w:rsidRPr="006B6C94">
        <w:rPr>
          <w:rFonts w:cs="Arial"/>
        </w:rPr>
        <w:t xml:space="preserve">more than double </w:t>
      </w:r>
      <w:r w:rsidR="003B47B4" w:rsidRPr="006B6C94">
        <w:rPr>
          <w:rFonts w:cs="Arial"/>
        </w:rPr>
        <w:t xml:space="preserve">the number of complaints </w:t>
      </w:r>
      <w:r w:rsidR="00364939" w:rsidRPr="006B6C94">
        <w:rPr>
          <w:rFonts w:cs="Arial"/>
        </w:rPr>
        <w:t>in 2020</w:t>
      </w:r>
      <w:r w:rsidR="003B47B4" w:rsidRPr="006B6C94">
        <w:rPr>
          <w:rFonts w:cs="Arial"/>
        </w:rPr>
        <w:t xml:space="preserve"> compared to 2019.</w:t>
      </w:r>
    </w:p>
    <w:p w14:paraId="236CFBBE" w14:textId="208C3967" w:rsidR="000C59BC" w:rsidRPr="00EA17B0" w:rsidRDefault="000C59BC" w:rsidP="007A1D42">
      <w:pPr>
        <w:pStyle w:val="ListParagraph"/>
        <w:numPr>
          <w:ilvl w:val="0"/>
          <w:numId w:val="19"/>
        </w:numPr>
        <w:rPr>
          <w:rFonts w:cs="Arial"/>
        </w:rPr>
      </w:pPr>
      <w:r w:rsidRPr="00EA17B0">
        <w:rPr>
          <w:rFonts w:cs="Arial"/>
        </w:rPr>
        <w:t xml:space="preserve">The </w:t>
      </w:r>
      <w:r>
        <w:rPr>
          <w:rFonts w:cs="Arial"/>
        </w:rPr>
        <w:t>small number of</w:t>
      </w:r>
      <w:r w:rsidRPr="00EA17B0">
        <w:rPr>
          <w:rFonts w:cs="Arial"/>
        </w:rPr>
        <w:t xml:space="preserve"> complaints received about operating projects could indicate that once a project is operating and construction activities have concluded, many of the concerns raised about the project prior to operations have either been</w:t>
      </w:r>
      <w:r>
        <w:rPr>
          <w:rFonts w:cs="Arial"/>
        </w:rPr>
        <w:t xml:space="preserve"> resolved or did not eventuate.</w:t>
      </w:r>
      <w:r w:rsidR="00140612">
        <w:rPr>
          <w:rFonts w:cs="Arial"/>
        </w:rPr>
        <w:t xml:space="preserve"> </w:t>
      </w:r>
      <w:r w:rsidR="00C65B0A" w:rsidRPr="00C65B0A">
        <w:t>In some cases, i</w:t>
      </w:r>
      <w:r w:rsidR="00140612" w:rsidRPr="00C65B0A">
        <w:t>t could also indicate</w:t>
      </w:r>
      <w:r w:rsidR="00C65B0A" w:rsidRPr="00C65B0A">
        <w:t xml:space="preserve"> </w:t>
      </w:r>
      <w:r w:rsidR="00140612" w:rsidRPr="00C65B0A">
        <w:t>a judg</w:t>
      </w:r>
      <w:r w:rsidR="00C65B0A" w:rsidRPr="00C65B0A">
        <w:t>e</w:t>
      </w:r>
      <w:r w:rsidR="00140612" w:rsidRPr="00C65B0A">
        <w:t xml:space="preserve">ment by complainants that </w:t>
      </w:r>
      <w:r w:rsidR="00C65B0A" w:rsidRPr="00C65B0A">
        <w:t>once</w:t>
      </w:r>
      <w:r w:rsidR="00140612" w:rsidRPr="00C65B0A">
        <w:t xml:space="preserve"> a wind farm is </w:t>
      </w:r>
      <w:r w:rsidR="00C65B0A" w:rsidRPr="00C65B0A">
        <w:t>operating</w:t>
      </w:r>
      <w:r w:rsidR="00C65B0A">
        <w:t>,</w:t>
      </w:r>
      <w:r w:rsidR="00140612" w:rsidRPr="00C65B0A">
        <w:t xml:space="preserve"> the opportunity to </w:t>
      </w:r>
      <w:r w:rsidR="00C65B0A" w:rsidRPr="00C65B0A">
        <w:t>resolve</w:t>
      </w:r>
      <w:r w:rsidR="00140612" w:rsidRPr="00C65B0A">
        <w:t xml:space="preserve"> the complaint through material changes to the project is </w:t>
      </w:r>
      <w:r w:rsidR="00C65B0A" w:rsidRPr="00C65B0A">
        <w:t>un</w:t>
      </w:r>
      <w:r w:rsidR="00140612" w:rsidRPr="00C65B0A">
        <w:t>likely.</w:t>
      </w:r>
    </w:p>
    <w:p w14:paraId="27027547" w14:textId="69E72C65" w:rsidR="000C59BC" w:rsidRPr="00EA17B0" w:rsidRDefault="000C59BC" w:rsidP="007A1D42">
      <w:pPr>
        <w:pStyle w:val="ListParagraph"/>
        <w:numPr>
          <w:ilvl w:val="0"/>
          <w:numId w:val="19"/>
        </w:numPr>
        <w:rPr>
          <w:rFonts w:cs="Arial"/>
        </w:rPr>
      </w:pPr>
      <w:r>
        <w:rPr>
          <w:rFonts w:cs="Arial"/>
        </w:rPr>
        <w:t>These outcomes</w:t>
      </w:r>
      <w:r w:rsidRPr="00EA17B0">
        <w:rPr>
          <w:rFonts w:cs="Arial"/>
        </w:rPr>
        <w:t xml:space="preserve"> highlight the critical importance of effective community engagement and complaint handling during the development and construction phases of the</w:t>
      </w:r>
      <w:r>
        <w:rPr>
          <w:rFonts w:cs="Arial"/>
        </w:rPr>
        <w:t xml:space="preserve"> project. Conversely, there are examples when </w:t>
      </w:r>
      <w:r w:rsidR="000E5C06">
        <w:rPr>
          <w:rFonts w:cs="Arial"/>
        </w:rPr>
        <w:t>poor</w:t>
      </w:r>
      <w:r w:rsidRPr="00EA17B0">
        <w:rPr>
          <w:rFonts w:cs="Arial"/>
        </w:rPr>
        <w:t xml:space="preserve"> </w:t>
      </w:r>
      <w:r w:rsidR="000E5C06">
        <w:rPr>
          <w:rFonts w:cs="Arial"/>
        </w:rPr>
        <w:t>c</w:t>
      </w:r>
      <w:r w:rsidRPr="00EA17B0">
        <w:rPr>
          <w:rFonts w:cs="Arial"/>
        </w:rPr>
        <w:t xml:space="preserve">ommunity </w:t>
      </w:r>
      <w:r w:rsidR="000E5C06">
        <w:rPr>
          <w:rFonts w:cs="Arial"/>
        </w:rPr>
        <w:t xml:space="preserve">engagement has led to organised opposition that </w:t>
      </w:r>
      <w:r w:rsidRPr="00EA17B0">
        <w:rPr>
          <w:rFonts w:cs="Arial"/>
        </w:rPr>
        <w:t xml:space="preserve">has </w:t>
      </w:r>
      <w:r w:rsidR="000E5C06">
        <w:rPr>
          <w:rFonts w:cs="Arial"/>
        </w:rPr>
        <w:t>subsequently</w:t>
      </w:r>
      <w:r w:rsidRPr="00EA17B0">
        <w:rPr>
          <w:rFonts w:cs="Arial"/>
        </w:rPr>
        <w:t xml:space="preserve"> successfully </w:t>
      </w:r>
      <w:r w:rsidR="000E5C06">
        <w:rPr>
          <w:rFonts w:cs="Arial"/>
        </w:rPr>
        <w:t xml:space="preserve">resulted in a project being </w:t>
      </w:r>
      <w:r w:rsidRPr="00EA17B0">
        <w:rPr>
          <w:rFonts w:cs="Arial"/>
        </w:rPr>
        <w:t>stop</w:t>
      </w:r>
      <w:r w:rsidR="000E5C06">
        <w:rPr>
          <w:rFonts w:cs="Arial"/>
        </w:rPr>
        <w:t>ped</w:t>
      </w:r>
      <w:r w:rsidRPr="00EA17B0">
        <w:rPr>
          <w:rFonts w:cs="Arial"/>
        </w:rPr>
        <w:t xml:space="preserve"> or dela</w:t>
      </w:r>
      <w:r w:rsidR="000E5C06">
        <w:rPr>
          <w:rFonts w:cs="Arial"/>
        </w:rPr>
        <w:t xml:space="preserve">yed </w:t>
      </w:r>
      <w:r w:rsidRPr="00EA17B0">
        <w:rPr>
          <w:rFonts w:cs="Arial"/>
        </w:rPr>
        <w:t xml:space="preserve">via </w:t>
      </w:r>
      <w:r>
        <w:rPr>
          <w:rFonts w:cs="Arial"/>
        </w:rPr>
        <w:t>the planning or legal system.</w:t>
      </w:r>
    </w:p>
    <w:p w14:paraId="2459E2B0" w14:textId="5D80FA19" w:rsidR="00EA17B0" w:rsidRPr="00EA17B0" w:rsidRDefault="00A95412" w:rsidP="007A1D42">
      <w:pPr>
        <w:pStyle w:val="ListParagraph"/>
        <w:numPr>
          <w:ilvl w:val="0"/>
          <w:numId w:val="19"/>
        </w:numPr>
        <w:rPr>
          <w:rFonts w:cs="Arial"/>
        </w:rPr>
      </w:pPr>
      <w:r>
        <w:rPr>
          <w:rFonts w:cs="Arial"/>
        </w:rPr>
        <w:t>While t</w:t>
      </w:r>
      <w:r w:rsidR="00EC36DD">
        <w:rPr>
          <w:rFonts w:cs="Arial"/>
        </w:rPr>
        <w:t xml:space="preserve">he breakdown of complaint issues in 2020 </w:t>
      </w:r>
      <w:r>
        <w:rPr>
          <w:rFonts w:cs="Arial"/>
        </w:rPr>
        <w:t xml:space="preserve">appears to </w:t>
      </w:r>
      <w:r w:rsidR="00EC36DD">
        <w:rPr>
          <w:rFonts w:cs="Arial"/>
        </w:rPr>
        <w:t xml:space="preserve">indicate an upward trend </w:t>
      </w:r>
      <w:r>
        <w:rPr>
          <w:rFonts w:cs="Arial"/>
        </w:rPr>
        <w:t>in a number of issues raised throughout 2020, it should be noted that the Office received significantly more complaints in 2020 than in previous years.</w:t>
      </w:r>
      <w:r w:rsidR="00EC36DD">
        <w:rPr>
          <w:rFonts w:cs="Arial"/>
        </w:rPr>
        <w:t xml:space="preserve"> </w:t>
      </w:r>
      <w:r>
        <w:rPr>
          <w:rFonts w:cs="Arial"/>
        </w:rPr>
        <w:t>Given that eight complaints were received about operating wind farms and 122 were received about proposed wind farms, the vast majority of i</w:t>
      </w:r>
      <w:r w:rsidR="000C59BC" w:rsidRPr="00EA17B0">
        <w:rPr>
          <w:rFonts w:cs="Arial"/>
        </w:rPr>
        <w:t xml:space="preserve">ssues raised </w:t>
      </w:r>
      <w:r w:rsidR="000C59BC">
        <w:rPr>
          <w:rFonts w:cs="Arial"/>
        </w:rPr>
        <w:t>by complainants</w:t>
      </w:r>
      <w:r w:rsidR="000C59BC" w:rsidRPr="00EA17B0">
        <w:rPr>
          <w:rFonts w:cs="Arial"/>
        </w:rPr>
        <w:t xml:space="preserve"> </w:t>
      </w:r>
      <w:r w:rsidR="00EA17B0" w:rsidRPr="00EA17B0">
        <w:rPr>
          <w:rFonts w:cs="Arial"/>
        </w:rPr>
        <w:t xml:space="preserve">about health, noise, vibration, shadow flicker and economic </w:t>
      </w:r>
      <w:r w:rsidR="0095043F">
        <w:rPr>
          <w:rFonts w:cs="Arial"/>
        </w:rPr>
        <w:t xml:space="preserve">loss </w:t>
      </w:r>
      <w:r w:rsidR="00BE0EC3">
        <w:rPr>
          <w:rFonts w:cs="Arial"/>
        </w:rPr>
        <w:t xml:space="preserve">in 2020 </w:t>
      </w:r>
      <w:r>
        <w:rPr>
          <w:rFonts w:cs="Arial"/>
        </w:rPr>
        <w:t>relate to concerns about proposed projects</w:t>
      </w:r>
      <w:r w:rsidR="00EA17B0">
        <w:rPr>
          <w:rFonts w:cs="Arial"/>
        </w:rPr>
        <w:t>.</w:t>
      </w:r>
    </w:p>
    <w:p w14:paraId="49C0CADA" w14:textId="0EFD69C5" w:rsidR="00DA410D" w:rsidRPr="00DA410D" w:rsidRDefault="0055410F" w:rsidP="007A1D42">
      <w:pPr>
        <w:pStyle w:val="ListParagraph"/>
        <w:numPr>
          <w:ilvl w:val="0"/>
          <w:numId w:val="19"/>
        </w:numPr>
        <w:rPr>
          <w:rFonts w:cs="Arial"/>
        </w:rPr>
      </w:pPr>
      <w:r>
        <w:rPr>
          <w:rFonts w:cs="Arial"/>
        </w:rPr>
        <w:t>A large number of complaints received by t</w:t>
      </w:r>
      <w:r w:rsidR="0095043F">
        <w:rPr>
          <w:rFonts w:cs="Arial"/>
        </w:rPr>
        <w:t xml:space="preserve">he </w:t>
      </w:r>
      <w:r w:rsidR="00195FCD">
        <w:rPr>
          <w:rFonts w:cs="Arial"/>
        </w:rPr>
        <w:t>O</w:t>
      </w:r>
      <w:r w:rsidR="0095043F">
        <w:rPr>
          <w:rFonts w:cs="Arial"/>
        </w:rPr>
        <w:t xml:space="preserve">ffice </w:t>
      </w:r>
      <w:r>
        <w:rPr>
          <w:rFonts w:cs="Arial"/>
        </w:rPr>
        <w:t>relate to</w:t>
      </w:r>
      <w:r w:rsidR="00DA410D" w:rsidRPr="00DA410D">
        <w:rPr>
          <w:rFonts w:cs="Arial"/>
        </w:rPr>
        <w:t xml:space="preserve"> recently proposed projects located in commercial forest plantations. This is a first for Australia and may bring with it some new types of concerns around visual amenity, bushfire risk and environmental concerns. </w:t>
      </w:r>
    </w:p>
    <w:p w14:paraId="28C17B01" w14:textId="08D4EDF1" w:rsidR="003E5F8C" w:rsidRDefault="003E5F8C" w:rsidP="007A1D42">
      <w:pPr>
        <w:pStyle w:val="ListParagraph"/>
        <w:numPr>
          <w:ilvl w:val="0"/>
          <w:numId w:val="19"/>
        </w:numPr>
        <w:rPr>
          <w:rFonts w:cs="Arial"/>
        </w:rPr>
      </w:pPr>
      <w:r w:rsidRPr="00EA17B0">
        <w:rPr>
          <w:rFonts w:cs="Arial"/>
        </w:rPr>
        <w:t xml:space="preserve">The higher complaint </w:t>
      </w:r>
      <w:r>
        <w:rPr>
          <w:rFonts w:cs="Arial"/>
        </w:rPr>
        <w:t>numbers</w:t>
      </w:r>
      <w:r w:rsidRPr="00EA17B0">
        <w:rPr>
          <w:rFonts w:cs="Arial"/>
        </w:rPr>
        <w:t xml:space="preserve"> </w:t>
      </w:r>
      <w:r>
        <w:rPr>
          <w:rFonts w:cs="Arial"/>
        </w:rPr>
        <w:t xml:space="preserve">also </w:t>
      </w:r>
      <w:r w:rsidRPr="00EA17B0">
        <w:rPr>
          <w:rFonts w:cs="Arial"/>
        </w:rPr>
        <w:t>a</w:t>
      </w:r>
      <w:r>
        <w:rPr>
          <w:rFonts w:cs="Arial"/>
        </w:rPr>
        <w:t>ppear</w:t>
      </w:r>
      <w:r w:rsidRPr="00EA17B0">
        <w:rPr>
          <w:rFonts w:cs="Arial"/>
        </w:rPr>
        <w:t xml:space="preserve"> </w:t>
      </w:r>
      <w:r>
        <w:rPr>
          <w:rFonts w:cs="Arial"/>
        </w:rPr>
        <w:t xml:space="preserve">to be </w:t>
      </w:r>
      <w:r w:rsidRPr="00EA17B0">
        <w:rPr>
          <w:rFonts w:cs="Arial"/>
        </w:rPr>
        <w:t xml:space="preserve">consistent with the increase in </w:t>
      </w:r>
      <w:r w:rsidRPr="003E5F8C">
        <w:rPr>
          <w:rFonts w:cs="Arial"/>
        </w:rPr>
        <w:t>project development activity</w:t>
      </w:r>
      <w:r>
        <w:rPr>
          <w:rFonts w:cs="Arial"/>
        </w:rPr>
        <w:t>, with 76 large-scale projects remaining under construction by the end of 2020</w:t>
      </w:r>
      <w:r w:rsidR="00EC36DD">
        <w:rPr>
          <w:rFonts w:cs="Arial"/>
        </w:rPr>
        <w:t>. C</w:t>
      </w:r>
      <w:r w:rsidRPr="00EA17B0">
        <w:rPr>
          <w:rFonts w:cs="Arial"/>
        </w:rPr>
        <w:t xml:space="preserve">omplaint issues being raised </w:t>
      </w:r>
      <w:r>
        <w:rPr>
          <w:rFonts w:cs="Arial"/>
        </w:rPr>
        <w:t>in relation to projects under construction predominantly relate to</w:t>
      </w:r>
      <w:r w:rsidRPr="00EA17B0">
        <w:rPr>
          <w:rFonts w:cs="Arial"/>
        </w:rPr>
        <w:t xml:space="preserve"> commercial agreements, </w:t>
      </w:r>
      <w:r>
        <w:rPr>
          <w:rFonts w:cs="Arial"/>
        </w:rPr>
        <w:t xml:space="preserve">disruption (vehicle movements as well as dust and noise), </w:t>
      </w:r>
      <w:r w:rsidRPr="00EA17B0">
        <w:rPr>
          <w:rFonts w:cs="Arial"/>
        </w:rPr>
        <w:t>visual amenity, planning processes and effective commu</w:t>
      </w:r>
      <w:r>
        <w:rPr>
          <w:rFonts w:cs="Arial"/>
        </w:rPr>
        <w:t>nity engagement.</w:t>
      </w:r>
    </w:p>
    <w:p w14:paraId="0FCE21A7" w14:textId="77777777" w:rsidR="00E920FB" w:rsidRDefault="00E920FB" w:rsidP="007A1D42">
      <w:pPr>
        <w:pStyle w:val="ListParagraph"/>
        <w:numPr>
          <w:ilvl w:val="0"/>
          <w:numId w:val="19"/>
        </w:numPr>
        <w:rPr>
          <w:rFonts w:cs="Arial"/>
        </w:rPr>
      </w:pPr>
      <w:r>
        <w:rPr>
          <w:rFonts w:cs="Arial"/>
        </w:rPr>
        <w:t>C</w:t>
      </w:r>
      <w:r w:rsidR="00DA410D" w:rsidRPr="00DA410D">
        <w:rPr>
          <w:rFonts w:cs="Arial"/>
        </w:rPr>
        <w:t>omplainants are now increasingly taking their complaints directly to th</w:t>
      </w:r>
      <w:r>
        <w:rPr>
          <w:rFonts w:cs="Arial"/>
        </w:rPr>
        <w:t>e proponents, often because of the Commissioner’s</w:t>
      </w:r>
      <w:r w:rsidR="00DA410D" w:rsidRPr="00DA410D">
        <w:rPr>
          <w:rFonts w:cs="Arial"/>
        </w:rPr>
        <w:t xml:space="preserve"> work with proponents to improve their complaint handli</w:t>
      </w:r>
      <w:r>
        <w:rPr>
          <w:rFonts w:cs="Arial"/>
        </w:rPr>
        <w:t>ng procedures and transparency.</w:t>
      </w:r>
    </w:p>
    <w:p w14:paraId="30269252" w14:textId="7C6DBE5A" w:rsidR="00DA410D" w:rsidRPr="00E920FB" w:rsidRDefault="00DA410D" w:rsidP="007A1D42">
      <w:pPr>
        <w:pStyle w:val="ListParagraph"/>
        <w:numPr>
          <w:ilvl w:val="0"/>
          <w:numId w:val="19"/>
        </w:numPr>
        <w:rPr>
          <w:rFonts w:cs="Arial"/>
        </w:rPr>
      </w:pPr>
      <w:r w:rsidRPr="00E920FB">
        <w:rPr>
          <w:rFonts w:cs="Arial"/>
        </w:rPr>
        <w:t xml:space="preserve">Proponents are </w:t>
      </w:r>
      <w:r w:rsidR="00E920FB">
        <w:rPr>
          <w:rFonts w:cs="Arial"/>
        </w:rPr>
        <w:t>also</w:t>
      </w:r>
      <w:r w:rsidRPr="00E920FB">
        <w:rPr>
          <w:rFonts w:cs="Arial"/>
        </w:rPr>
        <w:t xml:space="preserve"> seeking suggestions </w:t>
      </w:r>
      <w:r w:rsidR="00E920FB">
        <w:rPr>
          <w:rFonts w:cs="Arial"/>
        </w:rPr>
        <w:t xml:space="preserve">from the Office </w:t>
      </w:r>
      <w:r w:rsidRPr="00E920FB">
        <w:rPr>
          <w:rFonts w:cs="Arial"/>
        </w:rPr>
        <w:t xml:space="preserve">as to how they </w:t>
      </w:r>
      <w:r w:rsidR="00B062EF" w:rsidRPr="00E920FB">
        <w:rPr>
          <w:rFonts w:cs="Arial"/>
        </w:rPr>
        <w:t xml:space="preserve">might </w:t>
      </w:r>
      <w:r w:rsidRPr="00E920FB">
        <w:rPr>
          <w:rFonts w:cs="Arial"/>
        </w:rPr>
        <w:t>handle specific complaints. This is a very effective approach to efficient compl</w:t>
      </w:r>
      <w:r w:rsidR="003E5F8C" w:rsidRPr="00E920FB">
        <w:rPr>
          <w:rFonts w:cs="Arial"/>
        </w:rPr>
        <w:t xml:space="preserve">aint handling and resolutions </w:t>
      </w:r>
      <w:r w:rsidRPr="00E920FB">
        <w:rPr>
          <w:rFonts w:cs="Arial"/>
        </w:rPr>
        <w:t xml:space="preserve">as well as helping to build the relationship directly between the </w:t>
      </w:r>
      <w:r w:rsidR="00E920FB">
        <w:rPr>
          <w:rFonts w:cs="Arial"/>
        </w:rPr>
        <w:t>complainant and the proponent, noting that a</w:t>
      </w:r>
      <w:r w:rsidRPr="00E920FB">
        <w:rPr>
          <w:rFonts w:cs="Arial"/>
        </w:rPr>
        <w:t xml:space="preserve"> dissatisfied complainant can always raise issues directly with </w:t>
      </w:r>
      <w:r w:rsidR="0095043F" w:rsidRPr="00E920FB">
        <w:rPr>
          <w:rFonts w:cs="Arial"/>
        </w:rPr>
        <w:t>the Commissioner</w:t>
      </w:r>
      <w:r w:rsidRPr="00E920FB">
        <w:rPr>
          <w:rFonts w:cs="Arial"/>
        </w:rPr>
        <w:t>.</w:t>
      </w:r>
    </w:p>
    <w:p w14:paraId="52C82CE1" w14:textId="77777777" w:rsidR="00183DFB" w:rsidRDefault="00183DFB" w:rsidP="002078D6">
      <w:pPr>
        <w:rPr>
          <w:rFonts w:cs="Arial"/>
        </w:rPr>
      </w:pPr>
    </w:p>
    <w:p w14:paraId="646E8C74" w14:textId="77777777" w:rsidR="005874E7" w:rsidRDefault="005874E7" w:rsidP="005874E7">
      <w:pPr>
        <w:spacing w:after="0"/>
        <w:rPr>
          <w:rFonts w:cs="Arial"/>
          <w:i/>
        </w:rPr>
      </w:pPr>
      <w:r w:rsidRPr="00EB3D5A">
        <w:rPr>
          <w:rFonts w:cs="Arial"/>
          <w:i/>
          <w:noProof/>
          <w:lang w:eastAsia="en-AU"/>
        </w:rPr>
        <w:lastRenderedPageBreak/>
        <w:drawing>
          <wp:inline distT="0" distB="0" distL="0" distR="0" wp14:anchorId="4B0B6111" wp14:editId="0E979ADA">
            <wp:extent cx="6629400" cy="9232900"/>
            <wp:effectExtent l="0" t="0" r="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00F1A62" w14:textId="77777777" w:rsidR="00774705" w:rsidRPr="00774705" w:rsidRDefault="00774705" w:rsidP="005874E7">
      <w:pPr>
        <w:spacing w:after="0"/>
        <w:rPr>
          <w:rFonts w:cs="Arial"/>
          <w:i/>
          <w:sz w:val="16"/>
          <w:szCs w:val="16"/>
        </w:rPr>
      </w:pPr>
      <w:r>
        <w:rPr>
          <w:rFonts w:cs="Arial"/>
          <w:i/>
          <w:sz w:val="16"/>
          <w:szCs w:val="16"/>
        </w:rPr>
        <w:t>*2015-16 – refers to data collected from inception of the Office on 1 November 2015 up until 31 December 2016</w:t>
      </w:r>
    </w:p>
    <w:p w14:paraId="79256864" w14:textId="2869422B" w:rsidR="002078D6" w:rsidRPr="005513DB" w:rsidRDefault="002078D6" w:rsidP="005513DB">
      <w:pPr>
        <w:tabs>
          <w:tab w:val="left" w:pos="9220"/>
        </w:tabs>
        <w:sectPr w:rsidR="002078D6" w:rsidRPr="005513DB" w:rsidSect="00C90C75">
          <w:headerReference w:type="even" r:id="rId54"/>
          <w:headerReference w:type="default" r:id="rId55"/>
          <w:footerReference w:type="even" r:id="rId56"/>
          <w:footerReference w:type="default" r:id="rId57"/>
          <w:headerReference w:type="first" r:id="rId58"/>
          <w:pgSz w:w="11906" w:h="16838" w:code="9"/>
          <w:pgMar w:top="720" w:right="720" w:bottom="720" w:left="720" w:header="425" w:footer="425" w:gutter="0"/>
          <w:cols w:space="708"/>
          <w:docGrid w:linePitch="360"/>
        </w:sectPr>
      </w:pPr>
    </w:p>
    <w:p w14:paraId="2B22BD0A" w14:textId="77777777" w:rsidR="00E823F0" w:rsidRDefault="005874E7" w:rsidP="00E823F0">
      <w:pPr>
        <w:pStyle w:val="Heading1"/>
      </w:pPr>
      <w:bookmarkStart w:id="24" w:name="_Toc84430819"/>
      <w:r w:rsidRPr="00F47E6D">
        <w:lastRenderedPageBreak/>
        <w:t>Stakeholder Engagement</w:t>
      </w:r>
      <w:bookmarkEnd w:id="24"/>
    </w:p>
    <w:p w14:paraId="6EBAF415" w14:textId="77777777" w:rsidR="00FF5894" w:rsidRDefault="005D0573" w:rsidP="00F66059">
      <w:r w:rsidRPr="003D188E">
        <w:t xml:space="preserve">The Commissioner </w:t>
      </w:r>
      <w:r w:rsidR="00B54848">
        <w:t xml:space="preserve">continues to </w:t>
      </w:r>
      <w:r w:rsidRPr="003D188E">
        <w:t xml:space="preserve">work </w:t>
      </w:r>
      <w:r w:rsidR="00AD7C8B" w:rsidRPr="003D188E">
        <w:t>direct</w:t>
      </w:r>
      <w:r w:rsidR="00AD7C8B">
        <w:t>ly</w:t>
      </w:r>
      <w:r w:rsidR="00FF5894">
        <w:t xml:space="preserve"> </w:t>
      </w:r>
      <w:r w:rsidRPr="003D188E">
        <w:t xml:space="preserve">with </w:t>
      </w:r>
      <w:r w:rsidR="00AD7C8B">
        <w:t xml:space="preserve">a range of </w:t>
      </w:r>
      <w:r w:rsidRPr="002A2A7C">
        <w:t>stakeholders</w:t>
      </w:r>
      <w:r w:rsidR="002A2A7C" w:rsidRPr="002A2A7C">
        <w:rPr>
          <w:rFonts w:cs="Arial"/>
        </w:rPr>
        <w:t xml:space="preserve"> to resolve systemic issues, complaints, provide briefings </w:t>
      </w:r>
      <w:r w:rsidR="002A2A7C" w:rsidRPr="002A2A7C">
        <w:t>and identify needs that can be met through best practice guidance and other information</w:t>
      </w:r>
      <w:r w:rsidR="0044640C">
        <w:t>. K</w:t>
      </w:r>
      <w:r w:rsidR="00FF5894">
        <w:t xml:space="preserve">ey stakeholders </w:t>
      </w:r>
      <w:r w:rsidR="00B54848">
        <w:t>includ</w:t>
      </w:r>
      <w:r w:rsidR="00FF5894">
        <w:t>e</w:t>
      </w:r>
      <w:r w:rsidR="00AD7C8B">
        <w:t xml:space="preserve"> </w:t>
      </w:r>
      <w:r w:rsidR="00B54848" w:rsidRPr="00FF5894">
        <w:rPr>
          <w:rFonts w:cs="Arial"/>
        </w:rPr>
        <w:t>concerned and supportive community members, industry representatives, federal, state and local governments as well as experts engaged by the industry</w:t>
      </w:r>
      <w:r w:rsidR="00B54848">
        <w:t xml:space="preserve"> </w:t>
      </w:r>
      <w:r w:rsidR="00FF5894">
        <w:t>or other organisations.</w:t>
      </w:r>
    </w:p>
    <w:p w14:paraId="1532C676" w14:textId="77777777" w:rsidR="005D0573" w:rsidRDefault="0035117A" w:rsidP="005D0573">
      <w:pPr>
        <w:rPr>
          <w:rFonts w:cs="Arial"/>
        </w:rPr>
      </w:pPr>
      <w:r>
        <w:rPr>
          <w:rFonts w:cs="Arial"/>
        </w:rPr>
        <w:t>T</w:t>
      </w:r>
      <w:r w:rsidR="005D0573" w:rsidRPr="00B956B7">
        <w:rPr>
          <w:rFonts w:cs="Arial"/>
        </w:rPr>
        <w:t xml:space="preserve">he Commissioner </w:t>
      </w:r>
      <w:r w:rsidR="00AD7C8B">
        <w:rPr>
          <w:rFonts w:cs="Arial"/>
        </w:rPr>
        <w:t xml:space="preserve">also </w:t>
      </w:r>
      <w:r w:rsidR="002A2A7C">
        <w:rPr>
          <w:rFonts w:cs="Arial"/>
        </w:rPr>
        <w:t>maintains collaborative relationships</w:t>
      </w:r>
      <w:r w:rsidR="00AD7C8B">
        <w:rPr>
          <w:rFonts w:cs="Arial"/>
        </w:rPr>
        <w:t xml:space="preserve"> with stakeholders to</w:t>
      </w:r>
      <w:r w:rsidR="005D0573" w:rsidRPr="00B956B7">
        <w:rPr>
          <w:rFonts w:cs="Arial"/>
        </w:rPr>
        <w:t xml:space="preserve"> encourage</w:t>
      </w:r>
      <w:r w:rsidR="005D0573">
        <w:rPr>
          <w:rFonts w:cs="Arial"/>
        </w:rPr>
        <w:t xml:space="preserve"> the</w:t>
      </w:r>
      <w:r w:rsidR="005D0573" w:rsidRPr="00B956B7">
        <w:rPr>
          <w:rFonts w:cs="Arial"/>
        </w:rPr>
        <w:t xml:space="preserve"> adoption of best practices </w:t>
      </w:r>
      <w:r w:rsidR="00D83F32">
        <w:rPr>
          <w:rFonts w:cs="Arial"/>
        </w:rPr>
        <w:t xml:space="preserve">to address systemic issues </w:t>
      </w:r>
      <w:r w:rsidR="005D0573">
        <w:rPr>
          <w:rFonts w:cs="Arial"/>
        </w:rPr>
        <w:t xml:space="preserve">and </w:t>
      </w:r>
      <w:r w:rsidR="00D83F32">
        <w:rPr>
          <w:rFonts w:cs="Arial"/>
        </w:rPr>
        <w:t xml:space="preserve">has engaged </w:t>
      </w:r>
      <w:r w:rsidR="005D0573" w:rsidRPr="00B956B7">
        <w:rPr>
          <w:rFonts w:cs="Arial"/>
        </w:rPr>
        <w:t xml:space="preserve">with stakeholders to </w:t>
      </w:r>
      <w:r w:rsidR="005D0573">
        <w:rPr>
          <w:rFonts w:cs="Arial"/>
        </w:rPr>
        <w:t xml:space="preserve">reach positive outcomes, both for </w:t>
      </w:r>
      <w:r w:rsidR="00D83F32">
        <w:rPr>
          <w:rFonts w:cs="Arial"/>
        </w:rPr>
        <w:t xml:space="preserve">the </w:t>
      </w:r>
      <w:r w:rsidR="005D0573">
        <w:rPr>
          <w:rFonts w:cs="Arial"/>
        </w:rPr>
        <w:t xml:space="preserve">affected individuals and </w:t>
      </w:r>
      <w:r w:rsidR="00D83F32">
        <w:rPr>
          <w:rFonts w:cs="Arial"/>
        </w:rPr>
        <w:t xml:space="preserve">facilitating </w:t>
      </w:r>
      <w:r w:rsidR="005D0573">
        <w:rPr>
          <w:rFonts w:cs="Arial"/>
        </w:rPr>
        <w:t xml:space="preserve">improvements to </w:t>
      </w:r>
      <w:r w:rsidR="005D0573" w:rsidRPr="00B956B7">
        <w:rPr>
          <w:rFonts w:cs="Arial"/>
        </w:rPr>
        <w:t xml:space="preserve">governance </w:t>
      </w:r>
      <w:r w:rsidR="005D0573">
        <w:rPr>
          <w:rFonts w:cs="Arial"/>
        </w:rPr>
        <w:t>framework</w:t>
      </w:r>
      <w:r w:rsidR="00D83F32">
        <w:rPr>
          <w:rFonts w:cs="Arial"/>
        </w:rPr>
        <w:t>s</w:t>
      </w:r>
      <w:r w:rsidR="005D0573">
        <w:rPr>
          <w:rFonts w:cs="Arial"/>
        </w:rPr>
        <w:t>.</w:t>
      </w:r>
    </w:p>
    <w:p w14:paraId="57F46805" w14:textId="77777777" w:rsidR="006545E5" w:rsidRDefault="006545E5" w:rsidP="006545E5">
      <w:pPr>
        <w:pStyle w:val="Heading2"/>
      </w:pPr>
      <w:bookmarkStart w:id="25" w:name="_Toc84430820"/>
      <w:r>
        <w:t>Communities</w:t>
      </w:r>
      <w:r w:rsidR="0051215F">
        <w:t xml:space="preserve"> and </w:t>
      </w:r>
      <w:r w:rsidR="006B10EE">
        <w:t>residents</w:t>
      </w:r>
      <w:bookmarkEnd w:id="25"/>
    </w:p>
    <w:p w14:paraId="564768C6" w14:textId="73DB835B" w:rsidR="00E0708D" w:rsidRDefault="006B10EE" w:rsidP="0084728C">
      <w:pPr>
        <w:rPr>
          <w:rFonts w:cs="Arial"/>
        </w:rPr>
      </w:pPr>
      <w:r>
        <w:rPr>
          <w:rFonts w:cs="Arial"/>
        </w:rPr>
        <w:t>Despite the ongoing constraints of lockdowns and travel restrictions related to COVID-19</w:t>
      </w:r>
      <w:r w:rsidR="001D25BB">
        <w:rPr>
          <w:rFonts w:cs="Arial"/>
        </w:rPr>
        <w:t xml:space="preserve"> throughout 2020</w:t>
      </w:r>
      <w:r>
        <w:rPr>
          <w:rFonts w:cs="Arial"/>
        </w:rPr>
        <w:t>, the Commissioner continued to</w:t>
      </w:r>
      <w:r w:rsidR="0024008E">
        <w:rPr>
          <w:rFonts w:cs="Arial"/>
        </w:rPr>
        <w:t xml:space="preserve"> </w:t>
      </w:r>
      <w:r w:rsidR="00B276CC">
        <w:rPr>
          <w:rFonts w:cs="Arial"/>
        </w:rPr>
        <w:t>participate</w:t>
      </w:r>
      <w:r w:rsidR="0024008E">
        <w:rPr>
          <w:rFonts w:cs="Arial"/>
        </w:rPr>
        <w:t xml:space="preserve"> in</w:t>
      </w:r>
      <w:r w:rsidR="00B276CC">
        <w:rPr>
          <w:rFonts w:cs="Arial"/>
        </w:rPr>
        <w:t xml:space="preserve"> </w:t>
      </w:r>
      <w:r w:rsidR="009B232E">
        <w:rPr>
          <w:rFonts w:cs="Arial"/>
        </w:rPr>
        <w:t xml:space="preserve">a variety of </w:t>
      </w:r>
      <w:r w:rsidR="00B276CC">
        <w:rPr>
          <w:rFonts w:cs="Arial"/>
        </w:rPr>
        <w:t>events and</w:t>
      </w:r>
      <w:r w:rsidR="0024008E" w:rsidRPr="0050245A">
        <w:rPr>
          <w:rFonts w:cs="Arial"/>
        </w:rPr>
        <w:t xml:space="preserve"> meetings </w:t>
      </w:r>
      <w:r w:rsidR="0024008E">
        <w:rPr>
          <w:rFonts w:cs="Arial"/>
        </w:rPr>
        <w:t xml:space="preserve">with community groups, </w:t>
      </w:r>
      <w:r w:rsidR="0024008E" w:rsidRPr="0084728C">
        <w:rPr>
          <w:rFonts w:cs="Arial"/>
        </w:rPr>
        <w:t>Community Consultative Committees</w:t>
      </w:r>
      <w:r w:rsidR="0024008E">
        <w:rPr>
          <w:rFonts w:cs="Arial"/>
        </w:rPr>
        <w:t xml:space="preserve"> (CCC) and other liaison groups</w:t>
      </w:r>
      <w:r>
        <w:rPr>
          <w:rFonts w:cs="Arial"/>
        </w:rPr>
        <w:t xml:space="preserve"> as well as committee and local government meetings</w:t>
      </w:r>
      <w:r w:rsidR="002C1C98">
        <w:rPr>
          <w:rFonts w:cs="Arial"/>
        </w:rPr>
        <w:t>,</w:t>
      </w:r>
      <w:r w:rsidR="00B062EF">
        <w:rPr>
          <w:rFonts w:cs="Arial"/>
        </w:rPr>
        <w:t xml:space="preserve"> </w:t>
      </w:r>
      <w:r w:rsidR="002F15DC">
        <w:rPr>
          <w:rFonts w:cs="Arial"/>
        </w:rPr>
        <w:t>via videoconferences or other remote arrangements.</w:t>
      </w:r>
    </w:p>
    <w:p w14:paraId="57728D64" w14:textId="77777777" w:rsidR="0051215F" w:rsidRDefault="0051215F" w:rsidP="0051215F">
      <w:pPr>
        <w:pStyle w:val="Heading2"/>
      </w:pPr>
      <w:bookmarkStart w:id="26" w:name="_Toc84430821"/>
      <w:r>
        <w:t>Project site visits</w:t>
      </w:r>
      <w:bookmarkEnd w:id="26"/>
    </w:p>
    <w:p w14:paraId="60A72724" w14:textId="2B5322BB" w:rsidR="006D1163" w:rsidRDefault="00F60F44" w:rsidP="006D1163">
      <w:pPr>
        <w:rPr>
          <w:rFonts w:cs="Arial"/>
        </w:rPr>
      </w:pPr>
      <w:r>
        <w:rPr>
          <w:rFonts w:cs="Arial"/>
        </w:rPr>
        <w:t>Since the inception of the Commissioner’s role</w:t>
      </w:r>
      <w:r w:rsidR="00AD7BBD">
        <w:rPr>
          <w:rFonts w:cs="Arial"/>
        </w:rPr>
        <w:t>, t</w:t>
      </w:r>
      <w:r w:rsidR="009D0110">
        <w:rPr>
          <w:rFonts w:cs="Arial"/>
        </w:rPr>
        <w:t>he Commissioner has visited</w:t>
      </w:r>
      <w:r w:rsidR="007D1E65">
        <w:rPr>
          <w:rFonts w:cs="Arial"/>
        </w:rPr>
        <w:t xml:space="preserve"> a total of</w:t>
      </w:r>
      <w:r w:rsidR="009D0110">
        <w:rPr>
          <w:rFonts w:cs="Arial"/>
        </w:rPr>
        <w:t xml:space="preserve"> </w:t>
      </w:r>
      <w:r w:rsidR="009D0110" w:rsidRPr="00D3483C">
        <w:rPr>
          <w:rFonts w:cs="Arial"/>
        </w:rPr>
        <w:t>67</w:t>
      </w:r>
      <w:r w:rsidR="006D1163" w:rsidRPr="00B6283A">
        <w:rPr>
          <w:rFonts w:cs="Arial"/>
        </w:rPr>
        <w:t xml:space="preserve"> </w:t>
      </w:r>
      <w:r w:rsidR="006D1163">
        <w:rPr>
          <w:rFonts w:cs="Arial"/>
        </w:rPr>
        <w:t>project sites</w:t>
      </w:r>
      <w:r w:rsidR="006D1163" w:rsidRPr="00B6283A">
        <w:rPr>
          <w:rFonts w:cs="Arial"/>
        </w:rPr>
        <w:t xml:space="preserve"> </w:t>
      </w:r>
      <w:r w:rsidR="006D1163">
        <w:rPr>
          <w:rFonts w:cs="Arial"/>
        </w:rPr>
        <w:t xml:space="preserve">(see Tables </w:t>
      </w:r>
      <w:r w:rsidR="009E114B">
        <w:rPr>
          <w:rFonts w:cs="Arial"/>
        </w:rPr>
        <w:t>1</w:t>
      </w:r>
      <w:r w:rsidR="006D1163">
        <w:rPr>
          <w:rFonts w:cs="Arial"/>
        </w:rPr>
        <w:t xml:space="preserve"> and </w:t>
      </w:r>
      <w:r w:rsidR="009E114B">
        <w:rPr>
          <w:rFonts w:cs="Arial"/>
        </w:rPr>
        <w:t>2</w:t>
      </w:r>
      <w:r w:rsidR="006D1163">
        <w:rPr>
          <w:rFonts w:cs="Arial"/>
        </w:rPr>
        <w:t xml:space="preserve"> </w:t>
      </w:r>
      <w:r w:rsidR="00095E67">
        <w:rPr>
          <w:rFonts w:cs="Arial"/>
        </w:rPr>
        <w:t>on the following page</w:t>
      </w:r>
      <w:r w:rsidR="006D1163">
        <w:rPr>
          <w:rFonts w:cs="Arial"/>
        </w:rPr>
        <w:t>)</w:t>
      </w:r>
      <w:r w:rsidR="00D74CEB">
        <w:rPr>
          <w:rFonts w:cs="Arial"/>
        </w:rPr>
        <w:t>.</w:t>
      </w:r>
      <w:r w:rsidR="00C37D71">
        <w:rPr>
          <w:rFonts w:cs="Arial"/>
        </w:rPr>
        <w:t xml:space="preserve"> </w:t>
      </w:r>
      <w:r w:rsidR="00D74CEB">
        <w:rPr>
          <w:rFonts w:cs="Arial"/>
        </w:rPr>
        <w:t>The site visits provide the opportunity t</w:t>
      </w:r>
      <w:r w:rsidR="00C37D71">
        <w:rPr>
          <w:rFonts w:cs="Arial"/>
        </w:rPr>
        <w:t xml:space="preserve">o meet </w:t>
      </w:r>
      <w:r w:rsidR="006D1163">
        <w:rPr>
          <w:rFonts w:cs="Arial"/>
        </w:rPr>
        <w:t>with concerned residents as well as directly experience the operation of the wind farm and</w:t>
      </w:r>
      <w:r w:rsidR="00F2733D">
        <w:rPr>
          <w:rFonts w:cs="Arial"/>
        </w:rPr>
        <w:t>/or</w:t>
      </w:r>
      <w:r w:rsidR="006D1163">
        <w:rPr>
          <w:rFonts w:cs="Arial"/>
        </w:rPr>
        <w:t xml:space="preserve"> the affected area. In a number of</w:t>
      </w:r>
      <w:r w:rsidR="00140612">
        <w:rPr>
          <w:rFonts w:cs="Arial"/>
        </w:rPr>
        <w:t xml:space="preserve"> cases, largely due to complain</w:t>
      </w:r>
      <w:r w:rsidR="006D1163">
        <w:rPr>
          <w:rFonts w:cs="Arial"/>
        </w:rPr>
        <w:t>t handling activities</w:t>
      </w:r>
      <w:r w:rsidR="00BC2894">
        <w:rPr>
          <w:rFonts w:cs="Arial"/>
        </w:rPr>
        <w:t xml:space="preserve"> or ongoing systemic matters</w:t>
      </w:r>
      <w:r w:rsidR="006D1163">
        <w:rPr>
          <w:rFonts w:cs="Arial"/>
        </w:rPr>
        <w:t>, some wind farm locations have been visited multiple times.</w:t>
      </w:r>
    </w:p>
    <w:p w14:paraId="07958CEA" w14:textId="77777777" w:rsidR="003B7002" w:rsidRDefault="003B7002" w:rsidP="003B7002">
      <w:pPr>
        <w:pStyle w:val="Heading2"/>
      </w:pPr>
      <w:bookmarkStart w:id="27" w:name="_Toc84430822"/>
      <w:r>
        <w:t>Industry</w:t>
      </w:r>
      <w:bookmarkEnd w:id="27"/>
    </w:p>
    <w:p w14:paraId="0F4B91A7" w14:textId="77777777" w:rsidR="000C1D10" w:rsidRDefault="003B7002" w:rsidP="000C1D10">
      <w:pPr>
        <w:spacing w:line="264" w:lineRule="auto"/>
        <w:rPr>
          <w:rFonts w:cs="Arial"/>
        </w:rPr>
      </w:pPr>
      <w:r>
        <w:rPr>
          <w:rFonts w:eastAsia="Times New Roman" w:cs="Arial"/>
          <w:lang w:eastAsia="en-AU"/>
        </w:rPr>
        <w:t>Throughout 20</w:t>
      </w:r>
      <w:r w:rsidR="009E114B">
        <w:rPr>
          <w:rFonts w:eastAsia="Times New Roman" w:cs="Arial"/>
          <w:lang w:eastAsia="en-AU"/>
        </w:rPr>
        <w:t>20</w:t>
      </w:r>
      <w:r>
        <w:rPr>
          <w:rFonts w:eastAsia="Times New Roman" w:cs="Arial"/>
          <w:lang w:eastAsia="en-AU"/>
        </w:rPr>
        <w:t>, t</w:t>
      </w:r>
      <w:r w:rsidRPr="0052117D">
        <w:rPr>
          <w:rFonts w:cs="Arial"/>
        </w:rPr>
        <w:t>he Commissioner</w:t>
      </w:r>
      <w:r w:rsidRPr="0052117D">
        <w:rPr>
          <w:rFonts w:eastAsia="Times New Roman" w:cs="Arial"/>
          <w:lang w:eastAsia="en-AU"/>
        </w:rPr>
        <w:t xml:space="preserve"> has </w:t>
      </w:r>
      <w:r w:rsidR="00711021">
        <w:rPr>
          <w:rFonts w:eastAsia="Times New Roman" w:cs="Arial"/>
          <w:lang w:eastAsia="en-AU"/>
        </w:rPr>
        <w:t>continued to maintain</w:t>
      </w:r>
      <w:r w:rsidRPr="0052117D">
        <w:rPr>
          <w:rFonts w:eastAsia="Times New Roman" w:cs="Arial"/>
          <w:lang w:eastAsia="en-AU"/>
        </w:rPr>
        <w:t xml:space="preserve"> a </w:t>
      </w:r>
      <w:r>
        <w:rPr>
          <w:rFonts w:eastAsia="Times New Roman" w:cs="Arial"/>
          <w:lang w:eastAsia="en-AU"/>
        </w:rPr>
        <w:t xml:space="preserve">strong </w:t>
      </w:r>
      <w:r w:rsidRPr="0052117D">
        <w:rPr>
          <w:rFonts w:eastAsia="Times New Roman" w:cs="Arial"/>
          <w:lang w:eastAsia="en-AU"/>
        </w:rPr>
        <w:t xml:space="preserve">focus on proactively engaging with </w:t>
      </w:r>
      <w:r>
        <w:rPr>
          <w:rFonts w:eastAsia="Times New Roman" w:cs="Arial"/>
          <w:lang w:eastAsia="en-AU"/>
        </w:rPr>
        <w:t xml:space="preserve">the </w:t>
      </w:r>
      <w:r w:rsidRPr="00163092">
        <w:rPr>
          <w:rFonts w:cs="Arial"/>
        </w:rPr>
        <w:t xml:space="preserve">large-scale renewable </w:t>
      </w:r>
      <w:r>
        <w:rPr>
          <w:rFonts w:eastAsia="Times New Roman" w:cs="Arial"/>
          <w:lang w:eastAsia="en-AU"/>
        </w:rPr>
        <w:t>energy industry on a wide range of matters,</w:t>
      </w:r>
      <w:r w:rsidRPr="0052117D">
        <w:rPr>
          <w:rFonts w:eastAsia="Times New Roman" w:cs="Arial"/>
          <w:lang w:eastAsia="en-AU"/>
        </w:rPr>
        <w:t xml:space="preserve"> including approaches to </w:t>
      </w:r>
      <w:r>
        <w:rPr>
          <w:rFonts w:eastAsia="Times New Roman" w:cs="Arial"/>
          <w:lang w:eastAsia="en-AU"/>
        </w:rPr>
        <w:t xml:space="preserve">best practice </w:t>
      </w:r>
      <w:r w:rsidRPr="00593192">
        <w:rPr>
          <w:rFonts w:cs="Arial"/>
        </w:rPr>
        <w:t>community</w:t>
      </w:r>
      <w:r w:rsidRPr="0052117D">
        <w:rPr>
          <w:rFonts w:cs="Arial"/>
        </w:rPr>
        <w:t xml:space="preserve"> engagement, complaint handling a</w:t>
      </w:r>
      <w:r w:rsidR="00D974B7">
        <w:rPr>
          <w:rFonts w:cs="Arial"/>
        </w:rPr>
        <w:t>nd transparency of information.</w:t>
      </w:r>
    </w:p>
    <w:p w14:paraId="611F6053" w14:textId="77777777" w:rsidR="000C1D10" w:rsidRPr="001C6F9E" w:rsidRDefault="000C1D10" w:rsidP="000C1D10">
      <w:pPr>
        <w:spacing w:line="264" w:lineRule="auto"/>
      </w:pPr>
      <w:r>
        <w:rPr>
          <w:rFonts w:cs="Arial"/>
        </w:rPr>
        <w:t xml:space="preserve">The Commissioner’s </w:t>
      </w:r>
      <w:r w:rsidRPr="001C6F9E">
        <w:rPr>
          <w:rFonts w:cs="Arial"/>
        </w:rPr>
        <w:t xml:space="preserve">meetings and presentations have been crucial in proactively addressing potential community concerns in relation to particular projects or emerging issues. </w:t>
      </w:r>
      <w:r w:rsidRPr="001C6F9E">
        <w:t>Ongoing engagement with industry stakeholders has been invaluable in gaining an understanding of current practices and standards as well as identifying areas where further improvements could be made by the industry.</w:t>
      </w:r>
    </w:p>
    <w:p w14:paraId="0BBF33E3" w14:textId="77777777" w:rsidR="003B7002" w:rsidRDefault="003B7002" w:rsidP="003B7002">
      <w:pPr>
        <w:rPr>
          <w:rFonts w:cs="Arial"/>
        </w:rPr>
      </w:pPr>
      <w:r>
        <w:rPr>
          <w:rFonts w:cs="Arial"/>
        </w:rPr>
        <w:t>T</w:t>
      </w:r>
      <w:r w:rsidRPr="005F5472">
        <w:rPr>
          <w:rFonts w:cs="Arial"/>
        </w:rPr>
        <w:t xml:space="preserve">he </w:t>
      </w:r>
      <w:r>
        <w:rPr>
          <w:rFonts w:cs="Arial"/>
        </w:rPr>
        <w:t>Commissioner has also maintained useful relationships with</w:t>
      </w:r>
      <w:r w:rsidRPr="002A63CB">
        <w:rPr>
          <w:rFonts w:cs="Arial"/>
        </w:rPr>
        <w:t xml:space="preserve"> </w:t>
      </w:r>
      <w:r w:rsidRPr="005F5472">
        <w:rPr>
          <w:rFonts w:cs="Arial"/>
        </w:rPr>
        <w:t>industry association</w:t>
      </w:r>
      <w:r>
        <w:rPr>
          <w:rFonts w:cs="Arial"/>
        </w:rPr>
        <w:t>s</w:t>
      </w:r>
      <w:r w:rsidRPr="005F5472">
        <w:rPr>
          <w:rFonts w:cs="Arial"/>
        </w:rPr>
        <w:t xml:space="preserve"> </w:t>
      </w:r>
      <w:r>
        <w:rPr>
          <w:rFonts w:cs="Arial"/>
        </w:rPr>
        <w:t xml:space="preserve">such as the Clean Energy Council and the Australian Wind Alliance, </w:t>
      </w:r>
      <w:r w:rsidRPr="00B1039C">
        <w:rPr>
          <w:rFonts w:cs="Arial"/>
        </w:rPr>
        <w:t>which has been valuable in engaging more widely with the industry on systemic and emerging issues.</w:t>
      </w:r>
    </w:p>
    <w:p w14:paraId="413635E0" w14:textId="77777777" w:rsidR="003B7002" w:rsidRPr="003D236C" w:rsidRDefault="0051215F" w:rsidP="003B7002">
      <w:pPr>
        <w:pStyle w:val="ListBullet"/>
        <w:numPr>
          <w:ilvl w:val="0"/>
          <w:numId w:val="0"/>
        </w:numPr>
        <w:spacing w:line="264" w:lineRule="auto"/>
        <w:rPr>
          <w:rFonts w:cs="Arial"/>
          <w:lang w:eastAsia="en-AU"/>
        </w:rPr>
      </w:pPr>
      <w:r>
        <w:rPr>
          <w:rFonts w:cs="Arial"/>
          <w:lang w:eastAsia="en-AU"/>
        </w:rPr>
        <w:t>Examples of a</w:t>
      </w:r>
      <w:r w:rsidR="003B7002" w:rsidRPr="003D236C">
        <w:rPr>
          <w:rFonts w:cs="Arial"/>
          <w:lang w:eastAsia="en-AU"/>
        </w:rPr>
        <w:t xml:space="preserve">ctivities </w:t>
      </w:r>
      <w:r w:rsidR="003B7002">
        <w:rPr>
          <w:rFonts w:cs="Arial"/>
          <w:lang w:eastAsia="en-AU"/>
        </w:rPr>
        <w:t>that the Commissioner undertook in</w:t>
      </w:r>
      <w:r w:rsidR="003B7002" w:rsidRPr="003D236C">
        <w:rPr>
          <w:rFonts w:cs="Arial"/>
          <w:lang w:eastAsia="en-AU"/>
        </w:rPr>
        <w:t xml:space="preserve"> 20</w:t>
      </w:r>
      <w:r w:rsidR="009E114B">
        <w:rPr>
          <w:rFonts w:cs="Arial"/>
          <w:lang w:eastAsia="en-AU"/>
        </w:rPr>
        <w:t>20</w:t>
      </w:r>
      <w:r w:rsidR="003B7002" w:rsidRPr="003D236C">
        <w:rPr>
          <w:rFonts w:cs="Arial"/>
          <w:lang w:eastAsia="en-AU"/>
        </w:rPr>
        <w:t xml:space="preserve"> include:</w:t>
      </w:r>
    </w:p>
    <w:p w14:paraId="216AD854" w14:textId="77777777" w:rsidR="004C521A" w:rsidRDefault="004C521A" w:rsidP="004C521A">
      <w:pPr>
        <w:pStyle w:val="ListBullet"/>
        <w:rPr>
          <w:rFonts w:cs="Arial"/>
        </w:rPr>
      </w:pPr>
      <w:r>
        <w:rPr>
          <w:rFonts w:cs="Arial"/>
          <w:lang w:eastAsia="en-AU"/>
        </w:rPr>
        <w:t xml:space="preserve">ongoing presentations and meetings with representatives of the </w:t>
      </w:r>
      <w:r w:rsidRPr="003D236C">
        <w:rPr>
          <w:rFonts w:cs="Arial"/>
          <w:lang w:eastAsia="en-AU"/>
        </w:rPr>
        <w:t>Clean Energy Council’s Wind Directorate</w:t>
      </w:r>
      <w:r>
        <w:rPr>
          <w:rFonts w:cs="Arial"/>
          <w:lang w:eastAsia="en-AU"/>
        </w:rPr>
        <w:t xml:space="preserve"> and</w:t>
      </w:r>
      <w:r w:rsidRPr="003D236C">
        <w:rPr>
          <w:rFonts w:cs="Arial"/>
          <w:lang w:eastAsia="en-AU"/>
        </w:rPr>
        <w:t xml:space="preserve"> Utility </w:t>
      </w:r>
      <w:r w:rsidR="00194C44">
        <w:rPr>
          <w:rFonts w:cs="Arial"/>
          <w:lang w:eastAsia="en-AU"/>
        </w:rPr>
        <w:t xml:space="preserve">Scale </w:t>
      </w:r>
      <w:r w:rsidRPr="003D236C">
        <w:rPr>
          <w:rFonts w:cs="Arial"/>
          <w:lang w:eastAsia="en-AU"/>
        </w:rPr>
        <w:t xml:space="preserve">PV Directorate to </w:t>
      </w:r>
      <w:r>
        <w:rPr>
          <w:rFonts w:cs="Arial"/>
          <w:lang w:eastAsia="en-AU"/>
        </w:rPr>
        <w:t>discuss</w:t>
      </w:r>
      <w:r w:rsidRPr="003D236C">
        <w:rPr>
          <w:rFonts w:cs="Arial"/>
          <w:lang w:eastAsia="en-AU"/>
        </w:rPr>
        <w:t xml:space="preserve"> industry updates and </w:t>
      </w:r>
      <w:r>
        <w:rPr>
          <w:rFonts w:cs="Arial"/>
          <w:lang w:eastAsia="en-AU"/>
        </w:rPr>
        <w:t>best practice approaches</w:t>
      </w:r>
    </w:p>
    <w:p w14:paraId="05950097" w14:textId="78FC83DA" w:rsidR="002C1C98" w:rsidRDefault="002C1C98" w:rsidP="002C1C98">
      <w:pPr>
        <w:pStyle w:val="ListBullet"/>
      </w:pPr>
      <w:r>
        <w:t>meetings</w:t>
      </w:r>
      <w:r w:rsidRPr="005B2D47">
        <w:t xml:space="preserve"> with stakeholders </w:t>
      </w:r>
      <w:r>
        <w:t>in relation</w:t>
      </w:r>
      <w:r w:rsidRPr="005B2D47">
        <w:t xml:space="preserve"> to new </w:t>
      </w:r>
      <w:r>
        <w:t>government regulatory and policy announcements such as renewable energy zones and planning amendments</w:t>
      </w:r>
    </w:p>
    <w:p w14:paraId="40446138" w14:textId="77777777" w:rsidR="002C1C98" w:rsidRPr="002C1C98" w:rsidRDefault="002C1C98" w:rsidP="002C1C98">
      <w:pPr>
        <w:pStyle w:val="ListBullet"/>
      </w:pPr>
      <w:r>
        <w:t xml:space="preserve">introductory consultations with a range of new </w:t>
      </w:r>
      <w:r>
        <w:rPr>
          <w:rFonts w:cs="Arial"/>
        </w:rPr>
        <w:t>proponents</w:t>
      </w:r>
      <w:r w:rsidRPr="000C1D10">
        <w:rPr>
          <w:rFonts w:cs="Arial"/>
        </w:rPr>
        <w:t xml:space="preserve"> to provide guidance on social licence matters</w:t>
      </w:r>
      <w:r>
        <w:rPr>
          <w:rFonts w:cs="Arial"/>
        </w:rPr>
        <w:t xml:space="preserve"> and discuss new proposals and project pipelines</w:t>
      </w:r>
    </w:p>
    <w:p w14:paraId="40B13DB4" w14:textId="1146F1D3" w:rsidR="002C1C98" w:rsidRDefault="002C1C98" w:rsidP="002C1C98">
      <w:pPr>
        <w:pStyle w:val="ListBullet"/>
        <w:rPr>
          <w:rFonts w:cs="Arial"/>
          <w:bCs/>
          <w:lang w:eastAsia="en-AU"/>
        </w:rPr>
      </w:pPr>
      <w:r>
        <w:rPr>
          <w:rFonts w:cs="Arial"/>
          <w:bCs/>
          <w:lang w:eastAsia="en-AU"/>
        </w:rPr>
        <w:t>appointments</w:t>
      </w:r>
      <w:r w:rsidRPr="003D236C">
        <w:rPr>
          <w:rFonts w:cs="Arial"/>
          <w:bCs/>
          <w:lang w:eastAsia="en-AU"/>
        </w:rPr>
        <w:t xml:space="preserve"> with</w:t>
      </w:r>
      <w:r>
        <w:rPr>
          <w:rFonts w:cs="Arial"/>
          <w:bCs/>
          <w:lang w:eastAsia="en-AU"/>
        </w:rPr>
        <w:t xml:space="preserve"> various</w:t>
      </w:r>
      <w:r w:rsidRPr="003D236C">
        <w:rPr>
          <w:rFonts w:cs="Arial"/>
          <w:bCs/>
          <w:lang w:eastAsia="en-AU"/>
        </w:rPr>
        <w:t xml:space="preserve"> industry and developers to </w:t>
      </w:r>
      <w:r>
        <w:rPr>
          <w:rFonts w:cs="Arial"/>
          <w:bCs/>
          <w:lang w:eastAsia="en-AU"/>
        </w:rPr>
        <w:t>review projects and discuss</w:t>
      </w:r>
      <w:r w:rsidRPr="003D236C">
        <w:rPr>
          <w:rFonts w:cs="Arial"/>
          <w:bCs/>
          <w:lang w:eastAsia="en-AU"/>
        </w:rPr>
        <w:t xml:space="preserve"> the Commissioner’s </w:t>
      </w:r>
      <w:r>
        <w:rPr>
          <w:rFonts w:cs="Arial"/>
          <w:bCs/>
          <w:lang w:eastAsia="en-AU"/>
        </w:rPr>
        <w:t>updated 2019 Annual Report</w:t>
      </w:r>
      <w:r w:rsidRPr="003D236C">
        <w:rPr>
          <w:rFonts w:cs="Arial"/>
          <w:bCs/>
          <w:lang w:eastAsia="en-AU"/>
        </w:rPr>
        <w:t xml:space="preserve"> recommendations</w:t>
      </w:r>
      <w:r>
        <w:rPr>
          <w:rFonts w:cs="Arial"/>
          <w:bCs/>
          <w:lang w:eastAsia="en-AU"/>
        </w:rPr>
        <w:t>, and</w:t>
      </w:r>
    </w:p>
    <w:p w14:paraId="7D8ADCCD" w14:textId="77777777" w:rsidR="006D1163" w:rsidRPr="003009DB" w:rsidRDefault="004C521A" w:rsidP="006D1163">
      <w:pPr>
        <w:spacing w:after="120"/>
        <w:rPr>
          <w:rFonts w:cs="Arial"/>
          <w:b/>
        </w:rPr>
      </w:pPr>
      <w:r>
        <w:rPr>
          <w:rFonts w:cs="Arial"/>
          <w:b/>
        </w:rPr>
        <w:lastRenderedPageBreak/>
        <w:t>T</w:t>
      </w:r>
      <w:r w:rsidR="006D1163" w:rsidRPr="00A7772E">
        <w:rPr>
          <w:rFonts w:cs="Arial"/>
          <w:b/>
        </w:rPr>
        <w:t>able</w:t>
      </w:r>
      <w:r w:rsidR="00E0708D">
        <w:rPr>
          <w:rFonts w:cs="Arial"/>
          <w:b/>
        </w:rPr>
        <w:t xml:space="preserve"> </w:t>
      </w:r>
      <w:r w:rsidR="009E114B">
        <w:rPr>
          <w:rFonts w:cs="Arial"/>
          <w:b/>
        </w:rPr>
        <w:t>1</w:t>
      </w:r>
      <w:r w:rsidR="006D1163" w:rsidRPr="00A7772E">
        <w:rPr>
          <w:rFonts w:cs="Arial"/>
          <w:b/>
        </w:rPr>
        <w:t xml:space="preserve">: List of </w:t>
      </w:r>
      <w:r w:rsidR="009D0110" w:rsidRPr="00D974B7">
        <w:rPr>
          <w:rFonts w:cs="Arial"/>
          <w:b/>
        </w:rPr>
        <w:t>61</w:t>
      </w:r>
      <w:r w:rsidR="006D1163" w:rsidRPr="009D0110">
        <w:rPr>
          <w:rFonts w:cs="Arial"/>
          <w:b/>
        </w:rPr>
        <w:t xml:space="preserve"> </w:t>
      </w:r>
      <w:r w:rsidR="00D15565" w:rsidRPr="009D0110">
        <w:rPr>
          <w:rFonts w:cs="Arial"/>
          <w:b/>
        </w:rPr>
        <w:t>w</w:t>
      </w:r>
      <w:r w:rsidR="006D1163" w:rsidRPr="009D0110">
        <w:rPr>
          <w:rFonts w:cs="Arial"/>
          <w:b/>
        </w:rPr>
        <w:t xml:space="preserve">ind </w:t>
      </w:r>
      <w:r w:rsidR="00D15565" w:rsidRPr="009D0110">
        <w:rPr>
          <w:rFonts w:cs="Arial"/>
          <w:b/>
        </w:rPr>
        <w:t>f</w:t>
      </w:r>
      <w:r w:rsidR="006D1163" w:rsidRPr="009D0110">
        <w:rPr>
          <w:rFonts w:cs="Arial"/>
          <w:b/>
        </w:rPr>
        <w:t xml:space="preserve">arm </w:t>
      </w:r>
      <w:r w:rsidR="00D15565" w:rsidRPr="009D0110">
        <w:rPr>
          <w:rFonts w:cs="Arial"/>
          <w:b/>
        </w:rPr>
        <w:t>s</w:t>
      </w:r>
      <w:r w:rsidR="006D1163" w:rsidRPr="009D0110">
        <w:rPr>
          <w:rFonts w:cs="Arial"/>
          <w:b/>
        </w:rPr>
        <w:t xml:space="preserve">ites visited </w:t>
      </w:r>
      <w:r w:rsidR="003B7002">
        <w:rPr>
          <w:rFonts w:cs="Arial"/>
          <w:b/>
        </w:rPr>
        <w:t>since 2015</w:t>
      </w:r>
      <w:r w:rsidR="006D1163" w:rsidRPr="009D0110">
        <w:rPr>
          <w:rFonts w:cs="Arial"/>
          <w:b/>
          <w:bCs/>
        </w:rPr>
        <w:t>:</w:t>
      </w:r>
    </w:p>
    <w:tbl>
      <w:tblPr>
        <w:tblStyle w:val="TableGrid"/>
        <w:tblW w:w="9493" w:type="dxa"/>
        <w:tblLayout w:type="fixed"/>
        <w:tblLook w:val="04A0" w:firstRow="1" w:lastRow="0" w:firstColumn="1" w:lastColumn="0" w:noHBand="0" w:noVBand="1"/>
      </w:tblPr>
      <w:tblGrid>
        <w:gridCol w:w="2405"/>
        <w:gridCol w:w="1985"/>
        <w:gridCol w:w="2126"/>
        <w:gridCol w:w="1559"/>
        <w:gridCol w:w="1418"/>
      </w:tblGrid>
      <w:tr w:rsidR="0011370A" w:rsidRPr="003A50B1" w14:paraId="07E9DA5B" w14:textId="77777777" w:rsidTr="00095E67">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DBE5F1" w:themeFill="accent1" w:themeFillTint="33"/>
          </w:tcPr>
          <w:p w14:paraId="53459670" w14:textId="77777777" w:rsidR="0011370A" w:rsidRPr="002120E7" w:rsidRDefault="0011370A" w:rsidP="006D1163">
            <w:pPr>
              <w:spacing w:before="120" w:after="120"/>
              <w:jc w:val="center"/>
              <w:rPr>
                <w:rFonts w:cs="Arial"/>
                <w:b/>
                <w:bCs/>
                <w:sz w:val="22"/>
                <w:szCs w:val="22"/>
              </w:rPr>
            </w:pPr>
            <w:r w:rsidRPr="002120E7">
              <w:rPr>
                <w:rFonts w:cs="Arial"/>
                <w:b/>
                <w:bCs/>
                <w:sz w:val="22"/>
                <w:szCs w:val="22"/>
              </w:rPr>
              <w:t>State</w:t>
            </w:r>
          </w:p>
        </w:tc>
        <w:tc>
          <w:tcPr>
            <w:tcW w:w="7088" w:type="dxa"/>
            <w:gridSpan w:val="4"/>
            <w:tcBorders>
              <w:bottom w:val="single" w:sz="4" w:space="0" w:color="auto"/>
            </w:tcBorders>
            <w:shd w:val="clear" w:color="auto" w:fill="DBE5F1" w:themeFill="accent1" w:themeFillTint="33"/>
          </w:tcPr>
          <w:p w14:paraId="2FA92B2B" w14:textId="77777777" w:rsidR="0011370A" w:rsidRPr="002120E7" w:rsidRDefault="0011370A" w:rsidP="006D1163">
            <w:pPr>
              <w:spacing w:before="120" w:after="120"/>
              <w:jc w:val="center"/>
              <w:rPr>
                <w:rFonts w:cs="Arial"/>
                <w:b/>
                <w:bCs/>
              </w:rPr>
            </w:pPr>
            <w:r w:rsidRPr="002120E7">
              <w:rPr>
                <w:rFonts w:cs="Arial"/>
                <w:b/>
                <w:bCs/>
                <w:sz w:val="22"/>
                <w:szCs w:val="22"/>
              </w:rPr>
              <w:t>Wind farm</w:t>
            </w:r>
          </w:p>
        </w:tc>
      </w:tr>
      <w:tr w:rsidR="0011370A" w:rsidRPr="003A50B1" w14:paraId="21C64A88" w14:textId="77777777" w:rsidTr="00095E67">
        <w:trPr>
          <w:cnfStyle w:val="000000100000" w:firstRow="0" w:lastRow="0" w:firstColumn="0" w:lastColumn="0" w:oddVBand="0" w:evenVBand="0" w:oddHBand="1" w:evenHBand="0" w:firstRowFirstColumn="0" w:firstRowLastColumn="0" w:lastRowFirstColumn="0" w:lastRowLastColumn="0"/>
          <w:trHeight w:val="3372"/>
        </w:trPr>
        <w:tc>
          <w:tcPr>
            <w:tcW w:w="2405" w:type="dxa"/>
          </w:tcPr>
          <w:p w14:paraId="316A7E58" w14:textId="77777777" w:rsidR="0011370A" w:rsidRPr="00095E67" w:rsidRDefault="0011370A" w:rsidP="00095E67">
            <w:pPr>
              <w:spacing w:before="60" w:after="120" w:line="276" w:lineRule="auto"/>
              <w:rPr>
                <w:rFonts w:cs="Arial"/>
                <w:sz w:val="22"/>
                <w:szCs w:val="22"/>
              </w:rPr>
            </w:pPr>
            <w:r w:rsidRPr="002120E7">
              <w:rPr>
                <w:rFonts w:cs="Arial"/>
                <w:b/>
                <w:bCs/>
                <w:sz w:val="22"/>
                <w:szCs w:val="22"/>
              </w:rPr>
              <w:t>Victoria</w:t>
            </w:r>
            <w:r>
              <w:rPr>
                <w:rFonts w:cs="Arial"/>
                <w:b/>
                <w:bCs/>
                <w:sz w:val="22"/>
                <w:szCs w:val="22"/>
              </w:rPr>
              <w:t xml:space="preserve"> (23 sites)</w:t>
            </w:r>
          </w:p>
        </w:tc>
        <w:tc>
          <w:tcPr>
            <w:tcW w:w="1985" w:type="dxa"/>
            <w:tcBorders>
              <w:right w:val="nil"/>
            </w:tcBorders>
          </w:tcPr>
          <w:p w14:paraId="5D7DD307" w14:textId="77777777" w:rsidR="0011370A" w:rsidRPr="009D0110" w:rsidRDefault="0011370A" w:rsidP="006D1163">
            <w:pPr>
              <w:spacing w:before="60" w:after="120" w:line="276" w:lineRule="auto"/>
              <w:rPr>
                <w:rFonts w:cs="Arial"/>
                <w:sz w:val="22"/>
                <w:szCs w:val="22"/>
              </w:rPr>
            </w:pPr>
            <w:r w:rsidRPr="009D0110">
              <w:rPr>
                <w:rFonts w:cs="Arial"/>
                <w:sz w:val="22"/>
                <w:szCs w:val="22"/>
              </w:rPr>
              <w:t>Alberton</w:t>
            </w:r>
          </w:p>
          <w:p w14:paraId="3F15A44F" w14:textId="77777777" w:rsidR="0011370A" w:rsidRPr="009D0110" w:rsidRDefault="0011370A" w:rsidP="006D1163">
            <w:pPr>
              <w:spacing w:before="60" w:after="120" w:line="276" w:lineRule="auto"/>
              <w:rPr>
                <w:rFonts w:cs="Arial"/>
                <w:sz w:val="22"/>
                <w:szCs w:val="22"/>
              </w:rPr>
            </w:pPr>
            <w:r w:rsidRPr="009D0110">
              <w:rPr>
                <w:rFonts w:cs="Arial"/>
                <w:sz w:val="22"/>
                <w:szCs w:val="22"/>
              </w:rPr>
              <w:t>Ararat</w:t>
            </w:r>
          </w:p>
          <w:p w14:paraId="3C4D52B3" w14:textId="77777777" w:rsidR="0011370A" w:rsidRPr="009D0110" w:rsidRDefault="0011370A" w:rsidP="006D1163">
            <w:pPr>
              <w:spacing w:before="60" w:after="120" w:line="276" w:lineRule="auto"/>
              <w:rPr>
                <w:rFonts w:cs="Arial"/>
                <w:sz w:val="22"/>
                <w:szCs w:val="22"/>
              </w:rPr>
            </w:pPr>
            <w:r w:rsidRPr="009D0110">
              <w:rPr>
                <w:rFonts w:cs="Arial"/>
                <w:sz w:val="22"/>
                <w:szCs w:val="22"/>
              </w:rPr>
              <w:t>Bald Hills</w:t>
            </w:r>
          </w:p>
          <w:p w14:paraId="7D6A7B5C" w14:textId="77777777" w:rsidR="0011370A" w:rsidRDefault="0011370A" w:rsidP="006D1163">
            <w:pPr>
              <w:spacing w:before="60" w:after="120" w:line="276" w:lineRule="auto"/>
              <w:rPr>
                <w:rFonts w:cs="Arial"/>
                <w:sz w:val="22"/>
                <w:szCs w:val="22"/>
              </w:rPr>
            </w:pPr>
            <w:r w:rsidRPr="009D0110">
              <w:rPr>
                <w:rFonts w:cs="Arial"/>
                <w:sz w:val="22"/>
                <w:szCs w:val="22"/>
              </w:rPr>
              <w:t>Cape Bridgewater</w:t>
            </w:r>
          </w:p>
          <w:p w14:paraId="790B6C8F" w14:textId="77777777" w:rsidR="0011370A" w:rsidRPr="009D0110" w:rsidRDefault="0011370A" w:rsidP="006D1163">
            <w:pPr>
              <w:spacing w:before="60" w:after="120" w:line="276" w:lineRule="auto"/>
              <w:rPr>
                <w:rFonts w:cs="Arial"/>
                <w:sz w:val="22"/>
                <w:szCs w:val="22"/>
              </w:rPr>
            </w:pPr>
            <w:r>
              <w:rPr>
                <w:rFonts w:cs="Arial"/>
                <w:sz w:val="22"/>
                <w:szCs w:val="22"/>
              </w:rPr>
              <w:t>Delburn</w:t>
            </w:r>
          </w:p>
          <w:p w14:paraId="465098C5" w14:textId="77777777" w:rsidR="0011370A" w:rsidRPr="009D0110" w:rsidRDefault="0011370A" w:rsidP="006D1163">
            <w:pPr>
              <w:spacing w:before="60" w:after="120" w:line="276" w:lineRule="auto"/>
              <w:rPr>
                <w:rFonts w:cs="Arial"/>
                <w:sz w:val="22"/>
                <w:szCs w:val="22"/>
              </w:rPr>
            </w:pPr>
            <w:r w:rsidRPr="009D0110">
              <w:rPr>
                <w:rFonts w:cs="Arial"/>
                <w:sz w:val="22"/>
                <w:szCs w:val="22"/>
              </w:rPr>
              <w:t>Golden Plains</w:t>
            </w:r>
          </w:p>
          <w:p w14:paraId="1D0189EC" w14:textId="77777777" w:rsidR="0011370A" w:rsidRDefault="0011370A" w:rsidP="0011370A">
            <w:pPr>
              <w:spacing w:before="60" w:after="120" w:line="276" w:lineRule="auto"/>
              <w:rPr>
                <w:rFonts w:cs="Arial"/>
                <w:sz w:val="22"/>
                <w:szCs w:val="22"/>
              </w:rPr>
            </w:pPr>
            <w:r w:rsidRPr="009D0110">
              <w:rPr>
                <w:rFonts w:cs="Arial"/>
                <w:sz w:val="22"/>
                <w:szCs w:val="22"/>
              </w:rPr>
              <w:t>Hawkesdale</w:t>
            </w:r>
          </w:p>
          <w:p w14:paraId="5F14D9BB" w14:textId="77777777" w:rsidR="0011370A" w:rsidRPr="009D0110" w:rsidRDefault="0011370A" w:rsidP="0011370A">
            <w:pPr>
              <w:spacing w:before="60" w:after="120" w:line="276" w:lineRule="auto"/>
              <w:rPr>
                <w:rFonts w:cs="Arial"/>
                <w:sz w:val="22"/>
                <w:szCs w:val="22"/>
              </w:rPr>
            </w:pPr>
            <w:r w:rsidRPr="009D0110">
              <w:rPr>
                <w:rFonts w:cs="Arial"/>
                <w:sz w:val="22"/>
                <w:szCs w:val="22"/>
              </w:rPr>
              <w:t>Hepburn</w:t>
            </w:r>
          </w:p>
        </w:tc>
        <w:tc>
          <w:tcPr>
            <w:tcW w:w="2126" w:type="dxa"/>
            <w:tcBorders>
              <w:top w:val="nil"/>
              <w:left w:val="nil"/>
              <w:bottom w:val="single" w:sz="4" w:space="0" w:color="auto"/>
              <w:right w:val="nil"/>
            </w:tcBorders>
          </w:tcPr>
          <w:p w14:paraId="3DF1C136" w14:textId="77777777" w:rsidR="0011370A" w:rsidRPr="009D0110" w:rsidRDefault="0011370A" w:rsidP="0011370A">
            <w:pPr>
              <w:spacing w:before="60" w:after="120" w:line="276" w:lineRule="auto"/>
              <w:rPr>
                <w:rFonts w:cs="Arial"/>
                <w:sz w:val="22"/>
                <w:szCs w:val="22"/>
              </w:rPr>
            </w:pPr>
            <w:r w:rsidRPr="009D0110">
              <w:rPr>
                <w:rFonts w:cs="Arial"/>
                <w:sz w:val="22"/>
                <w:szCs w:val="22"/>
              </w:rPr>
              <w:t>Hexham</w:t>
            </w:r>
          </w:p>
          <w:p w14:paraId="7E8E0C21" w14:textId="77777777" w:rsidR="0011370A" w:rsidRPr="009D0110" w:rsidRDefault="0011370A" w:rsidP="0011370A">
            <w:pPr>
              <w:spacing w:before="60" w:after="120" w:line="276" w:lineRule="auto"/>
              <w:rPr>
                <w:rFonts w:cs="Arial"/>
                <w:sz w:val="22"/>
                <w:szCs w:val="22"/>
              </w:rPr>
            </w:pPr>
            <w:r w:rsidRPr="009D0110">
              <w:rPr>
                <w:rFonts w:cs="Arial"/>
                <w:sz w:val="22"/>
                <w:szCs w:val="22"/>
              </w:rPr>
              <w:t>Lal Lal</w:t>
            </w:r>
          </w:p>
          <w:p w14:paraId="2A745430" w14:textId="77777777" w:rsidR="0011370A" w:rsidRPr="009D0110" w:rsidRDefault="0011370A" w:rsidP="0011370A">
            <w:pPr>
              <w:spacing w:before="60" w:after="120" w:line="276" w:lineRule="auto"/>
              <w:rPr>
                <w:rFonts w:cs="Arial"/>
                <w:sz w:val="22"/>
                <w:szCs w:val="22"/>
              </w:rPr>
            </w:pPr>
            <w:r w:rsidRPr="009D0110">
              <w:rPr>
                <w:rFonts w:cs="Arial"/>
                <w:sz w:val="22"/>
                <w:szCs w:val="22"/>
              </w:rPr>
              <w:t>Macarthur</w:t>
            </w:r>
          </w:p>
          <w:p w14:paraId="4BCE7533" w14:textId="77777777" w:rsidR="0011370A" w:rsidRDefault="0011370A" w:rsidP="0011370A">
            <w:pPr>
              <w:spacing w:before="60" w:after="120"/>
              <w:rPr>
                <w:rFonts w:cs="Arial"/>
                <w:sz w:val="22"/>
                <w:szCs w:val="22"/>
              </w:rPr>
            </w:pPr>
            <w:r w:rsidRPr="009D0110">
              <w:rPr>
                <w:rFonts w:cs="Arial"/>
                <w:sz w:val="22"/>
                <w:szCs w:val="22"/>
              </w:rPr>
              <w:t xml:space="preserve">Moorabool </w:t>
            </w:r>
          </w:p>
          <w:p w14:paraId="4A731578" w14:textId="77777777" w:rsidR="0011370A" w:rsidRPr="009D0110" w:rsidRDefault="0011370A" w:rsidP="0011370A">
            <w:pPr>
              <w:spacing w:before="60" w:after="120"/>
              <w:rPr>
                <w:rFonts w:cs="Arial"/>
                <w:sz w:val="22"/>
                <w:szCs w:val="22"/>
              </w:rPr>
            </w:pPr>
            <w:r w:rsidRPr="009D0110">
              <w:rPr>
                <w:rFonts w:cs="Arial"/>
                <w:sz w:val="22"/>
                <w:szCs w:val="22"/>
              </w:rPr>
              <w:t>Mortlake South</w:t>
            </w:r>
          </w:p>
          <w:p w14:paraId="3C0B84AB" w14:textId="77777777" w:rsidR="0011370A" w:rsidRPr="009D0110" w:rsidRDefault="0011370A" w:rsidP="006D1163">
            <w:pPr>
              <w:spacing w:before="60" w:after="120"/>
              <w:rPr>
                <w:rFonts w:cs="Arial"/>
                <w:sz w:val="22"/>
                <w:szCs w:val="22"/>
              </w:rPr>
            </w:pPr>
            <w:r w:rsidRPr="009D0110">
              <w:rPr>
                <w:rFonts w:cs="Arial"/>
                <w:sz w:val="22"/>
                <w:szCs w:val="22"/>
              </w:rPr>
              <w:t>Mt Gellibrand</w:t>
            </w:r>
          </w:p>
          <w:p w14:paraId="20ED796D" w14:textId="77777777" w:rsidR="0011370A" w:rsidRDefault="0011370A" w:rsidP="0011370A">
            <w:pPr>
              <w:spacing w:before="60" w:after="120" w:line="276" w:lineRule="auto"/>
              <w:rPr>
                <w:rFonts w:cs="Arial"/>
                <w:sz w:val="22"/>
                <w:szCs w:val="22"/>
              </w:rPr>
            </w:pPr>
            <w:r w:rsidRPr="009D0110">
              <w:rPr>
                <w:rFonts w:cs="Arial"/>
                <w:sz w:val="22"/>
                <w:szCs w:val="22"/>
              </w:rPr>
              <w:t>Mt Mercer</w:t>
            </w:r>
          </w:p>
          <w:p w14:paraId="51581440" w14:textId="77777777" w:rsidR="0011370A" w:rsidRPr="009D0110" w:rsidRDefault="0011370A" w:rsidP="0011370A">
            <w:pPr>
              <w:spacing w:before="60" w:after="120" w:line="276" w:lineRule="auto"/>
              <w:rPr>
                <w:rFonts w:cs="Arial"/>
                <w:sz w:val="22"/>
                <w:szCs w:val="22"/>
              </w:rPr>
            </w:pPr>
            <w:r w:rsidRPr="009D0110">
              <w:rPr>
                <w:rFonts w:cs="Arial"/>
                <w:sz w:val="22"/>
                <w:szCs w:val="22"/>
              </w:rPr>
              <w:t>Naroghid</w:t>
            </w:r>
          </w:p>
        </w:tc>
        <w:tc>
          <w:tcPr>
            <w:tcW w:w="2977" w:type="dxa"/>
            <w:gridSpan w:val="2"/>
            <w:tcBorders>
              <w:top w:val="nil"/>
              <w:left w:val="nil"/>
              <w:bottom w:val="single" w:sz="4" w:space="0" w:color="auto"/>
              <w:right w:val="single" w:sz="4" w:space="0" w:color="auto"/>
            </w:tcBorders>
          </w:tcPr>
          <w:p w14:paraId="3B0DCA4B" w14:textId="77777777" w:rsidR="0011370A" w:rsidRPr="009D0110" w:rsidRDefault="0011370A" w:rsidP="0011370A">
            <w:pPr>
              <w:spacing w:before="60" w:after="120" w:line="276" w:lineRule="auto"/>
              <w:rPr>
                <w:rFonts w:cs="Arial"/>
                <w:sz w:val="22"/>
                <w:szCs w:val="22"/>
              </w:rPr>
            </w:pPr>
            <w:r w:rsidRPr="009D0110">
              <w:rPr>
                <w:rFonts w:cs="Arial"/>
                <w:sz w:val="22"/>
                <w:szCs w:val="22"/>
              </w:rPr>
              <w:t>Oaklands Hill</w:t>
            </w:r>
          </w:p>
          <w:p w14:paraId="1B16806E" w14:textId="77777777" w:rsidR="0011370A" w:rsidRPr="009D0110" w:rsidRDefault="0011370A" w:rsidP="0011370A">
            <w:pPr>
              <w:spacing w:before="60" w:after="120" w:line="276" w:lineRule="auto"/>
              <w:rPr>
                <w:rFonts w:cs="Arial"/>
                <w:sz w:val="22"/>
                <w:szCs w:val="22"/>
              </w:rPr>
            </w:pPr>
            <w:r w:rsidRPr="009D0110">
              <w:rPr>
                <w:rFonts w:cs="Arial"/>
                <w:sz w:val="22"/>
                <w:szCs w:val="22"/>
              </w:rPr>
              <w:t>Salt Creek</w:t>
            </w:r>
          </w:p>
          <w:p w14:paraId="4949C5FD" w14:textId="77777777" w:rsidR="0011370A" w:rsidRPr="009D0110" w:rsidRDefault="0011370A" w:rsidP="0011370A">
            <w:pPr>
              <w:spacing w:before="60" w:after="120" w:line="276" w:lineRule="auto"/>
              <w:rPr>
                <w:rFonts w:cs="Arial"/>
                <w:sz w:val="22"/>
                <w:szCs w:val="22"/>
              </w:rPr>
            </w:pPr>
            <w:r w:rsidRPr="009D0110">
              <w:rPr>
                <w:rFonts w:cs="Arial"/>
                <w:sz w:val="22"/>
                <w:szCs w:val="22"/>
              </w:rPr>
              <w:t>Stockyard Hill</w:t>
            </w:r>
          </w:p>
          <w:p w14:paraId="2E3D666F" w14:textId="77777777" w:rsidR="0011370A" w:rsidRDefault="0011370A" w:rsidP="0011370A">
            <w:pPr>
              <w:spacing w:before="60" w:after="120" w:line="276" w:lineRule="auto"/>
              <w:rPr>
                <w:rFonts w:cs="Arial"/>
                <w:sz w:val="22"/>
                <w:szCs w:val="22"/>
              </w:rPr>
            </w:pPr>
            <w:r w:rsidRPr="009D0110">
              <w:rPr>
                <w:rFonts w:cs="Arial"/>
                <w:sz w:val="22"/>
                <w:szCs w:val="22"/>
              </w:rPr>
              <w:t>Toora</w:t>
            </w:r>
          </w:p>
          <w:p w14:paraId="048F7CE8" w14:textId="77777777" w:rsidR="0011370A" w:rsidRPr="009D0110" w:rsidRDefault="0011370A" w:rsidP="0011370A">
            <w:pPr>
              <w:spacing w:before="60" w:after="120" w:line="276" w:lineRule="auto"/>
              <w:rPr>
                <w:rFonts w:cs="Arial"/>
                <w:sz w:val="22"/>
                <w:szCs w:val="22"/>
              </w:rPr>
            </w:pPr>
            <w:r w:rsidRPr="009D0110">
              <w:rPr>
                <w:rFonts w:cs="Arial"/>
                <w:sz w:val="22"/>
                <w:szCs w:val="22"/>
              </w:rPr>
              <w:t>Waubra</w:t>
            </w:r>
          </w:p>
          <w:p w14:paraId="0FB775D3" w14:textId="77777777" w:rsidR="0011370A" w:rsidRPr="009D0110" w:rsidRDefault="0011370A" w:rsidP="0011370A">
            <w:pPr>
              <w:spacing w:before="60" w:after="120" w:line="276" w:lineRule="auto"/>
              <w:rPr>
                <w:rFonts w:cs="Arial"/>
                <w:sz w:val="22"/>
                <w:szCs w:val="22"/>
              </w:rPr>
            </w:pPr>
            <w:r w:rsidRPr="009D0110">
              <w:rPr>
                <w:rFonts w:cs="Arial"/>
                <w:sz w:val="22"/>
                <w:szCs w:val="22"/>
              </w:rPr>
              <w:t>Wonthaggi</w:t>
            </w:r>
          </w:p>
          <w:p w14:paraId="0C2FD335" w14:textId="77777777" w:rsidR="0011370A" w:rsidRPr="009D0110" w:rsidRDefault="0011370A" w:rsidP="0011370A">
            <w:pPr>
              <w:spacing w:before="60" w:after="120"/>
              <w:rPr>
                <w:rFonts w:cs="Arial"/>
              </w:rPr>
            </w:pPr>
            <w:r w:rsidRPr="009D0110">
              <w:rPr>
                <w:rFonts w:cs="Arial"/>
                <w:sz w:val="22"/>
                <w:szCs w:val="22"/>
              </w:rPr>
              <w:t>Willatook</w:t>
            </w:r>
          </w:p>
        </w:tc>
      </w:tr>
      <w:tr w:rsidR="0011370A" w:rsidRPr="003A50B1" w14:paraId="03E897E9" w14:textId="77777777" w:rsidTr="00095E67">
        <w:trPr>
          <w:cnfStyle w:val="000000010000" w:firstRow="0" w:lastRow="0" w:firstColumn="0" w:lastColumn="0" w:oddVBand="0" w:evenVBand="0" w:oddHBand="0" w:evenHBand="1" w:firstRowFirstColumn="0" w:firstRowLastColumn="0" w:lastRowFirstColumn="0" w:lastRowLastColumn="0"/>
          <w:trHeight w:val="2542"/>
        </w:trPr>
        <w:tc>
          <w:tcPr>
            <w:tcW w:w="2405" w:type="dxa"/>
          </w:tcPr>
          <w:p w14:paraId="4F2618AD" w14:textId="77777777" w:rsidR="0011370A" w:rsidRDefault="0011370A" w:rsidP="00EA6341">
            <w:pPr>
              <w:spacing w:before="60" w:after="120"/>
              <w:rPr>
                <w:rFonts w:cs="Arial"/>
                <w:b/>
                <w:bCs/>
                <w:sz w:val="22"/>
                <w:szCs w:val="22"/>
              </w:rPr>
            </w:pPr>
            <w:r w:rsidRPr="00EA6341">
              <w:rPr>
                <w:rFonts w:cs="Arial"/>
                <w:b/>
                <w:bCs/>
                <w:sz w:val="22"/>
                <w:szCs w:val="22"/>
              </w:rPr>
              <w:t xml:space="preserve">New South Wales </w:t>
            </w:r>
          </w:p>
          <w:p w14:paraId="038D7374" w14:textId="77777777" w:rsidR="0011370A" w:rsidRPr="00EA6341" w:rsidRDefault="0011370A" w:rsidP="00EA6341">
            <w:pPr>
              <w:spacing w:before="60" w:after="120"/>
              <w:rPr>
                <w:rFonts w:cs="Arial"/>
                <w:b/>
                <w:bCs/>
                <w:sz w:val="22"/>
                <w:szCs w:val="22"/>
              </w:rPr>
            </w:pPr>
            <w:r w:rsidRPr="00EA6341">
              <w:rPr>
                <w:rFonts w:cs="Arial"/>
                <w:b/>
                <w:bCs/>
                <w:sz w:val="22"/>
                <w:szCs w:val="22"/>
              </w:rPr>
              <w:t>(</w:t>
            </w:r>
            <w:r>
              <w:rPr>
                <w:rFonts w:cs="Arial"/>
                <w:b/>
                <w:bCs/>
                <w:sz w:val="22"/>
                <w:szCs w:val="22"/>
              </w:rPr>
              <w:t>16</w:t>
            </w:r>
            <w:r w:rsidRPr="00EA6341">
              <w:rPr>
                <w:rFonts w:cs="Arial"/>
                <w:b/>
                <w:bCs/>
                <w:sz w:val="22"/>
                <w:szCs w:val="22"/>
              </w:rPr>
              <w:t xml:space="preserve"> sites)</w:t>
            </w:r>
          </w:p>
        </w:tc>
        <w:tc>
          <w:tcPr>
            <w:tcW w:w="1985" w:type="dxa"/>
            <w:tcBorders>
              <w:right w:val="nil"/>
            </w:tcBorders>
          </w:tcPr>
          <w:p w14:paraId="6492CB02" w14:textId="77777777" w:rsidR="0011370A" w:rsidRPr="002120E7" w:rsidRDefault="0011370A" w:rsidP="006D1163">
            <w:pPr>
              <w:spacing w:before="60" w:after="120" w:line="276" w:lineRule="auto"/>
              <w:rPr>
                <w:rFonts w:cs="Arial"/>
                <w:sz w:val="22"/>
                <w:szCs w:val="22"/>
              </w:rPr>
            </w:pPr>
            <w:r w:rsidRPr="002120E7">
              <w:rPr>
                <w:rFonts w:cs="Arial"/>
                <w:sz w:val="22"/>
                <w:szCs w:val="22"/>
              </w:rPr>
              <w:t>Bango</w:t>
            </w:r>
          </w:p>
          <w:p w14:paraId="6E82E976" w14:textId="77777777" w:rsidR="0011370A" w:rsidRPr="002120E7" w:rsidRDefault="0011370A" w:rsidP="006D1163">
            <w:pPr>
              <w:spacing w:before="60" w:after="120" w:line="276" w:lineRule="auto"/>
              <w:rPr>
                <w:rFonts w:cs="Arial"/>
                <w:sz w:val="22"/>
                <w:szCs w:val="22"/>
              </w:rPr>
            </w:pPr>
            <w:r w:rsidRPr="002120E7">
              <w:rPr>
                <w:rFonts w:cs="Arial"/>
                <w:sz w:val="22"/>
                <w:szCs w:val="22"/>
              </w:rPr>
              <w:t>Collector</w:t>
            </w:r>
          </w:p>
          <w:p w14:paraId="2F4336A0" w14:textId="77777777" w:rsidR="0011370A" w:rsidRPr="002120E7" w:rsidRDefault="0011370A" w:rsidP="006D1163">
            <w:pPr>
              <w:spacing w:before="60" w:after="120" w:line="276" w:lineRule="auto"/>
              <w:rPr>
                <w:rFonts w:cs="Arial"/>
                <w:sz w:val="22"/>
                <w:szCs w:val="22"/>
              </w:rPr>
            </w:pPr>
            <w:r w:rsidRPr="002120E7">
              <w:rPr>
                <w:rFonts w:cs="Arial"/>
                <w:sz w:val="22"/>
                <w:szCs w:val="22"/>
              </w:rPr>
              <w:t>Coppabella</w:t>
            </w:r>
          </w:p>
          <w:p w14:paraId="40935B30" w14:textId="77777777" w:rsidR="0011370A" w:rsidRPr="002120E7" w:rsidRDefault="0011370A" w:rsidP="006D1163">
            <w:pPr>
              <w:spacing w:before="60" w:after="120" w:line="276" w:lineRule="auto"/>
              <w:rPr>
                <w:rFonts w:cs="Arial"/>
                <w:sz w:val="22"/>
                <w:szCs w:val="22"/>
              </w:rPr>
            </w:pPr>
            <w:r w:rsidRPr="002120E7">
              <w:rPr>
                <w:rFonts w:cs="Arial"/>
                <w:sz w:val="22"/>
                <w:szCs w:val="22"/>
              </w:rPr>
              <w:t xml:space="preserve">Crookwell I </w:t>
            </w:r>
          </w:p>
          <w:p w14:paraId="701E09B7" w14:textId="77777777" w:rsidR="0011370A" w:rsidRPr="002120E7" w:rsidRDefault="0011370A" w:rsidP="006D1163">
            <w:pPr>
              <w:spacing w:before="60" w:after="120" w:line="276" w:lineRule="auto"/>
              <w:rPr>
                <w:rFonts w:cs="Arial"/>
                <w:sz w:val="22"/>
                <w:szCs w:val="22"/>
              </w:rPr>
            </w:pPr>
            <w:r w:rsidRPr="002120E7">
              <w:rPr>
                <w:rFonts w:cs="Arial"/>
                <w:sz w:val="22"/>
                <w:szCs w:val="22"/>
              </w:rPr>
              <w:t xml:space="preserve">Crookwell II </w:t>
            </w:r>
          </w:p>
          <w:p w14:paraId="4B67A40C" w14:textId="77777777" w:rsidR="0011370A" w:rsidRPr="002120E7" w:rsidRDefault="0011370A" w:rsidP="006D1163">
            <w:pPr>
              <w:spacing w:before="60" w:after="120" w:line="276" w:lineRule="auto"/>
              <w:rPr>
                <w:rFonts w:cs="Arial"/>
                <w:sz w:val="22"/>
                <w:szCs w:val="22"/>
              </w:rPr>
            </w:pPr>
            <w:r w:rsidRPr="002120E7">
              <w:rPr>
                <w:rFonts w:cs="Arial"/>
                <w:sz w:val="22"/>
                <w:szCs w:val="22"/>
              </w:rPr>
              <w:t>Crudine Ridge</w:t>
            </w:r>
          </w:p>
        </w:tc>
        <w:tc>
          <w:tcPr>
            <w:tcW w:w="2126" w:type="dxa"/>
            <w:tcBorders>
              <w:left w:val="nil"/>
              <w:right w:val="nil"/>
            </w:tcBorders>
          </w:tcPr>
          <w:p w14:paraId="620D2FDB" w14:textId="77777777" w:rsidR="0011370A" w:rsidRPr="002120E7" w:rsidRDefault="0011370A" w:rsidP="0011370A">
            <w:pPr>
              <w:spacing w:before="60" w:after="120" w:line="276" w:lineRule="auto"/>
              <w:rPr>
                <w:rFonts w:cs="Arial"/>
                <w:sz w:val="22"/>
                <w:szCs w:val="22"/>
              </w:rPr>
            </w:pPr>
            <w:r w:rsidRPr="002120E7">
              <w:rPr>
                <w:rFonts w:cs="Arial"/>
                <w:sz w:val="22"/>
                <w:szCs w:val="22"/>
              </w:rPr>
              <w:t>Cullerin Range</w:t>
            </w:r>
          </w:p>
          <w:p w14:paraId="2EF1DA0C" w14:textId="77777777" w:rsidR="0011370A" w:rsidRDefault="0011370A" w:rsidP="0011370A">
            <w:pPr>
              <w:spacing w:before="60" w:after="120" w:line="276" w:lineRule="auto"/>
              <w:rPr>
                <w:rFonts w:cs="Arial"/>
                <w:sz w:val="22"/>
                <w:szCs w:val="22"/>
              </w:rPr>
            </w:pPr>
            <w:r w:rsidRPr="002120E7">
              <w:rPr>
                <w:rFonts w:cs="Arial"/>
                <w:sz w:val="22"/>
                <w:szCs w:val="22"/>
              </w:rPr>
              <w:t xml:space="preserve">Glen Innes </w:t>
            </w:r>
          </w:p>
          <w:p w14:paraId="0F46D102" w14:textId="77777777" w:rsidR="0011370A" w:rsidRPr="002120E7" w:rsidRDefault="0011370A" w:rsidP="0011370A">
            <w:pPr>
              <w:spacing w:before="60" w:after="120" w:line="276" w:lineRule="auto"/>
              <w:rPr>
                <w:rFonts w:cs="Arial"/>
                <w:sz w:val="22"/>
                <w:szCs w:val="22"/>
              </w:rPr>
            </w:pPr>
            <w:r w:rsidRPr="002120E7">
              <w:rPr>
                <w:rFonts w:cs="Arial"/>
                <w:sz w:val="22"/>
                <w:szCs w:val="22"/>
              </w:rPr>
              <w:t>Gullen Range</w:t>
            </w:r>
          </w:p>
          <w:p w14:paraId="2ACCFA9E" w14:textId="77777777" w:rsidR="0011370A" w:rsidRDefault="0011370A" w:rsidP="006D1163">
            <w:pPr>
              <w:spacing w:before="60" w:after="120" w:line="276" w:lineRule="auto"/>
              <w:rPr>
                <w:rFonts w:cs="Arial"/>
                <w:sz w:val="22"/>
                <w:szCs w:val="22"/>
              </w:rPr>
            </w:pPr>
            <w:r w:rsidRPr="002120E7">
              <w:rPr>
                <w:rFonts w:cs="Arial"/>
                <w:sz w:val="22"/>
                <w:szCs w:val="22"/>
              </w:rPr>
              <w:t>Gunning</w:t>
            </w:r>
          </w:p>
          <w:p w14:paraId="14B73E6B" w14:textId="77777777" w:rsidR="0011370A" w:rsidRPr="002120E7" w:rsidRDefault="0011370A" w:rsidP="006D1163">
            <w:pPr>
              <w:spacing w:before="60" w:after="120" w:line="276" w:lineRule="auto"/>
              <w:rPr>
                <w:rFonts w:cs="Arial"/>
                <w:sz w:val="22"/>
                <w:szCs w:val="22"/>
              </w:rPr>
            </w:pPr>
            <w:r>
              <w:rPr>
                <w:rFonts w:cs="Arial"/>
                <w:sz w:val="22"/>
                <w:szCs w:val="22"/>
              </w:rPr>
              <w:t>Hills of Gold</w:t>
            </w:r>
          </w:p>
          <w:p w14:paraId="54E23921" w14:textId="77777777" w:rsidR="0011370A" w:rsidRPr="00D15565" w:rsidRDefault="0011370A" w:rsidP="0011370A">
            <w:pPr>
              <w:spacing w:before="60" w:after="120" w:line="276" w:lineRule="auto"/>
              <w:rPr>
                <w:rFonts w:cs="Arial"/>
                <w:sz w:val="22"/>
                <w:szCs w:val="22"/>
              </w:rPr>
            </w:pPr>
            <w:r w:rsidRPr="002120E7">
              <w:rPr>
                <w:rFonts w:cs="Arial"/>
                <w:sz w:val="22"/>
                <w:szCs w:val="22"/>
              </w:rPr>
              <w:t>Jupiter</w:t>
            </w:r>
          </w:p>
        </w:tc>
        <w:tc>
          <w:tcPr>
            <w:tcW w:w="2977" w:type="dxa"/>
            <w:gridSpan w:val="2"/>
            <w:tcBorders>
              <w:left w:val="nil"/>
            </w:tcBorders>
          </w:tcPr>
          <w:p w14:paraId="05B691EA" w14:textId="77777777" w:rsidR="0011370A" w:rsidRPr="002120E7" w:rsidRDefault="0011370A" w:rsidP="0011370A">
            <w:pPr>
              <w:spacing w:before="60" w:after="120" w:line="276" w:lineRule="auto"/>
              <w:rPr>
                <w:rFonts w:cs="Arial"/>
                <w:sz w:val="22"/>
                <w:szCs w:val="22"/>
              </w:rPr>
            </w:pPr>
            <w:r w:rsidRPr="002120E7">
              <w:rPr>
                <w:rFonts w:cs="Arial"/>
                <w:sz w:val="22"/>
                <w:szCs w:val="22"/>
              </w:rPr>
              <w:t>NSW Energy Cluster</w:t>
            </w:r>
          </w:p>
          <w:p w14:paraId="48087933" w14:textId="77777777" w:rsidR="0011370A" w:rsidRPr="002120E7" w:rsidRDefault="0011370A" w:rsidP="0011370A">
            <w:pPr>
              <w:spacing w:before="60" w:after="120" w:line="276" w:lineRule="auto"/>
              <w:rPr>
                <w:rFonts w:cs="Arial"/>
                <w:sz w:val="22"/>
                <w:szCs w:val="22"/>
              </w:rPr>
            </w:pPr>
            <w:r w:rsidRPr="002120E7">
              <w:rPr>
                <w:rFonts w:cs="Arial"/>
                <w:sz w:val="22"/>
                <w:szCs w:val="22"/>
              </w:rPr>
              <w:t>Sapphire</w:t>
            </w:r>
          </w:p>
          <w:p w14:paraId="081E8667" w14:textId="77777777" w:rsidR="0011370A" w:rsidRPr="002120E7" w:rsidRDefault="0011370A" w:rsidP="0011370A">
            <w:pPr>
              <w:spacing w:before="60" w:after="120" w:line="276" w:lineRule="auto"/>
              <w:rPr>
                <w:rFonts w:cs="Arial"/>
                <w:sz w:val="22"/>
                <w:szCs w:val="22"/>
              </w:rPr>
            </w:pPr>
            <w:r w:rsidRPr="002120E7">
              <w:rPr>
                <w:rFonts w:cs="Arial"/>
                <w:sz w:val="22"/>
                <w:szCs w:val="22"/>
              </w:rPr>
              <w:t>White Rock</w:t>
            </w:r>
          </w:p>
          <w:p w14:paraId="1616CDF9" w14:textId="77777777" w:rsidR="0011370A" w:rsidRPr="002120E7" w:rsidRDefault="0011370A" w:rsidP="0011370A">
            <w:pPr>
              <w:spacing w:before="60" w:after="120"/>
              <w:rPr>
                <w:rFonts w:cs="Arial"/>
              </w:rPr>
            </w:pPr>
            <w:r>
              <w:rPr>
                <w:rFonts w:cs="Arial"/>
                <w:sz w:val="22"/>
                <w:szCs w:val="22"/>
              </w:rPr>
              <w:t>Walcha</w:t>
            </w:r>
          </w:p>
        </w:tc>
      </w:tr>
      <w:tr w:rsidR="0011370A" w:rsidRPr="003A50B1" w14:paraId="4CB29013" w14:textId="77777777" w:rsidTr="00095E67">
        <w:trPr>
          <w:cnfStyle w:val="000000100000" w:firstRow="0" w:lastRow="0" w:firstColumn="0" w:lastColumn="0" w:oddVBand="0" w:evenVBand="0" w:oddHBand="1" w:evenHBand="0" w:firstRowFirstColumn="0" w:firstRowLastColumn="0" w:lastRowFirstColumn="0" w:lastRowLastColumn="0"/>
          <w:trHeight w:val="1430"/>
        </w:trPr>
        <w:tc>
          <w:tcPr>
            <w:tcW w:w="2405" w:type="dxa"/>
          </w:tcPr>
          <w:p w14:paraId="0D187FF1" w14:textId="77777777" w:rsidR="0011370A" w:rsidRPr="00095E67" w:rsidRDefault="0011370A" w:rsidP="00095E67">
            <w:pPr>
              <w:spacing w:before="60" w:after="120" w:line="276" w:lineRule="auto"/>
              <w:rPr>
                <w:rFonts w:cs="Arial"/>
                <w:sz w:val="22"/>
                <w:szCs w:val="22"/>
              </w:rPr>
            </w:pPr>
            <w:r w:rsidRPr="002120E7">
              <w:rPr>
                <w:rFonts w:cs="Arial"/>
                <w:b/>
                <w:bCs/>
                <w:sz w:val="22"/>
                <w:szCs w:val="22"/>
              </w:rPr>
              <w:t>South Australia</w:t>
            </w:r>
            <w:r>
              <w:rPr>
                <w:rFonts w:cs="Arial"/>
                <w:b/>
                <w:bCs/>
                <w:sz w:val="22"/>
                <w:szCs w:val="22"/>
              </w:rPr>
              <w:t xml:space="preserve"> (8</w:t>
            </w:r>
            <w:r w:rsidR="00095E67">
              <w:rPr>
                <w:rFonts w:cs="Arial"/>
                <w:b/>
                <w:bCs/>
                <w:sz w:val="22"/>
                <w:szCs w:val="22"/>
              </w:rPr>
              <w:t> </w:t>
            </w:r>
            <w:r>
              <w:rPr>
                <w:rFonts w:cs="Arial"/>
                <w:b/>
                <w:bCs/>
                <w:sz w:val="22"/>
                <w:szCs w:val="22"/>
              </w:rPr>
              <w:t>sites)</w:t>
            </w:r>
          </w:p>
        </w:tc>
        <w:tc>
          <w:tcPr>
            <w:tcW w:w="1985" w:type="dxa"/>
            <w:tcBorders>
              <w:right w:val="nil"/>
            </w:tcBorders>
          </w:tcPr>
          <w:p w14:paraId="7FF10029" w14:textId="77777777" w:rsidR="0011370A" w:rsidRPr="009D0110" w:rsidRDefault="0011370A" w:rsidP="00593192">
            <w:pPr>
              <w:spacing w:before="60" w:after="120" w:line="276" w:lineRule="auto"/>
              <w:rPr>
                <w:rFonts w:cs="Arial"/>
                <w:sz w:val="22"/>
                <w:szCs w:val="22"/>
              </w:rPr>
            </w:pPr>
            <w:r w:rsidRPr="009D0110">
              <w:rPr>
                <w:rFonts w:cs="Arial"/>
                <w:sz w:val="22"/>
                <w:szCs w:val="22"/>
              </w:rPr>
              <w:t>Crystal Brook</w:t>
            </w:r>
          </w:p>
          <w:p w14:paraId="5BA02D43" w14:textId="77777777" w:rsidR="0011370A" w:rsidRPr="009D0110" w:rsidRDefault="0011370A" w:rsidP="00593192">
            <w:pPr>
              <w:spacing w:before="60" w:after="120" w:line="276" w:lineRule="auto"/>
              <w:rPr>
                <w:rFonts w:cs="Arial"/>
                <w:sz w:val="22"/>
                <w:szCs w:val="22"/>
              </w:rPr>
            </w:pPr>
            <w:r w:rsidRPr="009D0110">
              <w:rPr>
                <w:rFonts w:cs="Arial"/>
                <w:sz w:val="22"/>
                <w:szCs w:val="22"/>
              </w:rPr>
              <w:t>Hallet</w:t>
            </w:r>
          </w:p>
          <w:p w14:paraId="2AF553A9" w14:textId="77777777" w:rsidR="0011370A" w:rsidRPr="009D0110" w:rsidRDefault="0011370A" w:rsidP="00593192">
            <w:pPr>
              <w:spacing w:before="60" w:after="120" w:line="276" w:lineRule="auto"/>
              <w:rPr>
                <w:rFonts w:cs="Arial"/>
                <w:sz w:val="22"/>
                <w:szCs w:val="22"/>
              </w:rPr>
            </w:pPr>
            <w:r w:rsidRPr="009D0110">
              <w:rPr>
                <w:rFonts w:cs="Arial"/>
                <w:sz w:val="22"/>
                <w:szCs w:val="22"/>
              </w:rPr>
              <w:t>Keyneton</w:t>
            </w:r>
          </w:p>
        </w:tc>
        <w:tc>
          <w:tcPr>
            <w:tcW w:w="2126" w:type="dxa"/>
            <w:tcBorders>
              <w:left w:val="nil"/>
              <w:right w:val="nil"/>
            </w:tcBorders>
          </w:tcPr>
          <w:p w14:paraId="20973896" w14:textId="77777777" w:rsidR="00095E67" w:rsidRDefault="00095E67" w:rsidP="00593192">
            <w:pPr>
              <w:pStyle w:val="ListBullet2"/>
              <w:numPr>
                <w:ilvl w:val="0"/>
                <w:numId w:val="0"/>
              </w:numPr>
              <w:spacing w:before="60" w:after="120"/>
              <w:ind w:left="369" w:hanging="369"/>
              <w:rPr>
                <w:rFonts w:cs="Arial"/>
                <w:sz w:val="22"/>
                <w:szCs w:val="22"/>
              </w:rPr>
            </w:pPr>
            <w:r w:rsidRPr="009D0110">
              <w:rPr>
                <w:rFonts w:cs="Arial"/>
                <w:sz w:val="22"/>
                <w:szCs w:val="22"/>
              </w:rPr>
              <w:t>Palmer</w:t>
            </w:r>
          </w:p>
          <w:p w14:paraId="6462A330" w14:textId="77777777" w:rsidR="0011370A" w:rsidRPr="009D0110" w:rsidRDefault="0011370A" w:rsidP="00593192">
            <w:pPr>
              <w:pStyle w:val="ListBullet2"/>
              <w:numPr>
                <w:ilvl w:val="0"/>
                <w:numId w:val="0"/>
              </w:numPr>
              <w:spacing w:before="60" w:after="120"/>
              <w:ind w:left="369" w:hanging="369"/>
              <w:rPr>
                <w:rFonts w:cs="Arial"/>
                <w:sz w:val="22"/>
                <w:szCs w:val="22"/>
              </w:rPr>
            </w:pPr>
            <w:r w:rsidRPr="009D0110">
              <w:rPr>
                <w:rFonts w:cs="Arial"/>
                <w:sz w:val="22"/>
                <w:szCs w:val="22"/>
              </w:rPr>
              <w:t>Port Augusta</w:t>
            </w:r>
          </w:p>
          <w:p w14:paraId="371B5A54" w14:textId="77777777" w:rsidR="0011370A" w:rsidRPr="009D0110" w:rsidRDefault="00095E67" w:rsidP="00095E67">
            <w:pPr>
              <w:pStyle w:val="ListBullet2"/>
              <w:numPr>
                <w:ilvl w:val="0"/>
                <w:numId w:val="0"/>
              </w:numPr>
              <w:spacing w:before="60" w:after="120"/>
              <w:ind w:left="369" w:hanging="369"/>
              <w:rPr>
                <w:rFonts w:cs="Arial"/>
                <w:sz w:val="22"/>
                <w:szCs w:val="22"/>
              </w:rPr>
            </w:pPr>
            <w:r w:rsidRPr="009D0110">
              <w:rPr>
                <w:rFonts w:cs="Arial"/>
                <w:sz w:val="22"/>
                <w:szCs w:val="22"/>
              </w:rPr>
              <w:t>Twin Creek</w:t>
            </w:r>
          </w:p>
        </w:tc>
        <w:tc>
          <w:tcPr>
            <w:tcW w:w="2977" w:type="dxa"/>
            <w:gridSpan w:val="2"/>
            <w:tcBorders>
              <w:left w:val="nil"/>
            </w:tcBorders>
          </w:tcPr>
          <w:p w14:paraId="2F6525F4" w14:textId="77777777" w:rsidR="00095E67" w:rsidRPr="009D0110" w:rsidRDefault="00095E67" w:rsidP="00095E67">
            <w:pPr>
              <w:spacing w:before="60" w:after="120" w:line="276" w:lineRule="auto"/>
              <w:rPr>
                <w:rFonts w:cs="Arial"/>
                <w:sz w:val="22"/>
                <w:szCs w:val="22"/>
              </w:rPr>
            </w:pPr>
            <w:r w:rsidRPr="009D0110">
              <w:rPr>
                <w:rFonts w:cs="Arial"/>
                <w:sz w:val="22"/>
                <w:szCs w:val="22"/>
              </w:rPr>
              <w:t>Snowtown</w:t>
            </w:r>
          </w:p>
          <w:p w14:paraId="566DC886" w14:textId="77777777" w:rsidR="0011370A" w:rsidRPr="009D0110" w:rsidRDefault="00095E67" w:rsidP="00095E67">
            <w:pPr>
              <w:pStyle w:val="ListBullet2"/>
              <w:numPr>
                <w:ilvl w:val="0"/>
                <w:numId w:val="0"/>
              </w:numPr>
              <w:spacing w:before="60" w:after="120"/>
              <w:ind w:left="369" w:hanging="369"/>
              <w:rPr>
                <w:rFonts w:cs="Arial"/>
              </w:rPr>
            </w:pPr>
            <w:r w:rsidRPr="009D0110">
              <w:rPr>
                <w:rFonts w:cs="Arial"/>
                <w:sz w:val="22"/>
                <w:szCs w:val="22"/>
              </w:rPr>
              <w:t>Waterloo</w:t>
            </w:r>
          </w:p>
        </w:tc>
      </w:tr>
      <w:tr w:rsidR="0011370A" w:rsidRPr="003A50B1" w14:paraId="1FE6514D" w14:textId="77777777" w:rsidTr="00095E67">
        <w:trPr>
          <w:cnfStyle w:val="000000010000" w:firstRow="0" w:lastRow="0" w:firstColumn="0" w:lastColumn="0" w:oddVBand="0" w:evenVBand="0" w:oddHBand="0" w:evenHBand="1" w:firstRowFirstColumn="0" w:firstRowLastColumn="0" w:lastRowFirstColumn="0" w:lastRowLastColumn="0"/>
          <w:trHeight w:val="981"/>
        </w:trPr>
        <w:tc>
          <w:tcPr>
            <w:tcW w:w="2405" w:type="dxa"/>
          </w:tcPr>
          <w:p w14:paraId="794E091B" w14:textId="77777777" w:rsidR="0011370A" w:rsidRPr="002120E7" w:rsidRDefault="0011370A" w:rsidP="006D1163">
            <w:pPr>
              <w:spacing w:before="60" w:after="120"/>
              <w:rPr>
                <w:rFonts w:cs="Arial"/>
                <w:b/>
                <w:bCs/>
                <w:sz w:val="22"/>
                <w:szCs w:val="22"/>
              </w:rPr>
            </w:pPr>
            <w:r w:rsidRPr="002120E7">
              <w:rPr>
                <w:rFonts w:cs="Arial"/>
                <w:b/>
                <w:bCs/>
                <w:sz w:val="22"/>
                <w:szCs w:val="22"/>
              </w:rPr>
              <w:t>Queensland</w:t>
            </w:r>
            <w:r w:rsidR="00095E67">
              <w:rPr>
                <w:rFonts w:cs="Arial"/>
                <w:b/>
                <w:bCs/>
                <w:sz w:val="22"/>
                <w:szCs w:val="22"/>
              </w:rPr>
              <w:t xml:space="preserve"> (5 </w:t>
            </w:r>
            <w:r>
              <w:rPr>
                <w:rFonts w:cs="Arial"/>
                <w:b/>
                <w:bCs/>
                <w:sz w:val="22"/>
                <w:szCs w:val="22"/>
              </w:rPr>
              <w:t>sites)</w:t>
            </w:r>
          </w:p>
        </w:tc>
        <w:tc>
          <w:tcPr>
            <w:tcW w:w="1985" w:type="dxa"/>
            <w:tcBorders>
              <w:right w:val="nil"/>
            </w:tcBorders>
          </w:tcPr>
          <w:p w14:paraId="41C059B4" w14:textId="77777777" w:rsidR="0011370A" w:rsidRPr="002120E7" w:rsidRDefault="0011370A" w:rsidP="006D1163">
            <w:pPr>
              <w:spacing w:before="60" w:after="120"/>
              <w:rPr>
                <w:rFonts w:cs="Arial"/>
                <w:sz w:val="22"/>
                <w:szCs w:val="22"/>
              </w:rPr>
            </w:pPr>
            <w:r w:rsidRPr="002120E7">
              <w:rPr>
                <w:rFonts w:cs="Arial"/>
                <w:sz w:val="22"/>
                <w:szCs w:val="22"/>
              </w:rPr>
              <w:t>Coopers Gap</w:t>
            </w:r>
          </w:p>
          <w:p w14:paraId="0B3E22D7" w14:textId="77777777" w:rsidR="0011370A" w:rsidRPr="002120E7" w:rsidRDefault="0011370A" w:rsidP="006D1163">
            <w:pPr>
              <w:spacing w:before="60" w:after="120"/>
              <w:rPr>
                <w:rFonts w:cs="Arial"/>
                <w:sz w:val="22"/>
                <w:szCs w:val="22"/>
              </w:rPr>
            </w:pPr>
            <w:r w:rsidRPr="002120E7">
              <w:rPr>
                <w:rFonts w:cs="Arial"/>
                <w:sz w:val="22"/>
                <w:szCs w:val="22"/>
              </w:rPr>
              <w:t>High Road</w:t>
            </w:r>
          </w:p>
        </w:tc>
        <w:tc>
          <w:tcPr>
            <w:tcW w:w="2126" w:type="dxa"/>
            <w:tcBorders>
              <w:left w:val="nil"/>
              <w:right w:val="nil"/>
            </w:tcBorders>
          </w:tcPr>
          <w:p w14:paraId="69CB3A6A" w14:textId="77777777" w:rsidR="0011370A" w:rsidRPr="002120E7" w:rsidRDefault="00095E67" w:rsidP="006D1163">
            <w:pPr>
              <w:spacing w:before="60" w:after="120"/>
              <w:rPr>
                <w:rFonts w:cs="Arial"/>
                <w:sz w:val="22"/>
                <w:szCs w:val="22"/>
              </w:rPr>
            </w:pPr>
            <w:r w:rsidRPr="002120E7">
              <w:rPr>
                <w:rFonts w:cs="Arial"/>
                <w:sz w:val="22"/>
                <w:szCs w:val="22"/>
              </w:rPr>
              <w:t>Kaban Green Power Hub</w:t>
            </w:r>
          </w:p>
        </w:tc>
        <w:tc>
          <w:tcPr>
            <w:tcW w:w="2977" w:type="dxa"/>
            <w:gridSpan w:val="2"/>
            <w:tcBorders>
              <w:left w:val="nil"/>
            </w:tcBorders>
          </w:tcPr>
          <w:p w14:paraId="348CEA12" w14:textId="77777777" w:rsidR="00095E67" w:rsidRPr="002120E7" w:rsidRDefault="00095E67" w:rsidP="00095E67">
            <w:pPr>
              <w:spacing w:before="60" w:after="120"/>
              <w:rPr>
                <w:rFonts w:cs="Arial"/>
                <w:sz w:val="22"/>
                <w:szCs w:val="22"/>
              </w:rPr>
            </w:pPr>
            <w:r>
              <w:rPr>
                <w:rFonts w:cs="Arial"/>
                <w:sz w:val="22"/>
                <w:szCs w:val="22"/>
              </w:rPr>
              <w:t xml:space="preserve">Mt </w:t>
            </w:r>
            <w:r w:rsidRPr="002120E7">
              <w:rPr>
                <w:rFonts w:cs="Arial"/>
                <w:sz w:val="22"/>
                <w:szCs w:val="22"/>
              </w:rPr>
              <w:t>Emerald</w:t>
            </w:r>
          </w:p>
          <w:p w14:paraId="1CFC8E28" w14:textId="77777777" w:rsidR="0011370A" w:rsidRPr="002120E7" w:rsidRDefault="00095E67" w:rsidP="00095E67">
            <w:pPr>
              <w:spacing w:before="60" w:after="120"/>
              <w:rPr>
                <w:rFonts w:cs="Arial"/>
              </w:rPr>
            </w:pPr>
            <w:r w:rsidRPr="002120E7">
              <w:rPr>
                <w:rFonts w:cs="Arial"/>
                <w:sz w:val="22"/>
                <w:szCs w:val="22"/>
              </w:rPr>
              <w:t>Windy Hill</w:t>
            </w:r>
          </w:p>
        </w:tc>
      </w:tr>
      <w:tr w:rsidR="0011370A" w:rsidRPr="003A50B1" w14:paraId="07527F42" w14:textId="77777777" w:rsidTr="00095E67">
        <w:trPr>
          <w:cnfStyle w:val="000000100000" w:firstRow="0" w:lastRow="0" w:firstColumn="0" w:lastColumn="0" w:oddVBand="0" w:evenVBand="0" w:oddHBand="1" w:evenHBand="0" w:firstRowFirstColumn="0" w:firstRowLastColumn="0" w:lastRowFirstColumn="0" w:lastRowLastColumn="0"/>
          <w:trHeight w:val="865"/>
        </w:trPr>
        <w:tc>
          <w:tcPr>
            <w:tcW w:w="2405" w:type="dxa"/>
            <w:tcBorders>
              <w:bottom w:val="single" w:sz="4" w:space="0" w:color="auto"/>
            </w:tcBorders>
          </w:tcPr>
          <w:p w14:paraId="61C9B65C" w14:textId="77777777" w:rsidR="0011370A" w:rsidRPr="00E0473E" w:rsidRDefault="0011370A" w:rsidP="00E0473E">
            <w:pPr>
              <w:spacing w:before="60" w:after="120" w:line="276" w:lineRule="auto"/>
              <w:rPr>
                <w:rFonts w:cs="Arial"/>
                <w:sz w:val="22"/>
                <w:szCs w:val="22"/>
              </w:rPr>
            </w:pPr>
            <w:r w:rsidRPr="002120E7">
              <w:rPr>
                <w:rFonts w:cs="Arial"/>
                <w:b/>
                <w:bCs/>
                <w:sz w:val="22"/>
                <w:szCs w:val="22"/>
              </w:rPr>
              <w:t>Western Australia</w:t>
            </w:r>
            <w:r>
              <w:rPr>
                <w:rFonts w:cs="Arial"/>
                <w:b/>
                <w:bCs/>
                <w:sz w:val="22"/>
                <w:szCs w:val="22"/>
              </w:rPr>
              <w:t xml:space="preserve"> (3 sites)</w:t>
            </w:r>
          </w:p>
        </w:tc>
        <w:tc>
          <w:tcPr>
            <w:tcW w:w="1985" w:type="dxa"/>
            <w:tcBorders>
              <w:bottom w:val="single" w:sz="4" w:space="0" w:color="auto"/>
              <w:right w:val="nil"/>
            </w:tcBorders>
          </w:tcPr>
          <w:p w14:paraId="1265DAE4" w14:textId="77777777" w:rsidR="0011370A" w:rsidRPr="002120E7" w:rsidRDefault="0011370A" w:rsidP="006D1163">
            <w:pPr>
              <w:spacing w:before="60" w:after="120" w:line="276" w:lineRule="auto"/>
              <w:rPr>
                <w:rFonts w:cs="Arial"/>
                <w:sz w:val="22"/>
                <w:szCs w:val="22"/>
              </w:rPr>
            </w:pPr>
            <w:r w:rsidRPr="002120E7">
              <w:rPr>
                <w:rFonts w:cs="Arial"/>
                <w:sz w:val="22"/>
                <w:szCs w:val="22"/>
              </w:rPr>
              <w:t>Albany</w:t>
            </w:r>
          </w:p>
        </w:tc>
        <w:tc>
          <w:tcPr>
            <w:tcW w:w="2126" w:type="dxa"/>
            <w:tcBorders>
              <w:left w:val="nil"/>
              <w:bottom w:val="single" w:sz="4" w:space="0" w:color="auto"/>
              <w:right w:val="nil"/>
            </w:tcBorders>
          </w:tcPr>
          <w:p w14:paraId="688B0CC8" w14:textId="77777777" w:rsidR="0011370A" w:rsidRPr="002120E7" w:rsidRDefault="00095E67" w:rsidP="006D1163">
            <w:pPr>
              <w:spacing w:before="60" w:after="120"/>
              <w:rPr>
                <w:rFonts w:cs="Arial"/>
                <w:b/>
                <w:bCs/>
                <w:sz w:val="22"/>
                <w:szCs w:val="22"/>
              </w:rPr>
            </w:pPr>
            <w:r w:rsidRPr="002120E7">
              <w:rPr>
                <w:rFonts w:cs="Arial"/>
                <w:sz w:val="22"/>
                <w:szCs w:val="22"/>
              </w:rPr>
              <w:t>Denmark</w:t>
            </w:r>
          </w:p>
        </w:tc>
        <w:tc>
          <w:tcPr>
            <w:tcW w:w="2977" w:type="dxa"/>
            <w:gridSpan w:val="2"/>
            <w:tcBorders>
              <w:left w:val="nil"/>
              <w:bottom w:val="single" w:sz="4" w:space="0" w:color="auto"/>
            </w:tcBorders>
          </w:tcPr>
          <w:p w14:paraId="39763816" w14:textId="77777777" w:rsidR="0011370A" w:rsidRPr="002120E7" w:rsidRDefault="00095E67" w:rsidP="006D1163">
            <w:pPr>
              <w:spacing w:before="60" w:after="120"/>
              <w:rPr>
                <w:rFonts w:cs="Arial"/>
              </w:rPr>
            </w:pPr>
            <w:r w:rsidRPr="002120E7">
              <w:rPr>
                <w:rFonts w:cs="Arial"/>
                <w:sz w:val="22"/>
                <w:szCs w:val="22"/>
              </w:rPr>
              <w:t>Mount Barker</w:t>
            </w:r>
          </w:p>
        </w:tc>
      </w:tr>
      <w:tr w:rsidR="0011370A" w:rsidRPr="003A50B1" w14:paraId="6EEBF3D2" w14:textId="77777777" w:rsidTr="00095E67">
        <w:trPr>
          <w:cnfStyle w:val="000000010000" w:firstRow="0" w:lastRow="0" w:firstColumn="0" w:lastColumn="0" w:oddVBand="0" w:evenVBand="0" w:oddHBand="0" w:evenHBand="1" w:firstRowFirstColumn="0" w:firstRowLastColumn="0" w:lastRowFirstColumn="0" w:lastRowLastColumn="0"/>
          <w:trHeight w:val="929"/>
        </w:trPr>
        <w:tc>
          <w:tcPr>
            <w:tcW w:w="2405" w:type="dxa"/>
            <w:tcBorders>
              <w:bottom w:val="single" w:sz="4" w:space="0" w:color="auto"/>
            </w:tcBorders>
          </w:tcPr>
          <w:p w14:paraId="02E8C399" w14:textId="77777777" w:rsidR="0011370A" w:rsidRPr="002120E7" w:rsidRDefault="0011370A" w:rsidP="006D1163">
            <w:pPr>
              <w:spacing w:before="60" w:after="120" w:line="276" w:lineRule="auto"/>
              <w:rPr>
                <w:rFonts w:cs="Arial"/>
                <w:sz w:val="22"/>
                <w:szCs w:val="22"/>
              </w:rPr>
            </w:pPr>
            <w:r w:rsidRPr="002120E7">
              <w:rPr>
                <w:rFonts w:cs="Arial"/>
                <w:b/>
                <w:bCs/>
                <w:sz w:val="22"/>
                <w:szCs w:val="22"/>
              </w:rPr>
              <w:t>Tasmania</w:t>
            </w:r>
            <w:r>
              <w:rPr>
                <w:rFonts w:cs="Arial"/>
                <w:b/>
                <w:bCs/>
                <w:sz w:val="22"/>
                <w:szCs w:val="22"/>
              </w:rPr>
              <w:t xml:space="preserve"> (6 sites)</w:t>
            </w:r>
          </w:p>
        </w:tc>
        <w:tc>
          <w:tcPr>
            <w:tcW w:w="1985" w:type="dxa"/>
            <w:tcBorders>
              <w:bottom w:val="single" w:sz="4" w:space="0" w:color="auto"/>
              <w:right w:val="nil"/>
            </w:tcBorders>
          </w:tcPr>
          <w:p w14:paraId="36A47609" w14:textId="77777777" w:rsidR="0011370A" w:rsidRPr="009D0110" w:rsidRDefault="0011370A" w:rsidP="00593192">
            <w:pPr>
              <w:pStyle w:val="ListBullet2"/>
              <w:numPr>
                <w:ilvl w:val="0"/>
                <w:numId w:val="0"/>
              </w:numPr>
              <w:spacing w:before="60" w:after="120"/>
              <w:ind w:left="369" w:hanging="369"/>
              <w:rPr>
                <w:rFonts w:asciiTheme="minorHAnsi" w:hAnsiTheme="minorHAnsi"/>
              </w:rPr>
            </w:pPr>
            <w:r w:rsidRPr="009D0110">
              <w:rPr>
                <w:rFonts w:cs="Arial"/>
                <w:sz w:val="22"/>
                <w:szCs w:val="22"/>
              </w:rPr>
              <w:t>Musselroe</w:t>
            </w:r>
          </w:p>
          <w:p w14:paraId="5E510C9D" w14:textId="77777777" w:rsidR="0011370A" w:rsidRPr="009D0110" w:rsidRDefault="0011370A" w:rsidP="00095E67">
            <w:pPr>
              <w:pStyle w:val="ListBullet2"/>
              <w:numPr>
                <w:ilvl w:val="0"/>
                <w:numId w:val="0"/>
              </w:numPr>
              <w:spacing w:before="60" w:after="120"/>
              <w:ind w:left="369" w:hanging="369"/>
              <w:rPr>
                <w:rFonts w:cs="Arial"/>
                <w:sz w:val="22"/>
              </w:rPr>
            </w:pPr>
            <w:r w:rsidRPr="009D0110">
              <w:rPr>
                <w:rFonts w:cs="Arial"/>
                <w:sz w:val="22"/>
              </w:rPr>
              <w:t xml:space="preserve">Robbins Island </w:t>
            </w:r>
          </w:p>
        </w:tc>
        <w:tc>
          <w:tcPr>
            <w:tcW w:w="2126" w:type="dxa"/>
            <w:tcBorders>
              <w:left w:val="nil"/>
              <w:bottom w:val="single" w:sz="4" w:space="0" w:color="auto"/>
              <w:right w:val="nil"/>
            </w:tcBorders>
          </w:tcPr>
          <w:p w14:paraId="665DCF9B" w14:textId="77777777" w:rsidR="00095E67" w:rsidRDefault="00095E67" w:rsidP="00593192">
            <w:pPr>
              <w:pStyle w:val="ListBullet2"/>
              <w:numPr>
                <w:ilvl w:val="0"/>
                <w:numId w:val="0"/>
              </w:numPr>
              <w:spacing w:before="60" w:after="120"/>
              <w:ind w:left="369" w:hanging="369"/>
              <w:rPr>
                <w:rFonts w:cs="Arial"/>
                <w:sz w:val="22"/>
              </w:rPr>
            </w:pPr>
            <w:r w:rsidRPr="009D0110">
              <w:rPr>
                <w:rFonts w:cs="Arial"/>
                <w:sz w:val="22"/>
              </w:rPr>
              <w:t>Jims Plains</w:t>
            </w:r>
          </w:p>
          <w:p w14:paraId="37F24EB7" w14:textId="77777777" w:rsidR="0011370A" w:rsidRPr="00095E67" w:rsidRDefault="0011370A" w:rsidP="00095E67">
            <w:pPr>
              <w:pStyle w:val="ListBullet2"/>
              <w:numPr>
                <w:ilvl w:val="0"/>
                <w:numId w:val="0"/>
              </w:numPr>
              <w:spacing w:before="60" w:after="120"/>
              <w:ind w:left="369" w:hanging="369"/>
              <w:rPr>
                <w:rFonts w:cs="Arial"/>
                <w:sz w:val="22"/>
              </w:rPr>
            </w:pPr>
            <w:r w:rsidRPr="009D0110">
              <w:rPr>
                <w:rFonts w:cs="Arial"/>
                <w:sz w:val="22"/>
              </w:rPr>
              <w:t>Cattle Hill</w:t>
            </w:r>
          </w:p>
        </w:tc>
        <w:tc>
          <w:tcPr>
            <w:tcW w:w="2977" w:type="dxa"/>
            <w:gridSpan w:val="2"/>
            <w:tcBorders>
              <w:left w:val="nil"/>
              <w:bottom w:val="single" w:sz="4" w:space="0" w:color="auto"/>
            </w:tcBorders>
          </w:tcPr>
          <w:p w14:paraId="65C2A16A" w14:textId="77777777" w:rsidR="00095E67" w:rsidRPr="009D0110" w:rsidRDefault="00095E67" w:rsidP="00095E67">
            <w:pPr>
              <w:pStyle w:val="ListBullet2"/>
              <w:numPr>
                <w:ilvl w:val="0"/>
                <w:numId w:val="0"/>
              </w:numPr>
              <w:spacing w:before="60" w:after="120"/>
              <w:ind w:left="369" w:hanging="369"/>
              <w:rPr>
                <w:rFonts w:asciiTheme="minorHAnsi" w:hAnsiTheme="minorHAnsi"/>
              </w:rPr>
            </w:pPr>
            <w:r w:rsidRPr="009D0110">
              <w:rPr>
                <w:rFonts w:cs="Arial"/>
                <w:sz w:val="22"/>
              </w:rPr>
              <w:t>St Patricks Plains</w:t>
            </w:r>
          </w:p>
          <w:p w14:paraId="76B73EAA" w14:textId="77777777" w:rsidR="0011370A" w:rsidRPr="009D0110" w:rsidRDefault="00095E67" w:rsidP="00095E67">
            <w:pPr>
              <w:pStyle w:val="ListBullet2"/>
              <w:numPr>
                <w:ilvl w:val="0"/>
                <w:numId w:val="0"/>
              </w:numPr>
              <w:spacing w:before="60" w:after="120"/>
              <w:ind w:left="369" w:hanging="369"/>
              <w:rPr>
                <w:rFonts w:cs="Arial"/>
              </w:rPr>
            </w:pPr>
            <w:r>
              <w:rPr>
                <w:rFonts w:cs="Arial"/>
                <w:sz w:val="22"/>
              </w:rPr>
              <w:t>Western Plains</w:t>
            </w:r>
          </w:p>
        </w:tc>
      </w:tr>
      <w:tr w:rsidR="0011370A" w:rsidRPr="003A50B1" w14:paraId="3881F465" w14:textId="77777777" w:rsidTr="00095E67">
        <w:trPr>
          <w:cnfStyle w:val="000000100000" w:firstRow="0" w:lastRow="0" w:firstColumn="0" w:lastColumn="0" w:oddVBand="0" w:evenVBand="0" w:oddHBand="1" w:evenHBand="0" w:firstRowFirstColumn="0" w:firstRowLastColumn="0" w:lastRowFirstColumn="0" w:lastRowLastColumn="0"/>
        </w:trPr>
        <w:tc>
          <w:tcPr>
            <w:tcW w:w="8075" w:type="dxa"/>
            <w:gridSpan w:val="4"/>
            <w:tcBorders>
              <w:top w:val="single" w:sz="4" w:space="0" w:color="auto"/>
              <w:left w:val="nil"/>
              <w:bottom w:val="nil"/>
              <w:right w:val="nil"/>
            </w:tcBorders>
          </w:tcPr>
          <w:p w14:paraId="6CF5A710" w14:textId="77777777" w:rsidR="0011370A" w:rsidRPr="00EE581A" w:rsidRDefault="0011370A" w:rsidP="009E114B">
            <w:pPr>
              <w:spacing w:before="240" w:after="120"/>
              <w:rPr>
                <w:rFonts w:cs="Arial"/>
                <w:b/>
                <w:bCs/>
                <w:sz w:val="22"/>
                <w:szCs w:val="22"/>
              </w:rPr>
            </w:pPr>
            <w:r w:rsidRPr="00EE581A">
              <w:rPr>
                <w:rFonts w:cs="Arial"/>
                <w:b/>
                <w:bCs/>
                <w:sz w:val="22"/>
                <w:szCs w:val="22"/>
              </w:rPr>
              <w:t xml:space="preserve">Table </w:t>
            </w:r>
            <w:r w:rsidR="009E114B">
              <w:rPr>
                <w:rFonts w:cs="Arial"/>
                <w:b/>
                <w:bCs/>
                <w:sz w:val="22"/>
                <w:szCs w:val="22"/>
              </w:rPr>
              <w:t>2</w:t>
            </w:r>
            <w:r w:rsidRPr="00EE581A">
              <w:rPr>
                <w:rFonts w:cs="Arial"/>
                <w:b/>
                <w:bCs/>
                <w:sz w:val="22"/>
                <w:szCs w:val="22"/>
              </w:rPr>
              <w:t xml:space="preserve">: List of </w:t>
            </w:r>
            <w:r>
              <w:rPr>
                <w:rFonts w:cs="Arial"/>
                <w:b/>
                <w:bCs/>
                <w:sz w:val="22"/>
                <w:szCs w:val="22"/>
              </w:rPr>
              <w:t>other renewable s</w:t>
            </w:r>
            <w:r w:rsidR="00095E67">
              <w:rPr>
                <w:rFonts w:cs="Arial"/>
                <w:b/>
                <w:bCs/>
                <w:sz w:val="22"/>
                <w:szCs w:val="22"/>
              </w:rPr>
              <w:t xml:space="preserve">ites visited </w:t>
            </w:r>
            <w:r w:rsidR="003B7002">
              <w:rPr>
                <w:rFonts w:cs="Arial"/>
                <w:b/>
                <w:bCs/>
                <w:sz w:val="22"/>
                <w:szCs w:val="22"/>
              </w:rPr>
              <w:t>since 2018</w:t>
            </w:r>
            <w:r w:rsidRPr="00EE581A">
              <w:rPr>
                <w:rFonts w:cs="Arial"/>
                <w:b/>
                <w:bCs/>
                <w:sz w:val="22"/>
                <w:szCs w:val="22"/>
              </w:rPr>
              <w:t>:</w:t>
            </w:r>
          </w:p>
        </w:tc>
        <w:tc>
          <w:tcPr>
            <w:tcW w:w="1418" w:type="dxa"/>
            <w:tcBorders>
              <w:top w:val="single" w:sz="4" w:space="0" w:color="auto"/>
              <w:left w:val="nil"/>
              <w:bottom w:val="nil"/>
              <w:right w:val="nil"/>
            </w:tcBorders>
          </w:tcPr>
          <w:p w14:paraId="271700AF" w14:textId="77777777" w:rsidR="0011370A" w:rsidRPr="00EE581A" w:rsidRDefault="0011370A" w:rsidP="00593192">
            <w:pPr>
              <w:spacing w:before="240" w:after="120"/>
              <w:rPr>
                <w:rFonts w:cs="Arial"/>
                <w:b/>
                <w:bCs/>
              </w:rPr>
            </w:pPr>
          </w:p>
        </w:tc>
      </w:tr>
    </w:tbl>
    <w:tbl>
      <w:tblPr>
        <w:tblStyle w:val="TableGrid1"/>
        <w:tblW w:w="9493" w:type="dxa"/>
        <w:tblInd w:w="5" w:type="dxa"/>
        <w:tblLayout w:type="fixed"/>
        <w:tblLook w:val="04A0" w:firstRow="1" w:lastRow="0" w:firstColumn="1" w:lastColumn="0" w:noHBand="0" w:noVBand="1"/>
      </w:tblPr>
      <w:tblGrid>
        <w:gridCol w:w="2972"/>
        <w:gridCol w:w="2977"/>
        <w:gridCol w:w="3544"/>
      </w:tblGrid>
      <w:tr w:rsidR="006D1163" w:rsidRPr="003A50B1" w14:paraId="32D6B8CD" w14:textId="77777777" w:rsidTr="006D1163">
        <w:tc>
          <w:tcPr>
            <w:tcW w:w="2972" w:type="dxa"/>
            <w:shd w:val="clear" w:color="auto" w:fill="DBE5F1" w:themeFill="accent1" w:themeFillTint="33"/>
          </w:tcPr>
          <w:p w14:paraId="6C8990B8" w14:textId="77777777" w:rsidR="006D1163" w:rsidRPr="003A50B1" w:rsidRDefault="006D1163" w:rsidP="006D1163">
            <w:pPr>
              <w:spacing w:before="120" w:after="120"/>
              <w:jc w:val="center"/>
              <w:rPr>
                <w:rFonts w:cs="Arial"/>
                <w:b/>
                <w:bCs/>
              </w:rPr>
            </w:pPr>
            <w:r w:rsidRPr="003A50B1">
              <w:rPr>
                <w:rFonts w:cs="Arial"/>
                <w:b/>
                <w:bCs/>
              </w:rPr>
              <w:t>State</w:t>
            </w:r>
          </w:p>
        </w:tc>
        <w:tc>
          <w:tcPr>
            <w:tcW w:w="6521" w:type="dxa"/>
            <w:gridSpan w:val="2"/>
            <w:shd w:val="clear" w:color="auto" w:fill="DBE5F1" w:themeFill="accent1" w:themeFillTint="33"/>
          </w:tcPr>
          <w:p w14:paraId="7481CE5D" w14:textId="77777777" w:rsidR="006D1163" w:rsidRPr="003A50B1" w:rsidRDefault="006D1163" w:rsidP="006D1163">
            <w:pPr>
              <w:spacing w:before="120" w:after="120"/>
              <w:jc w:val="center"/>
              <w:rPr>
                <w:rFonts w:cs="Arial"/>
                <w:b/>
                <w:bCs/>
              </w:rPr>
            </w:pPr>
            <w:r>
              <w:rPr>
                <w:rFonts w:cs="Arial"/>
                <w:b/>
                <w:bCs/>
              </w:rPr>
              <w:t>Solar</w:t>
            </w:r>
            <w:r w:rsidRPr="003A50B1">
              <w:rPr>
                <w:rFonts w:cs="Arial"/>
                <w:b/>
                <w:bCs/>
              </w:rPr>
              <w:t xml:space="preserve"> farm</w:t>
            </w:r>
          </w:p>
        </w:tc>
      </w:tr>
      <w:tr w:rsidR="006D1163" w:rsidRPr="003A50B1" w14:paraId="45E05BD9" w14:textId="77777777" w:rsidTr="00095E67">
        <w:trPr>
          <w:trHeight w:val="2131"/>
        </w:trPr>
        <w:tc>
          <w:tcPr>
            <w:tcW w:w="2972" w:type="dxa"/>
          </w:tcPr>
          <w:p w14:paraId="727C636A" w14:textId="77777777" w:rsidR="006D1163" w:rsidRPr="003A50B1" w:rsidRDefault="006D1163" w:rsidP="006D1163">
            <w:pPr>
              <w:spacing w:before="60" w:after="120" w:line="276" w:lineRule="auto"/>
              <w:rPr>
                <w:rFonts w:cs="Arial"/>
              </w:rPr>
            </w:pPr>
            <w:r>
              <w:rPr>
                <w:rFonts w:cs="Arial"/>
                <w:b/>
                <w:bCs/>
              </w:rPr>
              <w:t>New South Wales (</w:t>
            </w:r>
            <w:r w:rsidR="009D0110">
              <w:rPr>
                <w:rFonts w:cs="Arial"/>
                <w:b/>
                <w:bCs/>
              </w:rPr>
              <w:t>5</w:t>
            </w:r>
            <w:r w:rsidR="00F60F44">
              <w:rPr>
                <w:rFonts w:cs="Arial"/>
                <w:b/>
                <w:bCs/>
              </w:rPr>
              <w:t xml:space="preserve"> </w:t>
            </w:r>
            <w:r>
              <w:rPr>
                <w:rFonts w:cs="Arial"/>
                <w:b/>
                <w:bCs/>
              </w:rPr>
              <w:t>sites)</w:t>
            </w:r>
          </w:p>
          <w:p w14:paraId="28FEDCA2" w14:textId="77777777" w:rsidR="006D1163" w:rsidRPr="003A50B1" w:rsidRDefault="006D1163" w:rsidP="006D1163">
            <w:pPr>
              <w:spacing w:before="60" w:after="120"/>
              <w:rPr>
                <w:rFonts w:cs="Arial"/>
                <w:b/>
                <w:bCs/>
              </w:rPr>
            </w:pPr>
          </w:p>
        </w:tc>
        <w:tc>
          <w:tcPr>
            <w:tcW w:w="2977" w:type="dxa"/>
            <w:tcBorders>
              <w:right w:val="nil"/>
            </w:tcBorders>
          </w:tcPr>
          <w:p w14:paraId="546307E5" w14:textId="77777777" w:rsidR="00F60F44" w:rsidRDefault="00F60F44" w:rsidP="00F60F44">
            <w:pPr>
              <w:spacing w:before="60" w:after="120" w:line="276" w:lineRule="auto"/>
              <w:rPr>
                <w:rFonts w:cs="Arial"/>
              </w:rPr>
            </w:pPr>
            <w:r>
              <w:rPr>
                <w:rFonts w:cs="Arial"/>
              </w:rPr>
              <w:t>Jemalong CSP Pilot Plant</w:t>
            </w:r>
          </w:p>
          <w:p w14:paraId="7632BC3F" w14:textId="77777777" w:rsidR="006D1163" w:rsidRDefault="006D1163" w:rsidP="006D1163">
            <w:pPr>
              <w:spacing w:before="60" w:after="120" w:line="276" w:lineRule="auto"/>
              <w:rPr>
                <w:rFonts w:cs="Arial"/>
              </w:rPr>
            </w:pPr>
            <w:r>
              <w:rPr>
                <w:rFonts w:cs="Arial"/>
              </w:rPr>
              <w:t>Parkes Solar Farm</w:t>
            </w:r>
          </w:p>
          <w:p w14:paraId="136CB7D9" w14:textId="77777777" w:rsidR="00F60F44" w:rsidRDefault="00F60F44" w:rsidP="00F60F44">
            <w:pPr>
              <w:spacing w:before="60" w:after="120"/>
              <w:rPr>
                <w:rFonts w:cs="Arial"/>
              </w:rPr>
            </w:pPr>
            <w:r>
              <w:rPr>
                <w:rFonts w:cs="Arial"/>
              </w:rPr>
              <w:t>New England Solar Farm</w:t>
            </w:r>
          </w:p>
          <w:p w14:paraId="4CD5B628" w14:textId="77777777" w:rsidR="00F60F44" w:rsidRDefault="00F60F44" w:rsidP="00F60F44">
            <w:pPr>
              <w:spacing w:before="60" w:after="120"/>
              <w:rPr>
                <w:rFonts w:cs="Arial"/>
              </w:rPr>
            </w:pPr>
            <w:r>
              <w:rPr>
                <w:rFonts w:cs="Arial"/>
              </w:rPr>
              <w:t>Walcha Solar Farm</w:t>
            </w:r>
          </w:p>
          <w:p w14:paraId="3DB9EA75" w14:textId="77777777" w:rsidR="008671BD" w:rsidRPr="003A50B1" w:rsidRDefault="008671BD" w:rsidP="00F60F44">
            <w:pPr>
              <w:spacing w:before="60" w:after="120"/>
              <w:rPr>
                <w:rFonts w:cs="Arial"/>
              </w:rPr>
            </w:pPr>
            <w:r w:rsidRPr="009D0110">
              <w:rPr>
                <w:rFonts w:cs="Arial"/>
              </w:rPr>
              <w:t>Bomen Solar Farm</w:t>
            </w:r>
          </w:p>
        </w:tc>
        <w:tc>
          <w:tcPr>
            <w:tcW w:w="3544" w:type="dxa"/>
            <w:tcBorders>
              <w:left w:val="nil"/>
            </w:tcBorders>
          </w:tcPr>
          <w:p w14:paraId="206460C0" w14:textId="77777777" w:rsidR="006D1163" w:rsidRPr="003A50B1" w:rsidRDefault="006D1163" w:rsidP="006D1163">
            <w:pPr>
              <w:spacing w:before="60" w:after="120"/>
              <w:rPr>
                <w:rFonts w:cs="Arial"/>
                <w:b/>
                <w:bCs/>
              </w:rPr>
            </w:pPr>
          </w:p>
        </w:tc>
      </w:tr>
      <w:tr w:rsidR="00593192" w:rsidRPr="003A50B1" w14:paraId="0CA0EEF8" w14:textId="77777777" w:rsidTr="006D1163">
        <w:tc>
          <w:tcPr>
            <w:tcW w:w="2972" w:type="dxa"/>
          </w:tcPr>
          <w:p w14:paraId="4B307337" w14:textId="77777777" w:rsidR="00593192" w:rsidRDefault="00593192" w:rsidP="006D1163">
            <w:pPr>
              <w:spacing w:before="60" w:after="120"/>
              <w:rPr>
                <w:rFonts w:cs="Arial"/>
                <w:b/>
                <w:bCs/>
              </w:rPr>
            </w:pPr>
            <w:r>
              <w:rPr>
                <w:rFonts w:cs="Arial"/>
                <w:b/>
                <w:bCs/>
              </w:rPr>
              <w:t>South Australia</w:t>
            </w:r>
          </w:p>
        </w:tc>
        <w:tc>
          <w:tcPr>
            <w:tcW w:w="2977" w:type="dxa"/>
            <w:tcBorders>
              <w:right w:val="nil"/>
            </w:tcBorders>
          </w:tcPr>
          <w:p w14:paraId="1CC0E797" w14:textId="77777777" w:rsidR="00593192" w:rsidRDefault="00593192" w:rsidP="00F60F44">
            <w:pPr>
              <w:spacing w:before="60" w:after="120"/>
              <w:rPr>
                <w:rFonts w:cs="Arial"/>
              </w:rPr>
            </w:pPr>
            <w:r w:rsidRPr="009D0110">
              <w:rPr>
                <w:rFonts w:cs="Arial"/>
              </w:rPr>
              <w:t>Hornsdale</w:t>
            </w:r>
            <w:r w:rsidR="009D0110" w:rsidRPr="009D0110">
              <w:rPr>
                <w:rFonts w:cs="Arial"/>
              </w:rPr>
              <w:t xml:space="preserve"> Power Reserve</w:t>
            </w:r>
          </w:p>
        </w:tc>
        <w:tc>
          <w:tcPr>
            <w:tcW w:w="3544" w:type="dxa"/>
            <w:tcBorders>
              <w:left w:val="nil"/>
            </w:tcBorders>
          </w:tcPr>
          <w:p w14:paraId="2F8140D5" w14:textId="77777777" w:rsidR="00593192" w:rsidRPr="003A50B1" w:rsidRDefault="00593192" w:rsidP="006D1163">
            <w:pPr>
              <w:spacing w:before="60" w:after="120"/>
              <w:rPr>
                <w:rFonts w:cs="Arial"/>
                <w:b/>
                <w:bCs/>
              </w:rPr>
            </w:pPr>
          </w:p>
        </w:tc>
      </w:tr>
    </w:tbl>
    <w:p w14:paraId="127FEF8E" w14:textId="69B7DCE1" w:rsidR="002C1C98" w:rsidRPr="000C1D10" w:rsidRDefault="002C1C98" w:rsidP="002C1C98">
      <w:pPr>
        <w:pStyle w:val="ListBullet"/>
        <w:rPr>
          <w:rFonts w:cstheme="minorHAnsi"/>
        </w:rPr>
      </w:pPr>
      <w:r>
        <w:rPr>
          <w:rFonts w:cstheme="minorHAnsi"/>
        </w:rPr>
        <w:lastRenderedPageBreak/>
        <w:t xml:space="preserve">ongoing meetings with industry manufacturers to discuss </w:t>
      </w:r>
      <w:r>
        <w:rPr>
          <w:lang w:eastAsia="en-AU"/>
        </w:rPr>
        <w:t>identified potential systemic issues and establish how learnings can be applied to the wider industry.</w:t>
      </w:r>
    </w:p>
    <w:p w14:paraId="5DB05957" w14:textId="513E3C3E" w:rsidR="00BA58DD" w:rsidRDefault="00BA58DD" w:rsidP="001C6F9E">
      <w:pPr>
        <w:spacing w:line="264" w:lineRule="auto"/>
      </w:pPr>
      <w:r>
        <w:t xml:space="preserve">The Commissioner is also a member of a number of committees and </w:t>
      </w:r>
      <w:r w:rsidR="00735684">
        <w:t xml:space="preserve">industry </w:t>
      </w:r>
      <w:r>
        <w:t>reference groups</w:t>
      </w:r>
      <w:r w:rsidR="00735684">
        <w:t>. Further information on this is available below.</w:t>
      </w:r>
    </w:p>
    <w:p w14:paraId="13AF4ACA" w14:textId="77777777" w:rsidR="00E924A8" w:rsidRPr="00B1039C" w:rsidRDefault="00E924A8" w:rsidP="001C6F9E">
      <w:pPr>
        <w:spacing w:line="264" w:lineRule="auto"/>
      </w:pPr>
      <w:r w:rsidRPr="001C6F9E">
        <w:t xml:space="preserve">The Commissioner will maintain </w:t>
      </w:r>
      <w:r w:rsidR="00B1039C" w:rsidRPr="001C6F9E">
        <w:rPr>
          <w:rFonts w:cs="Arial"/>
        </w:rPr>
        <w:t xml:space="preserve">a strong focus on identifying </w:t>
      </w:r>
      <w:r w:rsidR="00B1039C" w:rsidRPr="001C6F9E">
        <w:t xml:space="preserve">opportunities for improvement </w:t>
      </w:r>
      <w:r w:rsidR="00B1039C" w:rsidRPr="001C6F9E">
        <w:rPr>
          <w:rFonts w:cs="Arial"/>
        </w:rPr>
        <w:t>as well as supporting industry to ensure that proponents are aware of best practices</w:t>
      </w:r>
      <w:r w:rsidR="00413DBE" w:rsidRPr="001C6F9E">
        <w:rPr>
          <w:rFonts w:cs="Arial"/>
        </w:rPr>
        <w:t xml:space="preserve">, </w:t>
      </w:r>
      <w:r w:rsidR="00413DBE" w:rsidRPr="001C6F9E">
        <w:rPr>
          <w:rFonts w:cs="Arial"/>
          <w:color w:val="000000"/>
        </w:rPr>
        <w:t>affected communities are properly consulted and that project information remains transparent and easily accessible.</w:t>
      </w:r>
    </w:p>
    <w:p w14:paraId="46D4DC95" w14:textId="77777777" w:rsidR="005874E7" w:rsidRDefault="005874E7" w:rsidP="002D4470">
      <w:pPr>
        <w:pStyle w:val="Heading2"/>
      </w:pPr>
      <w:bookmarkStart w:id="28" w:name="_Toc84430823"/>
      <w:r w:rsidRPr="00F47E6D">
        <w:t>Government</w:t>
      </w:r>
      <w:bookmarkEnd w:id="28"/>
    </w:p>
    <w:p w14:paraId="6F1F189E" w14:textId="77777777" w:rsidR="00BB1645" w:rsidRDefault="005E5E94" w:rsidP="00CF0A0A">
      <w:pPr>
        <w:spacing w:line="264" w:lineRule="auto"/>
        <w:rPr>
          <w:rFonts w:cs="Arial"/>
        </w:rPr>
      </w:pPr>
      <w:r>
        <w:rPr>
          <w:rFonts w:cs="Arial"/>
        </w:rPr>
        <w:t>T</w:t>
      </w:r>
      <w:r w:rsidRPr="00C479CC">
        <w:rPr>
          <w:rFonts w:cs="Arial"/>
        </w:rPr>
        <w:t xml:space="preserve">he Commissioner continues to </w:t>
      </w:r>
      <w:r w:rsidR="00BB1645">
        <w:rPr>
          <w:rFonts w:cs="Arial"/>
        </w:rPr>
        <w:t>engage</w:t>
      </w:r>
      <w:r w:rsidRPr="00C479CC">
        <w:rPr>
          <w:rFonts w:cs="Arial"/>
        </w:rPr>
        <w:t xml:space="preserve"> </w:t>
      </w:r>
      <w:r>
        <w:rPr>
          <w:rFonts w:cs="Arial"/>
        </w:rPr>
        <w:t xml:space="preserve">regularly </w:t>
      </w:r>
      <w:r w:rsidRPr="00C479CC">
        <w:rPr>
          <w:rFonts w:cs="Arial"/>
        </w:rPr>
        <w:t>with federal, state and local governments</w:t>
      </w:r>
      <w:r w:rsidR="00380608">
        <w:rPr>
          <w:rFonts w:cs="Arial"/>
        </w:rPr>
        <w:t xml:space="preserve"> </w:t>
      </w:r>
      <w:r w:rsidR="00904CA7">
        <w:rPr>
          <w:rFonts w:cs="Arial"/>
        </w:rPr>
        <w:t>and</w:t>
      </w:r>
      <w:r w:rsidR="001702E0">
        <w:rPr>
          <w:rFonts w:cs="Arial"/>
        </w:rPr>
        <w:t xml:space="preserve"> parliamentarians </w:t>
      </w:r>
      <w:r w:rsidRPr="00C479CC">
        <w:rPr>
          <w:rFonts w:cs="Arial"/>
        </w:rPr>
        <w:t xml:space="preserve">to provide briefings </w:t>
      </w:r>
      <w:r w:rsidR="00E7097B">
        <w:rPr>
          <w:rFonts w:cs="Arial"/>
        </w:rPr>
        <w:t xml:space="preserve">as well </w:t>
      </w:r>
      <w:r w:rsidRPr="00C479CC">
        <w:rPr>
          <w:rFonts w:cs="Arial"/>
        </w:rPr>
        <w:t>a</w:t>
      </w:r>
      <w:r w:rsidR="00E7097B">
        <w:rPr>
          <w:rFonts w:cs="Arial"/>
        </w:rPr>
        <w:t>s</w:t>
      </w:r>
      <w:r w:rsidRPr="00C479CC">
        <w:rPr>
          <w:rFonts w:cs="Arial"/>
        </w:rPr>
        <w:t xml:space="preserve"> </w:t>
      </w:r>
      <w:r w:rsidR="00E7097B">
        <w:rPr>
          <w:rFonts w:cs="Arial"/>
        </w:rPr>
        <w:t>promote the adoption of best practices and reforms arising from the Commissioner’s observations and recommendations.</w:t>
      </w:r>
    </w:p>
    <w:p w14:paraId="17005319" w14:textId="77777777" w:rsidR="001702E0" w:rsidRDefault="001702E0" w:rsidP="00904CA7">
      <w:pPr>
        <w:pStyle w:val="gmail-p1"/>
        <w:spacing w:before="0" w:beforeAutospacing="0" w:after="200" w:afterAutospacing="0" w:line="264" w:lineRule="auto"/>
        <w:rPr>
          <w:rFonts w:ascii="Arial" w:hAnsi="Arial" w:cs="Arial"/>
          <w:sz w:val="22"/>
          <w:szCs w:val="22"/>
        </w:rPr>
      </w:pPr>
      <w:r w:rsidRPr="001702E0">
        <w:rPr>
          <w:rFonts w:ascii="Arial" w:hAnsi="Arial" w:cs="Arial"/>
          <w:sz w:val="22"/>
          <w:szCs w:val="22"/>
        </w:rPr>
        <w:t xml:space="preserve">The Commissioner </w:t>
      </w:r>
      <w:r>
        <w:rPr>
          <w:rFonts w:ascii="Arial" w:hAnsi="Arial" w:cs="Arial"/>
          <w:sz w:val="22"/>
          <w:szCs w:val="22"/>
        </w:rPr>
        <w:t>maintains</w:t>
      </w:r>
      <w:r w:rsidRPr="001702E0">
        <w:rPr>
          <w:rFonts w:ascii="Arial" w:hAnsi="Arial" w:cs="Arial"/>
          <w:sz w:val="22"/>
          <w:szCs w:val="22"/>
        </w:rPr>
        <w:t xml:space="preserve"> an extensive network of government agency stakeholders. As with the Commissioner’s industry stakeholders, a large of number of agencies </w:t>
      </w:r>
      <w:r>
        <w:rPr>
          <w:rFonts w:ascii="Arial" w:hAnsi="Arial" w:cs="Arial"/>
          <w:sz w:val="22"/>
          <w:szCs w:val="22"/>
        </w:rPr>
        <w:t>continue to</w:t>
      </w:r>
      <w:r w:rsidRPr="001702E0">
        <w:rPr>
          <w:rFonts w:ascii="Arial" w:hAnsi="Arial" w:cs="Arial"/>
          <w:sz w:val="22"/>
          <w:szCs w:val="22"/>
        </w:rPr>
        <w:t xml:space="preserve"> approach the Office for advice on social licence and community engagement matters for new large-scale projects and initiatives, such as Energy Networks Australia, </w:t>
      </w:r>
      <w:r w:rsidR="00986D31">
        <w:rPr>
          <w:rFonts w:ascii="Arial" w:hAnsi="Arial" w:cs="Arial"/>
          <w:sz w:val="22"/>
          <w:szCs w:val="22"/>
        </w:rPr>
        <w:t>Energy Safe Victoria,</w:t>
      </w:r>
      <w:r w:rsidR="002F15DC">
        <w:rPr>
          <w:rFonts w:ascii="Arial" w:hAnsi="Arial" w:cs="Arial"/>
          <w:sz w:val="22"/>
          <w:szCs w:val="22"/>
        </w:rPr>
        <w:t xml:space="preserve"> Workplace Health and Safety Queensland,</w:t>
      </w:r>
      <w:r w:rsidR="00986D31">
        <w:rPr>
          <w:rFonts w:ascii="Arial" w:hAnsi="Arial" w:cs="Arial"/>
          <w:sz w:val="22"/>
          <w:szCs w:val="22"/>
        </w:rPr>
        <w:t xml:space="preserve"> </w:t>
      </w:r>
      <w:r w:rsidRPr="001702E0">
        <w:rPr>
          <w:rFonts w:ascii="Arial" w:hAnsi="Arial" w:cs="Arial"/>
          <w:sz w:val="22"/>
          <w:szCs w:val="22"/>
        </w:rPr>
        <w:t xml:space="preserve">WorkSafe </w:t>
      </w:r>
      <w:r w:rsidR="002F15DC">
        <w:rPr>
          <w:rFonts w:ascii="Arial" w:hAnsi="Arial" w:cs="Arial"/>
          <w:sz w:val="22"/>
          <w:szCs w:val="22"/>
        </w:rPr>
        <w:t xml:space="preserve">Victoria </w:t>
      </w:r>
      <w:r w:rsidRPr="001702E0">
        <w:rPr>
          <w:rFonts w:ascii="Arial" w:hAnsi="Arial" w:cs="Arial"/>
          <w:sz w:val="22"/>
          <w:szCs w:val="22"/>
        </w:rPr>
        <w:t xml:space="preserve">and the </w:t>
      </w:r>
      <w:r>
        <w:rPr>
          <w:rFonts w:ascii="Arial" w:hAnsi="Arial" w:cs="Arial"/>
          <w:sz w:val="22"/>
          <w:szCs w:val="22"/>
        </w:rPr>
        <w:t>Human Rights Commissioner.</w:t>
      </w:r>
    </w:p>
    <w:p w14:paraId="02809691" w14:textId="77777777" w:rsidR="001702E0" w:rsidRPr="001702E0" w:rsidRDefault="001702E0" w:rsidP="00904CA7">
      <w:pPr>
        <w:pStyle w:val="gmail-p1"/>
        <w:spacing w:before="0" w:beforeAutospacing="0" w:after="200" w:afterAutospacing="0" w:line="264" w:lineRule="auto"/>
        <w:rPr>
          <w:rFonts w:ascii="Arial" w:hAnsi="Arial" w:cs="Arial"/>
          <w:sz w:val="22"/>
          <w:szCs w:val="22"/>
        </w:rPr>
      </w:pPr>
      <w:r>
        <w:rPr>
          <w:rFonts w:ascii="Arial" w:hAnsi="Arial" w:cs="Arial"/>
          <w:sz w:val="22"/>
          <w:szCs w:val="22"/>
        </w:rPr>
        <w:t>In particular</w:t>
      </w:r>
      <w:r w:rsidR="00145944">
        <w:rPr>
          <w:rFonts w:ascii="Arial" w:hAnsi="Arial" w:cs="Arial"/>
          <w:sz w:val="22"/>
          <w:szCs w:val="22"/>
        </w:rPr>
        <w:t>, the Commissioner has been approached by a number of government agencies to seek consultation on new policy directives and announcements, such as the Victorian Government’s</w:t>
      </w:r>
      <w:r w:rsidR="00145944" w:rsidRPr="00145944">
        <w:rPr>
          <w:rFonts w:ascii="Arial" w:hAnsi="Arial" w:cs="Arial"/>
          <w:sz w:val="20"/>
          <w:szCs w:val="22"/>
        </w:rPr>
        <w:t xml:space="preserve"> </w:t>
      </w:r>
      <w:r w:rsidR="00145944" w:rsidRPr="00145944">
        <w:rPr>
          <w:rFonts w:ascii="Arial" w:eastAsia="Times New Roman" w:hAnsi="Arial" w:cs="Arial"/>
          <w:color w:val="000000"/>
          <w:sz w:val="22"/>
          <w:lang w:val="x-none"/>
        </w:rPr>
        <w:t xml:space="preserve">wind farm noise regulation </w:t>
      </w:r>
      <w:r w:rsidR="00145944">
        <w:rPr>
          <w:rFonts w:ascii="Arial" w:eastAsia="Times New Roman" w:hAnsi="Arial" w:cs="Arial"/>
          <w:color w:val="000000"/>
          <w:sz w:val="22"/>
        </w:rPr>
        <w:t>amendments and the newly announced Renewable Energy Zones in New South Wales and Queensland.</w:t>
      </w:r>
      <w:r w:rsidRPr="00145944">
        <w:rPr>
          <w:rFonts w:ascii="Arial" w:hAnsi="Arial" w:cs="Arial"/>
          <w:sz w:val="22"/>
          <w:szCs w:val="22"/>
        </w:rPr>
        <w:t xml:space="preserve"> </w:t>
      </w:r>
      <w:r w:rsidRPr="001702E0">
        <w:rPr>
          <w:rFonts w:ascii="Arial" w:hAnsi="Arial" w:cs="Arial"/>
          <w:sz w:val="22"/>
          <w:szCs w:val="22"/>
        </w:rPr>
        <w:t>These consultations provide a positive indication of the ongoing value, experience and reputation of the Commissioner.</w:t>
      </w:r>
    </w:p>
    <w:p w14:paraId="1A1CD9CC" w14:textId="77777777" w:rsidR="00203766" w:rsidRPr="003C06CA" w:rsidRDefault="00203766" w:rsidP="0050245A">
      <w:pPr>
        <w:spacing w:line="264" w:lineRule="auto"/>
        <w:rPr>
          <w:rFonts w:eastAsiaTheme="minorHAnsi" w:cs="Arial"/>
        </w:rPr>
      </w:pPr>
      <w:r w:rsidRPr="003C06CA">
        <w:rPr>
          <w:rFonts w:cs="Arial"/>
        </w:rPr>
        <w:t xml:space="preserve">The Office also provided </w:t>
      </w:r>
      <w:r w:rsidR="001A041D" w:rsidRPr="003C06CA">
        <w:rPr>
          <w:rFonts w:cs="Arial"/>
        </w:rPr>
        <w:t xml:space="preserve">numerous </w:t>
      </w:r>
      <w:r w:rsidRPr="003C06CA">
        <w:rPr>
          <w:rFonts w:cs="Arial"/>
        </w:rPr>
        <w:t xml:space="preserve">submissions on a range of </w:t>
      </w:r>
      <w:r w:rsidR="001A041D" w:rsidRPr="003C06CA">
        <w:rPr>
          <w:rFonts w:cs="Arial"/>
        </w:rPr>
        <w:t xml:space="preserve">relevant government reviews including </w:t>
      </w:r>
      <w:r w:rsidR="00F8465C" w:rsidRPr="003C06CA">
        <w:rPr>
          <w:rFonts w:cs="Arial"/>
        </w:rPr>
        <w:t xml:space="preserve">regulatory </w:t>
      </w:r>
      <w:r w:rsidRPr="003C06CA">
        <w:rPr>
          <w:rFonts w:cs="Arial"/>
        </w:rPr>
        <w:t>gui</w:t>
      </w:r>
      <w:r w:rsidR="00F8465C" w:rsidRPr="003C06CA">
        <w:rPr>
          <w:rFonts w:cs="Arial"/>
        </w:rPr>
        <w:t>delines, policies and processes. Some of these submissions include</w:t>
      </w:r>
      <w:r w:rsidRPr="003C06CA">
        <w:rPr>
          <w:rFonts w:cs="Arial"/>
        </w:rPr>
        <w:t>:</w:t>
      </w:r>
    </w:p>
    <w:p w14:paraId="5FDC2586" w14:textId="77777777" w:rsidR="00573894" w:rsidRPr="003C06CA" w:rsidRDefault="00573894" w:rsidP="003C06CA">
      <w:pPr>
        <w:pStyle w:val="ListBullet"/>
        <w:ind w:left="709" w:hanging="425"/>
        <w:rPr>
          <w:rFonts w:cs="Arial"/>
          <w:lang w:eastAsia="en-AU"/>
        </w:rPr>
      </w:pPr>
      <w:r w:rsidRPr="003C06CA">
        <w:rPr>
          <w:rFonts w:cs="Arial"/>
          <w:lang w:eastAsia="en-AU"/>
        </w:rPr>
        <w:t xml:space="preserve">Australian Government </w:t>
      </w:r>
      <w:r w:rsidRPr="003C06CA">
        <w:rPr>
          <w:rFonts w:cs="Arial"/>
          <w:i/>
          <w:lang w:eastAsia="en-AU"/>
        </w:rPr>
        <w:t>Technology Investment Roadmap Discussion Paper</w:t>
      </w:r>
    </w:p>
    <w:p w14:paraId="1B98824A" w14:textId="77777777" w:rsidR="00573894" w:rsidRPr="00140612" w:rsidRDefault="00573894" w:rsidP="003C06CA">
      <w:pPr>
        <w:pStyle w:val="ListBullet"/>
        <w:ind w:left="709" w:hanging="425"/>
        <w:rPr>
          <w:rFonts w:cs="Arial"/>
          <w:lang w:eastAsia="en-AU"/>
        </w:rPr>
      </w:pPr>
      <w:r w:rsidRPr="003C06CA">
        <w:rPr>
          <w:rFonts w:cs="Arial"/>
          <w:lang w:eastAsia="en-AU"/>
        </w:rPr>
        <w:t xml:space="preserve">Australian Government </w:t>
      </w:r>
      <w:r w:rsidRPr="003C06CA">
        <w:rPr>
          <w:rFonts w:cs="Arial"/>
          <w:i/>
          <w:lang w:eastAsia="en-AU"/>
        </w:rPr>
        <w:t>Independent Review of the Environment Protection and Biodiversity Conservation Act 1999</w:t>
      </w:r>
    </w:p>
    <w:p w14:paraId="399419BB" w14:textId="01ABF41A" w:rsidR="00140612" w:rsidRPr="00140612" w:rsidRDefault="00140612" w:rsidP="003C06CA">
      <w:pPr>
        <w:pStyle w:val="ListBullet"/>
        <w:ind w:left="709" w:hanging="425"/>
        <w:rPr>
          <w:rFonts w:cs="Arial"/>
          <w:lang w:eastAsia="en-AU"/>
        </w:rPr>
      </w:pPr>
      <w:r w:rsidRPr="00140612">
        <w:rPr>
          <w:rFonts w:cs="Arial"/>
        </w:rPr>
        <w:t xml:space="preserve">Australian Government Department of Industry, Science, Energy and Resources’ </w:t>
      </w:r>
      <w:r w:rsidRPr="00140612">
        <w:rPr>
          <w:rFonts w:cs="Arial"/>
          <w:i/>
        </w:rPr>
        <w:t>Offshore Clean Energy Infrastructure Regulatory Framework discussion paper</w:t>
      </w:r>
    </w:p>
    <w:p w14:paraId="44CB06FB" w14:textId="77777777" w:rsidR="00573894" w:rsidRPr="003C06CA" w:rsidRDefault="00573894" w:rsidP="003C06CA">
      <w:pPr>
        <w:pStyle w:val="ListBullet"/>
        <w:ind w:left="709" w:hanging="425"/>
        <w:rPr>
          <w:rFonts w:cs="Arial"/>
          <w:lang w:eastAsia="en-AU"/>
        </w:rPr>
      </w:pPr>
      <w:r w:rsidRPr="003C06CA">
        <w:rPr>
          <w:rFonts w:cs="Arial"/>
          <w:lang w:eastAsia="en-AU"/>
        </w:rPr>
        <w:t xml:space="preserve">South Australian Government </w:t>
      </w:r>
      <w:r w:rsidRPr="003C06CA">
        <w:rPr>
          <w:rFonts w:cs="Arial"/>
          <w:i/>
        </w:rPr>
        <w:t xml:space="preserve">EPA </w:t>
      </w:r>
      <w:r w:rsidRPr="003C06CA">
        <w:rPr>
          <w:rFonts w:cs="Arial"/>
          <w:i/>
          <w:lang w:val="en"/>
        </w:rPr>
        <w:t>Review of the Environment Protection (Noise) Policy 2007 Discussion Paper</w:t>
      </w:r>
    </w:p>
    <w:p w14:paraId="3BD7AA91" w14:textId="77777777" w:rsidR="00573894" w:rsidRPr="003C06CA" w:rsidRDefault="00573894" w:rsidP="003C06CA">
      <w:pPr>
        <w:pStyle w:val="ListBullet"/>
        <w:ind w:left="709" w:hanging="425"/>
        <w:rPr>
          <w:rFonts w:cs="Arial"/>
          <w:lang w:eastAsia="en-AU"/>
        </w:rPr>
      </w:pPr>
      <w:r w:rsidRPr="003C06CA">
        <w:rPr>
          <w:rFonts w:cs="Arial"/>
          <w:lang w:eastAsia="en-AU"/>
        </w:rPr>
        <w:t xml:space="preserve">Tasmanian Government draft </w:t>
      </w:r>
      <w:r w:rsidRPr="003C06CA">
        <w:rPr>
          <w:rFonts w:cs="Arial"/>
          <w:i/>
          <w:lang w:eastAsia="en-AU"/>
        </w:rPr>
        <w:t>Land Use Planning and Approvals Amendment (Major Projects) Bill 2020</w:t>
      </w:r>
      <w:r w:rsidRPr="003C06CA">
        <w:rPr>
          <w:rFonts w:cs="Arial"/>
          <w:lang w:eastAsia="en-AU"/>
        </w:rPr>
        <w:t>.</w:t>
      </w:r>
    </w:p>
    <w:p w14:paraId="5BB75F48" w14:textId="77777777" w:rsidR="003C06CA" w:rsidRPr="003C06CA" w:rsidRDefault="003C06CA" w:rsidP="003C06CA">
      <w:pPr>
        <w:pStyle w:val="ListBullet"/>
        <w:ind w:left="709" w:hanging="425"/>
        <w:rPr>
          <w:rFonts w:cs="Arial"/>
          <w:i/>
        </w:rPr>
      </w:pPr>
      <w:r w:rsidRPr="003C06CA">
        <w:rPr>
          <w:rFonts w:cs="Arial"/>
        </w:rPr>
        <w:t xml:space="preserve">Energy Security Board’s </w:t>
      </w:r>
      <w:r w:rsidRPr="003C06CA">
        <w:rPr>
          <w:rFonts w:cs="Arial"/>
          <w:i/>
        </w:rPr>
        <w:t xml:space="preserve">Renewable Energy Zones </w:t>
      </w:r>
      <w:r w:rsidRPr="003C06CA">
        <w:rPr>
          <w:rFonts w:cs="Arial"/>
        </w:rPr>
        <w:t>Planning Consultation Paper and Draft Rules</w:t>
      </w:r>
    </w:p>
    <w:p w14:paraId="24CF287F" w14:textId="77777777" w:rsidR="00573894" w:rsidRDefault="003C06CA" w:rsidP="003C06CA">
      <w:pPr>
        <w:pStyle w:val="ListBullet"/>
        <w:ind w:left="709" w:hanging="425"/>
        <w:rPr>
          <w:rFonts w:cs="Arial"/>
        </w:rPr>
      </w:pPr>
      <w:r w:rsidRPr="003C06CA">
        <w:rPr>
          <w:rFonts w:cs="Arial"/>
        </w:rPr>
        <w:t>Draft Tasmanian Renewable Energy Action Plan</w:t>
      </w:r>
      <w:r w:rsidR="00194C44">
        <w:rPr>
          <w:rFonts w:cs="Arial"/>
        </w:rPr>
        <w:t>, and</w:t>
      </w:r>
    </w:p>
    <w:p w14:paraId="3A5153B9" w14:textId="77777777" w:rsidR="00A52C19" w:rsidRPr="00024212" w:rsidRDefault="003C06CA" w:rsidP="00024212">
      <w:pPr>
        <w:pStyle w:val="ListBullet"/>
        <w:ind w:left="709" w:hanging="425"/>
        <w:rPr>
          <w:rFonts w:cs="Arial"/>
        </w:rPr>
      </w:pPr>
      <w:r w:rsidRPr="00194C44">
        <w:rPr>
          <w:rFonts w:cs="Arial"/>
        </w:rPr>
        <w:t xml:space="preserve">Victorian Government </w:t>
      </w:r>
      <w:r w:rsidR="00A52C19" w:rsidRPr="00194C44">
        <w:rPr>
          <w:rFonts w:cs="Arial"/>
          <w:i/>
          <w:iCs/>
          <w:color w:val="26282A"/>
        </w:rPr>
        <w:t>Draft Brolga Assessment and Mitigation Standards for Wind Energy Facilities</w:t>
      </w:r>
      <w:r w:rsidR="00194C44">
        <w:rPr>
          <w:rFonts w:cs="Arial"/>
          <w:iCs/>
          <w:color w:val="26282A"/>
        </w:rPr>
        <w:t>.</w:t>
      </w:r>
    </w:p>
    <w:p w14:paraId="52149143" w14:textId="3D251528" w:rsidR="00D974B7" w:rsidRDefault="00346865" w:rsidP="00D974B7">
      <w:pPr>
        <w:spacing w:line="264" w:lineRule="auto"/>
        <w:ind w:left="369" w:hanging="369"/>
        <w:rPr>
          <w:rFonts w:cs="Arial"/>
          <w:b/>
          <w:bCs/>
        </w:rPr>
      </w:pPr>
      <w:r>
        <w:rPr>
          <w:rFonts w:cs="Arial"/>
          <w:b/>
          <w:bCs/>
        </w:rPr>
        <w:t>C</w:t>
      </w:r>
      <w:r w:rsidR="00024212">
        <w:rPr>
          <w:rFonts w:cs="Arial"/>
          <w:b/>
          <w:bCs/>
        </w:rPr>
        <w:t xml:space="preserve">ommittees and </w:t>
      </w:r>
      <w:r w:rsidR="001C6F9E">
        <w:rPr>
          <w:rFonts w:cs="Arial"/>
          <w:b/>
          <w:bCs/>
        </w:rPr>
        <w:t>reference groups</w:t>
      </w:r>
    </w:p>
    <w:p w14:paraId="7A158D34" w14:textId="77777777" w:rsidR="002A6706" w:rsidRPr="00D974B7" w:rsidRDefault="00D974B7" w:rsidP="00D974B7">
      <w:pPr>
        <w:spacing w:before="120" w:line="264" w:lineRule="auto"/>
        <w:ind w:right="505"/>
        <w:rPr>
          <w:rStyle w:val="hps-normal1"/>
          <w:rFonts w:eastAsia="Times New Roman" w:cs="Arial"/>
        </w:rPr>
      </w:pPr>
      <w:r w:rsidRPr="00D974B7">
        <w:rPr>
          <w:rFonts w:eastAsia="Times New Roman" w:cs="Arial"/>
        </w:rPr>
        <w:t xml:space="preserve">The Commissioner </w:t>
      </w:r>
      <w:r w:rsidR="005F06C5" w:rsidRPr="005F06C5">
        <w:rPr>
          <w:rFonts w:cs="Arial"/>
        </w:rPr>
        <w:t xml:space="preserve">has participated in various industry and government </w:t>
      </w:r>
      <w:r w:rsidR="00024212">
        <w:rPr>
          <w:rFonts w:cs="Arial"/>
        </w:rPr>
        <w:t>committees</w:t>
      </w:r>
      <w:r w:rsidR="005F06C5" w:rsidRPr="005F06C5">
        <w:rPr>
          <w:rFonts w:cs="Arial"/>
        </w:rPr>
        <w:t xml:space="preserve"> to share best practice approaches and policies as well as address specific issues. The Commissioner </w:t>
      </w:r>
      <w:r w:rsidRPr="00D974B7">
        <w:rPr>
          <w:rFonts w:eastAsia="Times New Roman" w:cs="Arial"/>
        </w:rPr>
        <w:t xml:space="preserve">is currently an active member of the </w:t>
      </w:r>
      <w:r>
        <w:rPr>
          <w:rFonts w:eastAsia="Times New Roman" w:cs="Arial"/>
        </w:rPr>
        <w:t>f</w:t>
      </w:r>
      <w:r w:rsidR="005F06C5">
        <w:rPr>
          <w:rFonts w:eastAsia="Times New Roman" w:cs="Arial"/>
        </w:rPr>
        <w:t>ollowing groups and committees:</w:t>
      </w:r>
    </w:p>
    <w:p w14:paraId="27D70A3D" w14:textId="77777777" w:rsidR="00A20464" w:rsidRPr="00A20464" w:rsidRDefault="00D974B7" w:rsidP="007A1D42">
      <w:pPr>
        <w:pStyle w:val="ListParagraph"/>
        <w:numPr>
          <w:ilvl w:val="0"/>
          <w:numId w:val="20"/>
        </w:numPr>
        <w:spacing w:line="264" w:lineRule="auto"/>
        <w:rPr>
          <w:rFonts w:cs="Arial"/>
        </w:rPr>
      </w:pPr>
      <w:r w:rsidRPr="00A20464">
        <w:rPr>
          <w:rStyle w:val="hps-normal1"/>
          <w:rFonts w:cs="Arial"/>
        </w:rPr>
        <w:lastRenderedPageBreak/>
        <w:t xml:space="preserve">Clean Energy Council Safety Leaders Forum – </w:t>
      </w:r>
      <w:r w:rsidR="00A20464" w:rsidRPr="00A20464">
        <w:rPr>
          <w:rStyle w:val="hps-normal1"/>
          <w:rFonts w:cs="Arial"/>
        </w:rPr>
        <w:t xml:space="preserve">convened by the Commissioner </w:t>
      </w:r>
      <w:r w:rsidR="00A20464" w:rsidRPr="00A20464">
        <w:rPr>
          <w:rFonts w:cs="Arial"/>
          <w:lang w:val="en-US"/>
        </w:rPr>
        <w:t>to discuss how industry could significantly improve t</w:t>
      </w:r>
      <w:r w:rsidR="00A20464">
        <w:rPr>
          <w:rFonts w:cs="Arial"/>
          <w:lang w:val="en-US"/>
        </w:rPr>
        <w:t>ransparency in relation to work</w:t>
      </w:r>
      <w:r w:rsidR="00A20464" w:rsidRPr="00A20464">
        <w:rPr>
          <w:rFonts w:cs="Arial"/>
          <w:lang w:val="en-US"/>
        </w:rPr>
        <w:t>place safety incidents</w:t>
      </w:r>
      <w:r w:rsidR="00A20464">
        <w:rPr>
          <w:rFonts w:eastAsia="Times New Roman" w:cs="Arial"/>
          <w:color w:val="000000"/>
          <w:szCs w:val="24"/>
          <w:lang w:val="x-none"/>
        </w:rPr>
        <w:t>.</w:t>
      </w:r>
    </w:p>
    <w:p w14:paraId="7FB093DB" w14:textId="77777777" w:rsidR="00E63E27" w:rsidRPr="00A20464" w:rsidRDefault="00E63E27" w:rsidP="007A1D42">
      <w:pPr>
        <w:pStyle w:val="ListParagraph"/>
        <w:numPr>
          <w:ilvl w:val="0"/>
          <w:numId w:val="20"/>
        </w:numPr>
        <w:spacing w:line="264" w:lineRule="auto"/>
        <w:rPr>
          <w:rFonts w:cs="Arial"/>
        </w:rPr>
      </w:pPr>
      <w:r w:rsidRPr="00A20464">
        <w:rPr>
          <w:rFonts w:eastAsia="Times New Roman" w:cs="Arial"/>
          <w:color w:val="000000"/>
          <w:szCs w:val="24"/>
          <w:lang w:val="x-none"/>
        </w:rPr>
        <w:t>New South Wales Currandooley Coronial Inquiry</w:t>
      </w:r>
      <w:r w:rsidRPr="00A20464">
        <w:rPr>
          <w:rFonts w:eastAsia="Times New Roman" w:cs="Arial"/>
          <w:color w:val="000000"/>
          <w:szCs w:val="24"/>
        </w:rPr>
        <w:t xml:space="preserve"> </w:t>
      </w:r>
      <w:r w:rsidRPr="00A20464">
        <w:rPr>
          <w:rFonts w:eastAsia="Times New Roman" w:cs="Arial"/>
          <w:color w:val="000000"/>
          <w:szCs w:val="24"/>
          <w:lang w:val="x-none"/>
        </w:rPr>
        <w:t>Working Group – established after a</w:t>
      </w:r>
      <w:r w:rsidRPr="00A20464">
        <w:rPr>
          <w:rFonts w:eastAsia="Times New Roman" w:cs="Arial"/>
          <w:color w:val="000000"/>
          <w:szCs w:val="24"/>
        </w:rPr>
        <w:t xml:space="preserve"> </w:t>
      </w:r>
      <w:r w:rsidRPr="00A20464">
        <w:rPr>
          <w:rFonts w:eastAsia="Times New Roman" w:cs="Arial"/>
          <w:color w:val="000000"/>
          <w:szCs w:val="24"/>
          <w:lang w:val="x-none"/>
        </w:rPr>
        <w:t>recommendation by the NSW Coroner’s Office to</w:t>
      </w:r>
      <w:r w:rsidRPr="00A20464">
        <w:rPr>
          <w:rFonts w:eastAsia="Times New Roman" w:cs="Arial"/>
          <w:color w:val="000000"/>
          <w:szCs w:val="24"/>
        </w:rPr>
        <w:t xml:space="preserve"> </w:t>
      </w:r>
      <w:r w:rsidRPr="00A20464">
        <w:rPr>
          <w:rFonts w:eastAsia="Times New Roman" w:cs="Arial"/>
          <w:color w:val="000000"/>
          <w:szCs w:val="24"/>
          <w:lang w:val="x-none"/>
        </w:rPr>
        <w:t>apply the lessons learned from the Inquiry to</w:t>
      </w:r>
      <w:r w:rsidRPr="00A20464">
        <w:rPr>
          <w:rFonts w:eastAsia="Times New Roman" w:cs="Arial"/>
          <w:color w:val="000000"/>
          <w:szCs w:val="24"/>
        </w:rPr>
        <w:t xml:space="preserve"> </w:t>
      </w:r>
      <w:r w:rsidRPr="00A20464">
        <w:rPr>
          <w:rFonts w:eastAsia="Times New Roman" w:cs="Arial"/>
          <w:color w:val="000000"/>
          <w:szCs w:val="24"/>
          <w:lang w:val="x-none"/>
        </w:rPr>
        <w:t>improve bushfire risk mitigation practices in the</w:t>
      </w:r>
      <w:r w:rsidRPr="00A20464">
        <w:rPr>
          <w:rFonts w:eastAsia="Times New Roman" w:cs="Arial"/>
          <w:color w:val="000000"/>
          <w:szCs w:val="24"/>
        </w:rPr>
        <w:t xml:space="preserve"> </w:t>
      </w:r>
      <w:r w:rsidRPr="00A20464">
        <w:rPr>
          <w:rFonts w:eastAsia="Times New Roman" w:cs="Arial"/>
          <w:color w:val="000000"/>
          <w:szCs w:val="24"/>
          <w:lang w:val="x-none"/>
        </w:rPr>
        <w:t>construction and operation of powerlines</w:t>
      </w:r>
      <w:r w:rsidRPr="00A20464">
        <w:rPr>
          <w:rFonts w:eastAsia="Times New Roman" w:cs="Arial"/>
          <w:color w:val="000000"/>
          <w:szCs w:val="24"/>
        </w:rPr>
        <w:t xml:space="preserve"> </w:t>
      </w:r>
      <w:r w:rsidRPr="00A20464">
        <w:rPr>
          <w:rFonts w:eastAsia="Times New Roman" w:cs="Arial"/>
          <w:color w:val="000000"/>
          <w:szCs w:val="24"/>
          <w:lang w:val="x-none"/>
        </w:rPr>
        <w:t>connecting renewable assets to the grid.</w:t>
      </w:r>
    </w:p>
    <w:p w14:paraId="342546A0" w14:textId="52A97087" w:rsidR="00D974B7" w:rsidRPr="004C521A" w:rsidRDefault="00E63E27" w:rsidP="007A1D42">
      <w:pPr>
        <w:pStyle w:val="ListParagraph"/>
        <w:numPr>
          <w:ilvl w:val="0"/>
          <w:numId w:val="20"/>
        </w:numPr>
        <w:spacing w:line="264" w:lineRule="auto"/>
        <w:rPr>
          <w:rFonts w:cs="Arial"/>
        </w:rPr>
      </w:pPr>
      <w:r w:rsidRPr="004C521A">
        <w:rPr>
          <w:rFonts w:eastAsia="Times New Roman" w:cs="Arial"/>
          <w:color w:val="000000"/>
          <w:szCs w:val="24"/>
          <w:lang w:val="x-none"/>
        </w:rPr>
        <w:t>Victorian Government Wind Farm Noise Council</w:t>
      </w:r>
      <w:r w:rsidRPr="004C521A">
        <w:rPr>
          <w:rFonts w:eastAsia="Times New Roman" w:cs="Arial"/>
          <w:color w:val="000000"/>
          <w:szCs w:val="24"/>
        </w:rPr>
        <w:t xml:space="preserve"> </w:t>
      </w:r>
      <w:r w:rsidRPr="004C521A">
        <w:rPr>
          <w:rFonts w:eastAsia="Times New Roman" w:cs="Arial"/>
          <w:color w:val="000000"/>
          <w:szCs w:val="24"/>
          <w:lang w:val="x-none"/>
        </w:rPr>
        <w:t>Reference Group – established to assist the</w:t>
      </w:r>
      <w:r w:rsidRPr="004C521A">
        <w:rPr>
          <w:rFonts w:eastAsia="Times New Roman" w:cs="Arial"/>
          <w:color w:val="000000"/>
          <w:szCs w:val="24"/>
        </w:rPr>
        <w:t xml:space="preserve"> </w:t>
      </w:r>
      <w:r w:rsidRPr="004C521A">
        <w:rPr>
          <w:rFonts w:eastAsia="Times New Roman" w:cs="Arial"/>
          <w:color w:val="000000"/>
          <w:szCs w:val="24"/>
          <w:lang w:val="x-none"/>
        </w:rPr>
        <w:t>Victorian Government as it implements a new</w:t>
      </w:r>
      <w:r w:rsidRPr="004C521A">
        <w:rPr>
          <w:rFonts w:eastAsia="Times New Roman" w:cs="Arial"/>
          <w:color w:val="000000"/>
          <w:szCs w:val="24"/>
        </w:rPr>
        <w:t xml:space="preserve"> </w:t>
      </w:r>
      <w:r w:rsidRPr="004C521A">
        <w:rPr>
          <w:rFonts w:eastAsia="Times New Roman" w:cs="Arial"/>
          <w:color w:val="000000"/>
          <w:szCs w:val="24"/>
          <w:lang w:val="x-none"/>
        </w:rPr>
        <w:t xml:space="preserve">wind farm noise regulation framework </w:t>
      </w:r>
      <w:r w:rsidRPr="004C521A">
        <w:rPr>
          <w:rFonts w:eastAsia="Times New Roman" w:cs="Arial"/>
          <w:color w:val="000000"/>
          <w:szCs w:val="24"/>
        </w:rPr>
        <w:t xml:space="preserve">scheduled </w:t>
      </w:r>
      <w:r w:rsidRPr="004C521A">
        <w:rPr>
          <w:rFonts w:eastAsia="Times New Roman" w:cs="Arial"/>
          <w:color w:val="000000"/>
          <w:szCs w:val="24"/>
          <w:lang w:val="x-none"/>
        </w:rPr>
        <w:t>to be introduced on 1 July 2021</w:t>
      </w:r>
      <w:r w:rsidRPr="004C521A">
        <w:rPr>
          <w:rFonts w:eastAsia="Times New Roman" w:cs="Arial"/>
          <w:color w:val="000000"/>
          <w:szCs w:val="24"/>
        </w:rPr>
        <w:t>.</w:t>
      </w:r>
    </w:p>
    <w:p w14:paraId="15132A97" w14:textId="6FEC2C5D" w:rsidR="00D974B7" w:rsidRPr="004C521A" w:rsidRDefault="00D974B7" w:rsidP="007A1D42">
      <w:pPr>
        <w:pStyle w:val="ListParagraph"/>
        <w:numPr>
          <w:ilvl w:val="0"/>
          <w:numId w:val="20"/>
        </w:numPr>
        <w:spacing w:before="120" w:line="264" w:lineRule="auto"/>
        <w:ind w:right="505"/>
        <w:rPr>
          <w:rFonts w:eastAsia="Times New Roman" w:cs="Arial"/>
        </w:rPr>
      </w:pPr>
      <w:r w:rsidRPr="004C521A">
        <w:rPr>
          <w:rFonts w:eastAsia="Times New Roman" w:cs="Arial"/>
        </w:rPr>
        <w:t xml:space="preserve">Western Victoria Transmission Network Project </w:t>
      </w:r>
      <w:r w:rsidR="00346865">
        <w:rPr>
          <w:rFonts w:eastAsia="Times New Roman" w:cs="Arial"/>
        </w:rPr>
        <w:t>Reference Group</w:t>
      </w:r>
      <w:r w:rsidR="003A719C">
        <w:rPr>
          <w:rFonts w:eastAsia="Times New Roman" w:cs="Arial"/>
        </w:rPr>
        <w:t xml:space="preserve"> –</w:t>
      </w:r>
      <w:r w:rsidR="003A719C" w:rsidRPr="00A20464">
        <w:rPr>
          <w:rFonts w:eastAsia="Times New Roman" w:cs="Arial"/>
          <w:sz w:val="18"/>
        </w:rPr>
        <w:t xml:space="preserve"> </w:t>
      </w:r>
      <w:r w:rsidR="00A20464" w:rsidRPr="00A20464">
        <w:rPr>
          <w:rFonts w:cs="Arial"/>
        </w:rPr>
        <w:t>established to provide guidance on community engagement and complaint management for this major transmission infrastructure project</w:t>
      </w:r>
    </w:p>
    <w:p w14:paraId="1B559AC1" w14:textId="77777777" w:rsidR="00E63E27" w:rsidRPr="004C521A" w:rsidRDefault="003A719C" w:rsidP="007A1D42">
      <w:pPr>
        <w:pStyle w:val="ListParagraph"/>
        <w:numPr>
          <w:ilvl w:val="0"/>
          <w:numId w:val="20"/>
        </w:numPr>
        <w:spacing w:line="264" w:lineRule="auto"/>
        <w:rPr>
          <w:rFonts w:cs="Arial"/>
        </w:rPr>
      </w:pPr>
      <w:r>
        <w:rPr>
          <w:rFonts w:eastAsia="Times New Roman" w:cs="Arial"/>
        </w:rPr>
        <w:t xml:space="preserve">Standards Australia </w:t>
      </w:r>
      <w:r w:rsidR="00D974B7" w:rsidRPr="004C521A">
        <w:rPr>
          <w:rFonts w:cs="Arial"/>
        </w:rPr>
        <w:t xml:space="preserve">EL-048 Technical Committee </w:t>
      </w:r>
      <w:r w:rsidR="00D974B7" w:rsidRPr="004C521A">
        <w:rPr>
          <w:rFonts w:cs="Arial"/>
          <w:color w:val="080707"/>
          <w:shd w:val="clear" w:color="auto" w:fill="FFFFFF"/>
        </w:rPr>
        <w:t>Wind Energy Generation Systems</w:t>
      </w:r>
      <w:r w:rsidR="00E63E27" w:rsidRPr="004C521A">
        <w:rPr>
          <w:rFonts w:cs="Arial"/>
          <w:color w:val="080707"/>
          <w:shd w:val="clear" w:color="auto" w:fill="FFFFFF"/>
        </w:rPr>
        <w:t xml:space="preserve"> </w:t>
      </w:r>
      <w:r>
        <w:rPr>
          <w:rFonts w:cs="Arial"/>
          <w:color w:val="080707"/>
          <w:shd w:val="clear" w:color="auto" w:fill="FFFFFF"/>
        </w:rPr>
        <w:t>–</w:t>
      </w:r>
      <w:r w:rsidR="00E63E27" w:rsidRPr="004C521A">
        <w:rPr>
          <w:rFonts w:cs="Arial"/>
          <w:color w:val="080707"/>
          <w:shd w:val="clear" w:color="auto" w:fill="FFFFFF"/>
        </w:rPr>
        <w:t xml:space="preserve"> </w:t>
      </w:r>
      <w:r w:rsidR="001C5C22">
        <w:rPr>
          <w:rFonts w:eastAsia="Times New Roman" w:cs="Arial"/>
          <w:color w:val="000000"/>
          <w:szCs w:val="24"/>
        </w:rPr>
        <w:t>established</w:t>
      </w:r>
      <w:r w:rsidR="001C5C22">
        <w:rPr>
          <w:rFonts w:eastAsia="Times New Roman" w:cs="Arial"/>
          <w:color w:val="000000"/>
          <w:szCs w:val="24"/>
          <w:lang w:val="x-none"/>
        </w:rPr>
        <w:t xml:space="preserve"> </w:t>
      </w:r>
      <w:r w:rsidR="00E63E27" w:rsidRPr="004C521A">
        <w:rPr>
          <w:rFonts w:eastAsia="Times New Roman" w:cs="Arial"/>
          <w:color w:val="000000"/>
          <w:szCs w:val="24"/>
          <w:lang w:val="x-none"/>
        </w:rPr>
        <w:t>to</w:t>
      </w:r>
      <w:r w:rsidR="00E63E27" w:rsidRPr="004C521A">
        <w:rPr>
          <w:rFonts w:eastAsia="Times New Roman" w:cs="Arial"/>
          <w:color w:val="000000"/>
          <w:szCs w:val="24"/>
        </w:rPr>
        <w:t xml:space="preserve"> </w:t>
      </w:r>
      <w:r w:rsidR="00E63E27" w:rsidRPr="004C521A">
        <w:rPr>
          <w:rFonts w:eastAsia="Times New Roman" w:cs="Arial"/>
          <w:color w:val="000000"/>
          <w:szCs w:val="24"/>
          <w:lang w:val="x-none"/>
        </w:rPr>
        <w:t>investigate internationally recognised standards</w:t>
      </w:r>
      <w:r w:rsidR="00E63E27" w:rsidRPr="004C521A">
        <w:rPr>
          <w:rFonts w:eastAsia="Times New Roman" w:cs="Arial"/>
          <w:color w:val="000000"/>
          <w:szCs w:val="24"/>
        </w:rPr>
        <w:t xml:space="preserve"> </w:t>
      </w:r>
      <w:r w:rsidR="00E63E27" w:rsidRPr="004C521A">
        <w:rPr>
          <w:rFonts w:eastAsia="Times New Roman" w:cs="Arial"/>
          <w:color w:val="000000"/>
          <w:szCs w:val="24"/>
          <w:lang w:val="x-none"/>
        </w:rPr>
        <w:t>as a basis for design, quality assurance and</w:t>
      </w:r>
      <w:r w:rsidR="00E63E27" w:rsidRPr="004C521A">
        <w:rPr>
          <w:rFonts w:eastAsia="Times New Roman" w:cs="Arial"/>
          <w:color w:val="000000"/>
          <w:szCs w:val="24"/>
        </w:rPr>
        <w:t xml:space="preserve"> </w:t>
      </w:r>
      <w:r w:rsidR="00E63E27" w:rsidRPr="004C521A">
        <w:rPr>
          <w:rFonts w:eastAsia="Times New Roman" w:cs="Arial"/>
          <w:color w:val="000000"/>
          <w:szCs w:val="24"/>
          <w:lang w:val="x-none"/>
        </w:rPr>
        <w:t>technical aspects for certification.</w:t>
      </w:r>
    </w:p>
    <w:p w14:paraId="3E1EA4EC" w14:textId="77777777" w:rsidR="00D974B7" w:rsidRPr="004C521A" w:rsidRDefault="00D974B7" w:rsidP="007A1D42">
      <w:pPr>
        <w:pStyle w:val="ListParagraph"/>
        <w:numPr>
          <w:ilvl w:val="0"/>
          <w:numId w:val="20"/>
        </w:numPr>
        <w:spacing w:before="120" w:line="264" w:lineRule="auto"/>
        <w:ind w:right="505"/>
        <w:rPr>
          <w:rFonts w:eastAsia="Times New Roman" w:cs="Arial"/>
        </w:rPr>
      </w:pPr>
      <w:r w:rsidRPr="004C521A">
        <w:rPr>
          <w:rFonts w:eastAsia="Times New Roman" w:cs="Arial"/>
        </w:rPr>
        <w:t>NSW Government Renewable Energy Zone Reference Group, and</w:t>
      </w:r>
    </w:p>
    <w:p w14:paraId="38A9BE29" w14:textId="77777777" w:rsidR="00D974B7" w:rsidRPr="004C521A" w:rsidRDefault="00D974B7" w:rsidP="007A1D42">
      <w:pPr>
        <w:pStyle w:val="ListParagraph"/>
        <w:numPr>
          <w:ilvl w:val="0"/>
          <w:numId w:val="20"/>
        </w:numPr>
        <w:spacing w:line="264" w:lineRule="auto"/>
        <w:rPr>
          <w:rFonts w:cs="Arial"/>
        </w:rPr>
      </w:pPr>
      <w:r w:rsidRPr="004C521A">
        <w:rPr>
          <w:rFonts w:eastAsia="Times New Roman" w:cs="Arial"/>
        </w:rPr>
        <w:t>Humelink Transmission Reference Group.</w:t>
      </w:r>
    </w:p>
    <w:p w14:paraId="62F10F39" w14:textId="77777777" w:rsidR="005208CC" w:rsidRPr="001D533E" w:rsidRDefault="00F80261" w:rsidP="001D533E">
      <w:pPr>
        <w:pStyle w:val="hps-normal"/>
        <w:shd w:val="clear" w:color="auto" w:fill="FFFFFF"/>
        <w:spacing w:before="0" w:after="200" w:line="312" w:lineRule="auto"/>
        <w:ind w:firstLine="0"/>
        <w:rPr>
          <w:rFonts w:ascii="Arial" w:hAnsi="Arial" w:cs="Arial"/>
          <w:color w:val="auto"/>
          <w:sz w:val="22"/>
          <w:szCs w:val="22"/>
          <w:lang w:val="en-US"/>
        </w:rPr>
      </w:pPr>
      <w:r>
        <w:rPr>
          <w:rStyle w:val="hps-normal1"/>
          <w:rFonts w:ascii="Arial" w:hAnsi="Arial" w:cs="Arial"/>
          <w:color w:val="auto"/>
          <w:sz w:val="22"/>
          <w:szCs w:val="22"/>
          <w:lang w:val="en-US"/>
        </w:rPr>
        <w:t xml:space="preserve">The Office </w:t>
      </w:r>
      <w:r w:rsidR="002A6706" w:rsidRPr="002A6706">
        <w:rPr>
          <w:rStyle w:val="hps-normal1"/>
          <w:rFonts w:ascii="Arial" w:hAnsi="Arial" w:cs="Arial"/>
          <w:color w:val="auto"/>
          <w:sz w:val="22"/>
          <w:szCs w:val="22"/>
          <w:lang w:val="en-US"/>
        </w:rPr>
        <w:t>will continue to engage proactively with the significant, complex and ever-evolving stakeholder network required for this role.</w:t>
      </w:r>
    </w:p>
    <w:p w14:paraId="54E1DFDD" w14:textId="77777777" w:rsidR="005874E7" w:rsidRPr="00F47E6D" w:rsidRDefault="005874E7" w:rsidP="002D4470">
      <w:pPr>
        <w:pStyle w:val="Heading2"/>
      </w:pPr>
      <w:bookmarkStart w:id="29" w:name="_Toc84430824"/>
      <w:r w:rsidRPr="00F47E6D">
        <w:t>Universit</w:t>
      </w:r>
      <w:r>
        <w:t>ies and</w:t>
      </w:r>
      <w:r w:rsidRPr="00F47E6D">
        <w:t xml:space="preserve"> Expert</w:t>
      </w:r>
      <w:r>
        <w:t>s</w:t>
      </w:r>
      <w:bookmarkEnd w:id="29"/>
    </w:p>
    <w:p w14:paraId="7855F92C" w14:textId="77777777" w:rsidR="005874E7" w:rsidRDefault="005874E7" w:rsidP="005874E7">
      <w:pPr>
        <w:ind w:hanging="11"/>
        <w:rPr>
          <w:rStyle w:val="Emphasis"/>
          <w:rFonts w:cs="Arial"/>
          <w:i w:val="0"/>
        </w:rPr>
      </w:pPr>
      <w:r w:rsidRPr="00F47E6D">
        <w:rPr>
          <w:rFonts w:cs="Arial"/>
        </w:rPr>
        <w:t>T</w:t>
      </w:r>
      <w:r w:rsidRPr="004606F6">
        <w:rPr>
          <w:rFonts w:cs="Arial"/>
        </w:rPr>
        <w:t>he Commissioner has</w:t>
      </w:r>
      <w:r w:rsidR="004606F6">
        <w:rPr>
          <w:rFonts w:cs="Arial"/>
        </w:rPr>
        <w:t xml:space="preserve"> continued to liaise</w:t>
      </w:r>
      <w:r w:rsidRPr="004606F6">
        <w:rPr>
          <w:rFonts w:cs="Arial"/>
        </w:rPr>
        <w:t xml:space="preserve"> with experts and university </w:t>
      </w:r>
      <w:r w:rsidR="00A129B6">
        <w:rPr>
          <w:rFonts w:cs="Arial"/>
        </w:rPr>
        <w:t xml:space="preserve">researchers </w:t>
      </w:r>
      <w:r w:rsidRPr="004606F6">
        <w:rPr>
          <w:rFonts w:cs="Arial"/>
        </w:rPr>
        <w:t>to understand their respective roles in providing advice and research regarding wind farm design, compliance testing and health effects.</w:t>
      </w:r>
      <w:r w:rsidR="00901853" w:rsidRPr="00901853">
        <w:rPr>
          <w:rStyle w:val="Emphasis"/>
          <w:rFonts w:cs="Arial"/>
          <w:i w:val="0"/>
        </w:rPr>
        <w:t xml:space="preserve"> </w:t>
      </w:r>
      <w:r w:rsidR="008654F7">
        <w:rPr>
          <w:rStyle w:val="Emphasis"/>
          <w:rFonts w:cs="Arial"/>
          <w:i w:val="0"/>
        </w:rPr>
        <w:t>Where necessary, t</w:t>
      </w:r>
      <w:r w:rsidR="00FB74FA">
        <w:rPr>
          <w:rFonts w:eastAsiaTheme="minorHAnsi" w:cs="Arial"/>
          <w:color w:val="000000"/>
        </w:rPr>
        <w:t xml:space="preserve">he Commissioner </w:t>
      </w:r>
      <w:r w:rsidR="00F3064E">
        <w:rPr>
          <w:rFonts w:eastAsiaTheme="minorHAnsi" w:cs="Arial"/>
          <w:color w:val="000000"/>
        </w:rPr>
        <w:t>also consults w</w:t>
      </w:r>
      <w:r w:rsidR="00901853">
        <w:rPr>
          <w:rStyle w:val="Emphasis"/>
          <w:rFonts w:cs="Arial"/>
          <w:i w:val="0"/>
        </w:rPr>
        <w:t xml:space="preserve">ith experts </w:t>
      </w:r>
      <w:r w:rsidR="00F3064E">
        <w:rPr>
          <w:rStyle w:val="Emphasis"/>
          <w:rFonts w:cs="Arial"/>
          <w:i w:val="0"/>
        </w:rPr>
        <w:t>and researchers to assist in assessing and ad</w:t>
      </w:r>
      <w:r w:rsidR="00C479CC">
        <w:rPr>
          <w:rStyle w:val="Emphasis"/>
          <w:rFonts w:cs="Arial"/>
          <w:i w:val="0"/>
        </w:rPr>
        <w:t>dressing issues and complaints.</w:t>
      </w:r>
    </w:p>
    <w:p w14:paraId="15450FAA" w14:textId="77777777" w:rsidR="00C479CC" w:rsidRPr="00C479CC" w:rsidRDefault="00C479CC" w:rsidP="00C479CC">
      <w:pPr>
        <w:pStyle w:val="ListBullet"/>
        <w:numPr>
          <w:ilvl w:val="0"/>
          <w:numId w:val="0"/>
        </w:numPr>
        <w:spacing w:line="264" w:lineRule="auto"/>
        <w:rPr>
          <w:rFonts w:cs="Arial"/>
        </w:rPr>
      </w:pPr>
      <w:r>
        <w:rPr>
          <w:rFonts w:cs="Arial"/>
        </w:rPr>
        <w:t>In 20</w:t>
      </w:r>
      <w:r w:rsidR="002A6706">
        <w:rPr>
          <w:rFonts w:cs="Arial"/>
        </w:rPr>
        <w:t>20</w:t>
      </w:r>
      <w:r>
        <w:rPr>
          <w:rFonts w:cs="Arial"/>
        </w:rPr>
        <w:t>, t</w:t>
      </w:r>
      <w:r w:rsidRPr="00C479CC">
        <w:rPr>
          <w:rFonts w:cs="Arial"/>
        </w:rPr>
        <w:t xml:space="preserve">he Commissioner </w:t>
      </w:r>
      <w:r w:rsidR="008654F7">
        <w:rPr>
          <w:rFonts w:cs="Arial"/>
        </w:rPr>
        <w:t>undertook the following activities</w:t>
      </w:r>
      <w:r w:rsidRPr="00C479CC">
        <w:rPr>
          <w:rFonts w:cs="Arial"/>
        </w:rPr>
        <w:t>:</w:t>
      </w:r>
    </w:p>
    <w:p w14:paraId="157697D8" w14:textId="77777777" w:rsidR="00260F3B" w:rsidRPr="00A20464" w:rsidRDefault="00260F3B" w:rsidP="007A1D42">
      <w:pPr>
        <w:pStyle w:val="ListBullet"/>
        <w:numPr>
          <w:ilvl w:val="0"/>
          <w:numId w:val="18"/>
        </w:numPr>
        <w:ind w:left="714" w:hanging="357"/>
        <w:rPr>
          <w:rFonts w:cs="Arial"/>
        </w:rPr>
      </w:pPr>
      <w:r w:rsidRPr="00F37941">
        <w:rPr>
          <w:rFonts w:eastAsiaTheme="minorHAnsi" w:cs="Arial"/>
          <w:color w:val="000000"/>
        </w:rPr>
        <w:t xml:space="preserve">appointments with academics from Flinders University and </w:t>
      </w:r>
      <w:r w:rsidR="00D650C2">
        <w:rPr>
          <w:rFonts w:eastAsiaTheme="minorHAnsi" w:cs="Arial"/>
          <w:color w:val="000000"/>
        </w:rPr>
        <w:t xml:space="preserve">the </w:t>
      </w:r>
      <w:r w:rsidRPr="00F37941">
        <w:rPr>
          <w:rFonts w:cs="Arial"/>
        </w:rPr>
        <w:t xml:space="preserve">University of New South Wales </w:t>
      </w:r>
      <w:r w:rsidRPr="00F37941">
        <w:rPr>
          <w:rFonts w:eastAsiaTheme="minorHAnsi" w:cs="Arial"/>
          <w:color w:val="000000"/>
        </w:rPr>
        <w:t>to discuss updates in relation to the progress of</w:t>
      </w:r>
      <w:r w:rsidRPr="00F37941">
        <w:rPr>
          <w:rFonts w:cs="Arial"/>
        </w:rPr>
        <w:t xml:space="preserve"> research being undertaken by two National Health and Medical Research Council (NHMRC) funded studies regarding wind farms and health</w:t>
      </w:r>
      <w:r w:rsidR="001D533E" w:rsidRPr="00A20464">
        <w:rPr>
          <w:rFonts w:cs="Arial"/>
        </w:rPr>
        <w:t>, and</w:t>
      </w:r>
    </w:p>
    <w:p w14:paraId="01ABFDF5" w14:textId="77777777" w:rsidR="00A20464" w:rsidRPr="00A20464" w:rsidRDefault="00C479CC" w:rsidP="007A1D42">
      <w:pPr>
        <w:pStyle w:val="ListBullet"/>
        <w:numPr>
          <w:ilvl w:val="0"/>
          <w:numId w:val="18"/>
        </w:numPr>
        <w:spacing w:line="264" w:lineRule="auto"/>
        <w:rPr>
          <w:rStyle w:val="Emphasis"/>
          <w:rFonts w:cs="Arial"/>
          <w:b/>
          <w:i w:val="0"/>
        </w:rPr>
      </w:pPr>
      <w:r w:rsidRPr="00C479CC">
        <w:rPr>
          <w:rFonts w:cs="Arial"/>
        </w:rPr>
        <w:t>presentation</w:t>
      </w:r>
      <w:r w:rsidR="002A6706">
        <w:rPr>
          <w:rFonts w:cs="Arial"/>
        </w:rPr>
        <w:t>s</w:t>
      </w:r>
      <w:r w:rsidR="00C370F1" w:rsidRPr="00C479CC">
        <w:rPr>
          <w:rFonts w:cs="Arial"/>
        </w:rPr>
        <w:t xml:space="preserve"> to </w:t>
      </w:r>
      <w:r w:rsidR="00C370F1" w:rsidRPr="00C479CC">
        <w:rPr>
          <w:rFonts w:cs="Arial"/>
          <w:lang w:eastAsia="en-AU"/>
        </w:rPr>
        <w:t xml:space="preserve">the </w:t>
      </w:r>
      <w:r w:rsidR="00C370F1" w:rsidRPr="00C479CC">
        <w:rPr>
          <w:rStyle w:val="st1"/>
          <w:rFonts w:cs="Arial"/>
        </w:rPr>
        <w:t xml:space="preserve">Independent Scientific Committee on Wind </w:t>
      </w:r>
      <w:r w:rsidR="00C370F1" w:rsidRPr="00C479CC">
        <w:rPr>
          <w:rStyle w:val="Emphasis"/>
          <w:rFonts w:cs="Arial"/>
          <w:i w:val="0"/>
        </w:rPr>
        <w:t xml:space="preserve">Turbines, </w:t>
      </w:r>
      <w:r w:rsidR="00F37941">
        <w:rPr>
          <w:rStyle w:val="Emphasis"/>
          <w:rFonts w:cs="Arial"/>
          <w:i w:val="0"/>
        </w:rPr>
        <w:t>including</w:t>
      </w:r>
      <w:r w:rsidR="00C370F1" w:rsidRPr="00C479CC">
        <w:rPr>
          <w:rStyle w:val="Emphasis"/>
          <w:rFonts w:cs="Arial"/>
          <w:i w:val="0"/>
        </w:rPr>
        <w:t xml:space="preserve"> update</w:t>
      </w:r>
      <w:r w:rsidR="00F37941">
        <w:rPr>
          <w:rStyle w:val="Emphasis"/>
          <w:rFonts w:cs="Arial"/>
          <w:i w:val="0"/>
        </w:rPr>
        <w:t>s</w:t>
      </w:r>
      <w:r w:rsidR="00C370F1" w:rsidRPr="00C479CC">
        <w:rPr>
          <w:rStyle w:val="Emphasis"/>
          <w:rFonts w:cs="Arial"/>
          <w:i w:val="0"/>
        </w:rPr>
        <w:t xml:space="preserve"> on the Office’s activities</w:t>
      </w:r>
      <w:r w:rsidR="00F37941">
        <w:rPr>
          <w:rStyle w:val="Emphasis"/>
          <w:rFonts w:cs="Arial"/>
          <w:i w:val="0"/>
        </w:rPr>
        <w:t xml:space="preserve"> and</w:t>
      </w:r>
      <w:r w:rsidR="00C370F1" w:rsidRPr="00C479CC">
        <w:rPr>
          <w:rStyle w:val="Emphasis"/>
          <w:rFonts w:cs="Arial"/>
          <w:i w:val="0"/>
        </w:rPr>
        <w:t xml:space="preserve"> the Commissioner’s</w:t>
      </w:r>
      <w:r w:rsidR="007028FA" w:rsidRPr="00C479CC">
        <w:rPr>
          <w:rStyle w:val="Emphasis"/>
          <w:rFonts w:cs="Arial"/>
          <w:i w:val="0"/>
        </w:rPr>
        <w:t xml:space="preserve"> </w:t>
      </w:r>
      <w:r w:rsidR="00F37941">
        <w:rPr>
          <w:rStyle w:val="Emphasis"/>
          <w:rFonts w:cs="Arial"/>
          <w:i w:val="0"/>
        </w:rPr>
        <w:t xml:space="preserve">observations and </w:t>
      </w:r>
      <w:r w:rsidRPr="00C479CC">
        <w:rPr>
          <w:rStyle w:val="Emphasis"/>
          <w:rFonts w:cs="Arial"/>
          <w:i w:val="0"/>
        </w:rPr>
        <w:t>recommendations</w:t>
      </w:r>
    </w:p>
    <w:p w14:paraId="3E3A543B" w14:textId="17D7FEBD" w:rsidR="00C370F1" w:rsidRPr="004845DF" w:rsidRDefault="00346865" w:rsidP="007A1D42">
      <w:pPr>
        <w:pStyle w:val="ListBullet"/>
        <w:numPr>
          <w:ilvl w:val="0"/>
          <w:numId w:val="18"/>
        </w:numPr>
        <w:spacing w:line="264" w:lineRule="auto"/>
        <w:rPr>
          <w:rStyle w:val="Emphasis"/>
          <w:rFonts w:cs="Arial"/>
          <w:b/>
          <w:i w:val="0"/>
        </w:rPr>
      </w:pPr>
      <w:r>
        <w:rPr>
          <w:rStyle w:val="Emphasis"/>
          <w:rFonts w:cs="Arial"/>
          <w:i w:val="0"/>
        </w:rPr>
        <w:t xml:space="preserve">ongoing </w:t>
      </w:r>
      <w:r w:rsidR="00A20464">
        <w:rPr>
          <w:rStyle w:val="Emphasis"/>
          <w:rFonts w:cs="Arial"/>
          <w:i w:val="0"/>
        </w:rPr>
        <w:t>meetings with expert consultants in relation to</w:t>
      </w:r>
      <w:r>
        <w:rPr>
          <w:rStyle w:val="Emphasis"/>
          <w:rFonts w:cs="Arial"/>
          <w:i w:val="0"/>
        </w:rPr>
        <w:t xml:space="preserve"> a range of</w:t>
      </w:r>
      <w:r w:rsidR="00A20464">
        <w:rPr>
          <w:rStyle w:val="Emphasis"/>
          <w:rFonts w:cs="Arial"/>
          <w:i w:val="0"/>
        </w:rPr>
        <w:t xml:space="preserve"> topics in order to gain a better understanding of matters that the Office is investigating to promote best practices</w:t>
      </w:r>
      <w:r w:rsidR="001D533E">
        <w:rPr>
          <w:rStyle w:val="Emphasis"/>
          <w:rFonts w:cs="Arial"/>
          <w:i w:val="0"/>
        </w:rPr>
        <w:t>.</w:t>
      </w:r>
    </w:p>
    <w:p w14:paraId="5EBE2610" w14:textId="77777777" w:rsidR="004845DF" w:rsidRPr="004845DF" w:rsidRDefault="004845DF" w:rsidP="004845DF">
      <w:pPr>
        <w:pStyle w:val="Heading2"/>
        <w:rPr>
          <w:lang w:eastAsia="en-AU"/>
        </w:rPr>
      </w:pPr>
      <w:bookmarkStart w:id="30" w:name="_Toc84430825"/>
      <w:r w:rsidRPr="004845DF">
        <w:rPr>
          <w:lang w:eastAsia="en-AU"/>
        </w:rPr>
        <w:t>Other stakeholders</w:t>
      </w:r>
      <w:bookmarkEnd w:id="30"/>
    </w:p>
    <w:p w14:paraId="3FC7215C" w14:textId="77777777" w:rsidR="004845DF" w:rsidRPr="004845DF" w:rsidRDefault="004845DF" w:rsidP="004845DF">
      <w:pPr>
        <w:spacing w:line="264" w:lineRule="auto"/>
        <w:rPr>
          <w:rFonts w:eastAsia="Times New Roman" w:cs="Arial"/>
        </w:rPr>
      </w:pPr>
      <w:r w:rsidRPr="004845DF">
        <w:rPr>
          <w:rFonts w:eastAsia="Times New Roman" w:cs="Arial"/>
        </w:rPr>
        <w:t xml:space="preserve">The Commissioner’s best practice expertise and experience has been of high interest to several other related sectors as they consider these matters. </w:t>
      </w:r>
    </w:p>
    <w:p w14:paraId="55578F53" w14:textId="54545414" w:rsidR="004845DF" w:rsidRPr="004845DF" w:rsidRDefault="004845DF" w:rsidP="004845DF">
      <w:pPr>
        <w:spacing w:line="264" w:lineRule="auto"/>
        <w:rPr>
          <w:rFonts w:eastAsia="Times New Roman" w:cs="Arial"/>
        </w:rPr>
      </w:pPr>
      <w:r w:rsidRPr="004845DF">
        <w:rPr>
          <w:rFonts w:eastAsia="Times New Roman" w:cs="Arial"/>
        </w:rPr>
        <w:t xml:space="preserve">As a result, the Commissioner has provided presentations and consultations </w:t>
      </w:r>
      <w:r>
        <w:rPr>
          <w:rFonts w:eastAsia="Times New Roman" w:cs="Arial"/>
        </w:rPr>
        <w:t xml:space="preserve">in relation to </w:t>
      </w:r>
      <w:r w:rsidR="00346865">
        <w:rPr>
          <w:rFonts w:eastAsia="Times New Roman" w:cs="Arial"/>
        </w:rPr>
        <w:t xml:space="preserve">community engagement, </w:t>
      </w:r>
      <w:r>
        <w:rPr>
          <w:rFonts w:eastAsia="Times New Roman" w:cs="Arial"/>
        </w:rPr>
        <w:t>social licence</w:t>
      </w:r>
      <w:r w:rsidR="001702E0">
        <w:rPr>
          <w:rFonts w:eastAsia="Times New Roman" w:cs="Arial"/>
        </w:rPr>
        <w:t xml:space="preserve"> and other matters</w:t>
      </w:r>
      <w:r>
        <w:rPr>
          <w:rFonts w:eastAsia="Times New Roman" w:cs="Arial"/>
        </w:rPr>
        <w:t xml:space="preserve"> </w:t>
      </w:r>
      <w:r w:rsidRPr="004845DF">
        <w:rPr>
          <w:rFonts w:eastAsia="Times New Roman" w:cs="Arial"/>
        </w:rPr>
        <w:t>with groups such as:</w:t>
      </w:r>
    </w:p>
    <w:p w14:paraId="1B22593E" w14:textId="5B99F35C" w:rsidR="004845DF" w:rsidRPr="004845DF" w:rsidRDefault="004845DF" w:rsidP="007A1D42">
      <w:pPr>
        <w:pStyle w:val="ListParagraph"/>
        <w:numPr>
          <w:ilvl w:val="0"/>
          <w:numId w:val="20"/>
        </w:numPr>
        <w:spacing w:line="264" w:lineRule="auto"/>
        <w:ind w:left="426"/>
        <w:rPr>
          <w:rFonts w:eastAsia="Times New Roman" w:cs="Arial"/>
        </w:rPr>
      </w:pPr>
      <w:r w:rsidRPr="004845DF">
        <w:rPr>
          <w:rFonts w:eastAsia="Times New Roman" w:cs="Arial"/>
        </w:rPr>
        <w:t>Mineral Resources Council</w:t>
      </w:r>
      <w:r w:rsidR="00346865">
        <w:rPr>
          <w:rFonts w:eastAsia="Times New Roman" w:cs="Arial"/>
        </w:rPr>
        <w:t xml:space="preserve"> – </w:t>
      </w:r>
      <w:r w:rsidR="00735684">
        <w:rPr>
          <w:rFonts w:eastAsia="Times New Roman" w:cs="Arial"/>
        </w:rPr>
        <w:t xml:space="preserve">presentation on </w:t>
      </w:r>
      <w:r w:rsidR="00346865">
        <w:rPr>
          <w:rFonts w:eastAsia="Times New Roman" w:cs="Arial"/>
        </w:rPr>
        <w:t>community engagement</w:t>
      </w:r>
    </w:p>
    <w:p w14:paraId="0FC65D31" w14:textId="3C19EC49" w:rsidR="004845DF" w:rsidRPr="004845DF" w:rsidRDefault="004845DF" w:rsidP="007A1D42">
      <w:pPr>
        <w:pStyle w:val="ListParagraph"/>
        <w:numPr>
          <w:ilvl w:val="0"/>
          <w:numId w:val="20"/>
        </w:numPr>
        <w:spacing w:line="264" w:lineRule="auto"/>
        <w:ind w:left="426"/>
        <w:rPr>
          <w:rFonts w:eastAsia="Times New Roman" w:cs="Arial"/>
        </w:rPr>
      </w:pPr>
      <w:r w:rsidRPr="004845DF">
        <w:rPr>
          <w:rFonts w:eastAsia="Times New Roman" w:cs="Arial"/>
        </w:rPr>
        <w:t>Hydrogen Task Force</w:t>
      </w:r>
      <w:r w:rsidR="00346865">
        <w:rPr>
          <w:rFonts w:eastAsia="Times New Roman" w:cs="Arial"/>
        </w:rPr>
        <w:t xml:space="preserve"> – </w:t>
      </w:r>
      <w:r w:rsidR="00735684">
        <w:rPr>
          <w:rFonts w:eastAsia="Times New Roman" w:cs="Arial"/>
        </w:rPr>
        <w:t xml:space="preserve">workshop on </w:t>
      </w:r>
      <w:r w:rsidR="00346865">
        <w:rPr>
          <w:rFonts w:eastAsia="Times New Roman" w:cs="Arial"/>
        </w:rPr>
        <w:t>community engagement</w:t>
      </w:r>
    </w:p>
    <w:p w14:paraId="47F1E715" w14:textId="498A7A85" w:rsidR="001702E0" w:rsidRDefault="008037B2" w:rsidP="007A1D42">
      <w:pPr>
        <w:pStyle w:val="ListParagraph"/>
        <w:numPr>
          <w:ilvl w:val="0"/>
          <w:numId w:val="20"/>
        </w:numPr>
        <w:spacing w:line="264" w:lineRule="auto"/>
        <w:ind w:left="426"/>
        <w:rPr>
          <w:rFonts w:eastAsia="Times New Roman" w:cs="Arial"/>
        </w:rPr>
      </w:pPr>
      <w:r>
        <w:rPr>
          <w:rFonts w:eastAsia="Times New Roman" w:cs="Arial"/>
        </w:rPr>
        <w:lastRenderedPageBreak/>
        <w:t>Gas Task Force</w:t>
      </w:r>
      <w:r w:rsidR="00346865">
        <w:rPr>
          <w:rFonts w:eastAsia="Times New Roman" w:cs="Arial"/>
        </w:rPr>
        <w:t xml:space="preserve"> – </w:t>
      </w:r>
      <w:r w:rsidR="00735684">
        <w:rPr>
          <w:rFonts w:eastAsia="Times New Roman" w:cs="Arial"/>
        </w:rPr>
        <w:t xml:space="preserve">presentation on </w:t>
      </w:r>
      <w:r w:rsidR="00346865">
        <w:rPr>
          <w:rFonts w:eastAsia="Times New Roman" w:cs="Arial"/>
        </w:rPr>
        <w:t>community engagement</w:t>
      </w:r>
    </w:p>
    <w:p w14:paraId="263AF902" w14:textId="3816DD1A" w:rsidR="004845DF" w:rsidRPr="004845DF" w:rsidRDefault="001702E0" w:rsidP="007A1D42">
      <w:pPr>
        <w:pStyle w:val="ListParagraph"/>
        <w:numPr>
          <w:ilvl w:val="0"/>
          <w:numId w:val="20"/>
        </w:numPr>
        <w:spacing w:line="264" w:lineRule="auto"/>
        <w:ind w:left="426"/>
        <w:rPr>
          <w:rFonts w:eastAsia="Times New Roman" w:cs="Arial"/>
        </w:rPr>
      </w:pPr>
      <w:r>
        <w:rPr>
          <w:rFonts w:eastAsia="Times New Roman" w:cs="Arial"/>
        </w:rPr>
        <w:t>NSW Ports</w:t>
      </w:r>
      <w:r w:rsidR="00346865">
        <w:rPr>
          <w:rFonts w:eastAsia="Times New Roman" w:cs="Arial"/>
        </w:rPr>
        <w:t xml:space="preserve"> – </w:t>
      </w:r>
      <w:r w:rsidR="00735684">
        <w:rPr>
          <w:rFonts w:eastAsia="Times New Roman" w:cs="Arial"/>
        </w:rPr>
        <w:t xml:space="preserve">ongoing meetings on logistics, </w:t>
      </w:r>
      <w:r w:rsidR="00346865">
        <w:rPr>
          <w:rFonts w:eastAsia="Times New Roman" w:cs="Arial"/>
        </w:rPr>
        <w:t>planning</w:t>
      </w:r>
      <w:r w:rsidR="00735684">
        <w:rPr>
          <w:rFonts w:eastAsia="Times New Roman" w:cs="Arial"/>
        </w:rPr>
        <w:t xml:space="preserve"> and project pipelines</w:t>
      </w:r>
    </w:p>
    <w:p w14:paraId="3F6F762D" w14:textId="77777777" w:rsidR="004845DF" w:rsidRPr="004845DF" w:rsidRDefault="004845DF" w:rsidP="007A1D42">
      <w:pPr>
        <w:pStyle w:val="ListParagraph"/>
        <w:numPr>
          <w:ilvl w:val="0"/>
          <w:numId w:val="20"/>
        </w:numPr>
        <w:spacing w:line="264" w:lineRule="auto"/>
        <w:ind w:left="426"/>
        <w:rPr>
          <w:rStyle w:val="Emphasis"/>
          <w:rFonts w:eastAsia="Times New Roman" w:cs="Arial"/>
          <w:i w:val="0"/>
          <w:iCs w:val="0"/>
        </w:rPr>
      </w:pPr>
      <w:r w:rsidRPr="004845DF">
        <w:rPr>
          <w:rFonts w:eastAsia="Times New Roman" w:cs="Arial"/>
        </w:rPr>
        <w:t>various large-scale energy planning agencies</w:t>
      </w:r>
      <w:r>
        <w:rPr>
          <w:rFonts w:eastAsia="Times New Roman" w:cs="Arial"/>
        </w:rPr>
        <w:t>.</w:t>
      </w:r>
    </w:p>
    <w:p w14:paraId="32157BE2" w14:textId="77777777" w:rsidR="00B63E19" w:rsidRDefault="00B63E19" w:rsidP="00B63E19">
      <w:pPr>
        <w:pStyle w:val="Heading2"/>
      </w:pPr>
      <w:bookmarkStart w:id="31" w:name="_Toc84430826"/>
      <w:bookmarkStart w:id="32" w:name="_Toc465253687"/>
      <w:r>
        <w:t>Commissioner’s Website</w:t>
      </w:r>
      <w:bookmarkEnd w:id="31"/>
    </w:p>
    <w:p w14:paraId="7D3E5747" w14:textId="77777777" w:rsidR="00D93BBC" w:rsidRDefault="00AE0F0A" w:rsidP="004E42AA">
      <w:pPr>
        <w:rPr>
          <w:rFonts w:cs="Arial"/>
        </w:rPr>
      </w:pPr>
      <w:r>
        <w:rPr>
          <w:rFonts w:cs="Arial"/>
        </w:rPr>
        <w:t xml:space="preserve">The </w:t>
      </w:r>
      <w:r w:rsidRPr="008530B9">
        <w:rPr>
          <w:rFonts w:cs="Arial"/>
        </w:rPr>
        <w:t>Commi</w:t>
      </w:r>
      <w:r>
        <w:rPr>
          <w:rFonts w:cs="Arial"/>
        </w:rPr>
        <w:t>ssioner maintains a</w:t>
      </w:r>
      <w:r w:rsidRPr="008530B9">
        <w:rPr>
          <w:rFonts w:cs="Arial"/>
        </w:rPr>
        <w:t xml:space="preserve"> website</w:t>
      </w:r>
      <w:r w:rsidRPr="00AE0F0A">
        <w:rPr>
          <w:rFonts w:cs="Arial"/>
        </w:rPr>
        <w:t xml:space="preserve"> </w:t>
      </w:r>
      <w:r>
        <w:rPr>
          <w:rFonts w:cs="Arial"/>
        </w:rPr>
        <w:t xml:space="preserve">which </w:t>
      </w:r>
      <w:r w:rsidRPr="008530B9">
        <w:rPr>
          <w:rFonts w:cs="Arial"/>
        </w:rPr>
        <w:t>provides a wide range of information about the Office’s activities</w:t>
      </w:r>
      <w:r w:rsidR="001D533E">
        <w:rPr>
          <w:rFonts w:cs="Arial"/>
        </w:rPr>
        <w:t xml:space="preserve">. </w:t>
      </w:r>
      <w:r w:rsidR="00D93BBC">
        <w:rPr>
          <w:rFonts w:cs="Arial"/>
        </w:rPr>
        <w:t>The website also includes the Commissioner’s updated observations and recommendations.</w:t>
      </w:r>
    </w:p>
    <w:p w14:paraId="5BA73840" w14:textId="3F4CA4A4" w:rsidR="00AE0F0A" w:rsidRDefault="00AE0F0A" w:rsidP="004E42AA">
      <w:pPr>
        <w:rPr>
          <w:rFonts w:cs="Arial"/>
        </w:rPr>
      </w:pPr>
      <w:r>
        <w:rPr>
          <w:rFonts w:cs="Arial"/>
        </w:rPr>
        <w:t xml:space="preserve">The website includes </w:t>
      </w:r>
      <w:r w:rsidR="00D93BBC">
        <w:rPr>
          <w:rFonts w:cs="Arial"/>
        </w:rPr>
        <w:t xml:space="preserve">detailed information on how to lodge a complaint with the Office, as well as </w:t>
      </w:r>
      <w:r>
        <w:rPr>
          <w:rFonts w:cs="Arial"/>
        </w:rPr>
        <w:t xml:space="preserve">the </w:t>
      </w:r>
      <w:r w:rsidR="00D93BBC">
        <w:rPr>
          <w:rFonts w:cs="Arial"/>
        </w:rPr>
        <w:t>Office’s contact details, policies and</w:t>
      </w:r>
      <w:r>
        <w:rPr>
          <w:rFonts w:cs="Arial"/>
        </w:rPr>
        <w:t xml:space="preserve"> procedures</w:t>
      </w:r>
      <w:r w:rsidR="00982305">
        <w:rPr>
          <w:rFonts w:cs="Arial"/>
        </w:rPr>
        <w:t xml:space="preserve"> </w:t>
      </w:r>
      <w:r w:rsidR="00982305" w:rsidRPr="002A6706">
        <w:rPr>
          <w:rStyle w:val="hps-normal1"/>
          <w:rFonts w:cs="Arial"/>
          <w:lang w:val="en-US"/>
        </w:rPr>
        <w:t xml:space="preserve">and </w:t>
      </w:r>
      <w:r w:rsidR="00982305">
        <w:rPr>
          <w:rStyle w:val="hps-normal1"/>
          <w:rFonts w:cs="Arial"/>
          <w:lang w:val="en-US"/>
        </w:rPr>
        <w:t>other</w:t>
      </w:r>
      <w:r w:rsidR="00982305" w:rsidRPr="002A6706">
        <w:rPr>
          <w:rStyle w:val="hps-normal1"/>
          <w:rFonts w:cs="Arial"/>
          <w:lang w:val="en-US"/>
        </w:rPr>
        <w:t xml:space="preserve"> forms that can be used by </w:t>
      </w:r>
      <w:r w:rsidR="00982305">
        <w:rPr>
          <w:rStyle w:val="hps-normal1"/>
          <w:rFonts w:cs="Arial"/>
          <w:lang w:val="en-US"/>
        </w:rPr>
        <w:t xml:space="preserve">a </w:t>
      </w:r>
      <w:r w:rsidR="00982305" w:rsidRPr="002A6706">
        <w:rPr>
          <w:rStyle w:val="hps-normal1"/>
          <w:rFonts w:cs="Arial"/>
          <w:lang w:val="en-US"/>
        </w:rPr>
        <w:t>complainant</w:t>
      </w:r>
      <w:r>
        <w:rPr>
          <w:rFonts w:cs="Arial"/>
        </w:rPr>
        <w:t>.</w:t>
      </w:r>
    </w:p>
    <w:p w14:paraId="3925DA06" w14:textId="61E46094" w:rsidR="00982305" w:rsidRDefault="00B63E19" w:rsidP="00982305">
      <w:pPr>
        <w:rPr>
          <w:rFonts w:cs="Arial"/>
        </w:rPr>
      </w:pPr>
      <w:r w:rsidRPr="008530B9">
        <w:rPr>
          <w:rFonts w:cs="Arial"/>
        </w:rPr>
        <w:t xml:space="preserve">The </w:t>
      </w:r>
      <w:r w:rsidR="00D93BBC">
        <w:rPr>
          <w:rFonts w:cs="Arial"/>
        </w:rPr>
        <w:t>website</w:t>
      </w:r>
      <w:r w:rsidR="00AE0F0A">
        <w:rPr>
          <w:rFonts w:cs="Arial"/>
        </w:rPr>
        <w:t xml:space="preserve"> also</w:t>
      </w:r>
      <w:r w:rsidRPr="008530B9">
        <w:rPr>
          <w:rFonts w:cs="Arial"/>
        </w:rPr>
        <w:t xml:space="preserve"> </w:t>
      </w:r>
      <w:r w:rsidR="00AE0F0A">
        <w:rPr>
          <w:rFonts w:cs="Arial"/>
        </w:rPr>
        <w:t>provide</w:t>
      </w:r>
      <w:r w:rsidR="007A0A95">
        <w:rPr>
          <w:rFonts w:cs="Arial"/>
        </w:rPr>
        <w:t>s</w:t>
      </w:r>
      <w:r w:rsidR="00AE0F0A">
        <w:rPr>
          <w:rFonts w:cs="Arial"/>
        </w:rPr>
        <w:t xml:space="preserve"> </w:t>
      </w:r>
      <w:r w:rsidR="00AE0F0A" w:rsidRPr="008530B9">
        <w:rPr>
          <w:rFonts w:cs="Arial"/>
        </w:rPr>
        <w:t>accessible, independent and transparent</w:t>
      </w:r>
      <w:r w:rsidR="00AE0F0A">
        <w:rPr>
          <w:rFonts w:cs="Arial"/>
        </w:rPr>
        <w:t xml:space="preserve"> information </w:t>
      </w:r>
      <w:r w:rsidR="00AE0F0A" w:rsidRPr="008530B9">
        <w:rPr>
          <w:rFonts w:cs="Arial"/>
        </w:rPr>
        <w:t>about wind</w:t>
      </w:r>
      <w:r w:rsidR="00AE0F0A">
        <w:rPr>
          <w:rFonts w:cs="Arial"/>
        </w:rPr>
        <w:t xml:space="preserve"> </w:t>
      </w:r>
      <w:r w:rsidR="00D93BBC">
        <w:rPr>
          <w:rFonts w:cs="Arial"/>
        </w:rPr>
        <w:t>farms,</w:t>
      </w:r>
      <w:r w:rsidR="00AE0F0A">
        <w:rPr>
          <w:rFonts w:cs="Arial"/>
        </w:rPr>
        <w:t xml:space="preserve"> solar </w:t>
      </w:r>
      <w:r w:rsidR="00AE0F0A" w:rsidRPr="008530B9">
        <w:rPr>
          <w:rFonts w:cs="Arial"/>
        </w:rPr>
        <w:t>farms</w:t>
      </w:r>
      <w:r w:rsidR="00D93BBC">
        <w:rPr>
          <w:rFonts w:cs="Arial"/>
        </w:rPr>
        <w:t xml:space="preserve"> and energy storage projects</w:t>
      </w:r>
      <w:r w:rsidR="00982305">
        <w:rPr>
          <w:rFonts w:cs="Arial"/>
        </w:rPr>
        <w:t>.</w:t>
      </w:r>
      <w:r w:rsidR="00982305" w:rsidRPr="00982305">
        <w:rPr>
          <w:rFonts w:cs="Arial"/>
        </w:rPr>
        <w:t xml:space="preserve"> </w:t>
      </w:r>
      <w:r w:rsidR="00982305">
        <w:rPr>
          <w:rFonts w:cs="Arial"/>
        </w:rPr>
        <w:t xml:space="preserve">This includes </w:t>
      </w:r>
      <w:r w:rsidR="00982305" w:rsidRPr="008530B9">
        <w:rPr>
          <w:rFonts w:cs="Arial"/>
        </w:rPr>
        <w:t xml:space="preserve">links to </w:t>
      </w:r>
      <w:r w:rsidR="00982305">
        <w:rPr>
          <w:rFonts w:cs="Arial"/>
        </w:rPr>
        <w:t xml:space="preserve">resources </w:t>
      </w:r>
      <w:r w:rsidR="00982305" w:rsidRPr="008530B9">
        <w:rPr>
          <w:rFonts w:cs="Arial"/>
        </w:rPr>
        <w:t>about the</w:t>
      </w:r>
      <w:r w:rsidR="00982305">
        <w:rPr>
          <w:rFonts w:cs="Arial"/>
        </w:rPr>
        <w:t xml:space="preserve">se </w:t>
      </w:r>
      <w:r w:rsidR="00982305" w:rsidRPr="008530B9">
        <w:rPr>
          <w:rFonts w:cs="Arial"/>
        </w:rPr>
        <w:t>industr</w:t>
      </w:r>
      <w:r w:rsidR="00982305">
        <w:rPr>
          <w:rFonts w:cs="Arial"/>
        </w:rPr>
        <w:t xml:space="preserve">ies as well as </w:t>
      </w:r>
      <w:r w:rsidR="00982305" w:rsidRPr="008530B9">
        <w:rPr>
          <w:rFonts w:cs="Arial"/>
        </w:rPr>
        <w:t>information on energy generation, health</w:t>
      </w:r>
      <w:r w:rsidR="00982305">
        <w:rPr>
          <w:rFonts w:cs="Arial"/>
        </w:rPr>
        <w:t xml:space="preserve"> studies</w:t>
      </w:r>
      <w:r w:rsidR="00982305" w:rsidRPr="008530B9">
        <w:rPr>
          <w:rFonts w:cs="Arial"/>
        </w:rPr>
        <w:t>, emergency management, planning authorities</w:t>
      </w:r>
      <w:r w:rsidR="00982305">
        <w:rPr>
          <w:rFonts w:cs="Arial"/>
        </w:rPr>
        <w:t xml:space="preserve"> and guidelines,</w:t>
      </w:r>
      <w:r w:rsidR="00982305" w:rsidRPr="008530B9">
        <w:rPr>
          <w:rFonts w:cs="Arial"/>
        </w:rPr>
        <w:t xml:space="preserve"> compliance</w:t>
      </w:r>
      <w:r w:rsidR="00982305">
        <w:rPr>
          <w:rFonts w:cs="Arial"/>
        </w:rPr>
        <w:t xml:space="preserve"> authority </w:t>
      </w:r>
      <w:r w:rsidR="00982305" w:rsidRPr="008530B9">
        <w:rPr>
          <w:rFonts w:cs="Arial"/>
        </w:rPr>
        <w:t>contact details</w:t>
      </w:r>
      <w:r w:rsidR="00982305" w:rsidRPr="00AE0F0A">
        <w:rPr>
          <w:rFonts w:cs="Arial"/>
        </w:rPr>
        <w:t xml:space="preserve"> </w:t>
      </w:r>
      <w:r w:rsidR="00982305">
        <w:rPr>
          <w:rFonts w:cs="Arial"/>
        </w:rPr>
        <w:t>and community engagement best practices.</w:t>
      </w:r>
    </w:p>
    <w:p w14:paraId="7C29EBCC" w14:textId="77777777" w:rsidR="00982305" w:rsidRDefault="00982305" w:rsidP="004E42AA">
      <w:pPr>
        <w:rPr>
          <w:rFonts w:cs="Arial"/>
        </w:rPr>
      </w:pPr>
      <w:r>
        <w:rPr>
          <w:rStyle w:val="hps-normal1"/>
          <w:rFonts w:cs="Arial"/>
          <w:lang w:val="en-US"/>
        </w:rPr>
        <w:t xml:space="preserve">For industry, the website provides </w:t>
      </w:r>
      <w:r w:rsidRPr="002A6706">
        <w:rPr>
          <w:rStyle w:val="hps-normal1"/>
          <w:rFonts w:cs="Arial"/>
          <w:lang w:val="en-US"/>
        </w:rPr>
        <w:t>documentation and links to improve transparency of information about wind and solar farms, best practices and complaint handling</w:t>
      </w:r>
      <w:r>
        <w:rPr>
          <w:rStyle w:val="hps-normal1"/>
          <w:rFonts w:cs="Arial"/>
          <w:lang w:val="en-US"/>
        </w:rPr>
        <w:t>.</w:t>
      </w:r>
    </w:p>
    <w:p w14:paraId="6F47E638" w14:textId="77777777" w:rsidR="00024212" w:rsidRPr="004E42AA" w:rsidRDefault="00B63E19" w:rsidP="004E42AA">
      <w:pPr>
        <w:rPr>
          <w:rFonts w:cs="Arial"/>
        </w:rPr>
        <w:sectPr w:rsidR="00024212" w:rsidRPr="004E42AA" w:rsidSect="00C90C75">
          <w:headerReference w:type="even" r:id="rId59"/>
          <w:headerReference w:type="default" r:id="rId60"/>
          <w:footerReference w:type="even" r:id="rId61"/>
          <w:footerReference w:type="default" r:id="rId62"/>
          <w:headerReference w:type="first" r:id="rId63"/>
          <w:pgSz w:w="11906" w:h="16838" w:code="9"/>
          <w:pgMar w:top="720" w:right="720" w:bottom="720" w:left="720" w:header="425" w:footer="425" w:gutter="0"/>
          <w:cols w:space="708"/>
          <w:docGrid w:linePitch="360"/>
        </w:sectPr>
      </w:pPr>
      <w:r w:rsidRPr="008530B9">
        <w:rPr>
          <w:rFonts w:cs="Arial"/>
        </w:rPr>
        <w:t xml:space="preserve">The </w:t>
      </w:r>
      <w:r w:rsidR="00FB7467">
        <w:rPr>
          <w:rFonts w:cs="Arial"/>
        </w:rPr>
        <w:t xml:space="preserve">Commissioner’s </w:t>
      </w:r>
      <w:r w:rsidRPr="008530B9">
        <w:rPr>
          <w:rFonts w:cs="Arial"/>
        </w:rPr>
        <w:t xml:space="preserve">website </w:t>
      </w:r>
      <w:r w:rsidR="00AE0F0A">
        <w:rPr>
          <w:rFonts w:cs="Arial"/>
        </w:rPr>
        <w:t xml:space="preserve">is available </w:t>
      </w:r>
      <w:r w:rsidRPr="008530B9">
        <w:rPr>
          <w:rFonts w:cs="Arial"/>
        </w:rPr>
        <w:t xml:space="preserve">at </w:t>
      </w:r>
      <w:hyperlink r:id="rId64" w:history="1">
        <w:r w:rsidRPr="008530B9">
          <w:rPr>
            <w:rStyle w:val="Hyperlink"/>
            <w:rFonts w:cs="Arial"/>
          </w:rPr>
          <w:t>www.nwfc.gov.au</w:t>
        </w:r>
      </w:hyperlink>
      <w:r w:rsidRPr="008530B9">
        <w:rPr>
          <w:rFonts w:cs="Arial"/>
        </w:rPr>
        <w:t>.</w:t>
      </w:r>
    </w:p>
    <w:p w14:paraId="3457EEF3" w14:textId="77777777" w:rsidR="00A206B9" w:rsidRDefault="00B20928" w:rsidP="00B63E19">
      <w:pPr>
        <w:pStyle w:val="Heading1"/>
      </w:pPr>
      <w:bookmarkStart w:id="33" w:name="_Toc84430827"/>
      <w:r w:rsidRPr="00814CF3">
        <w:lastRenderedPageBreak/>
        <w:t>Reforms and</w:t>
      </w:r>
      <w:r w:rsidR="00A206B9" w:rsidRPr="00814CF3">
        <w:t xml:space="preserve"> advocacy</w:t>
      </w:r>
      <w:bookmarkEnd w:id="33"/>
    </w:p>
    <w:p w14:paraId="2C76BCD1" w14:textId="77777777" w:rsidR="008A0789" w:rsidRPr="008A0789" w:rsidRDefault="008A0789" w:rsidP="008A0789">
      <w:pPr>
        <w:spacing w:line="264" w:lineRule="auto"/>
        <w:rPr>
          <w:rFonts w:cs="Arial"/>
        </w:rPr>
      </w:pPr>
      <w:r w:rsidRPr="004314B5">
        <w:rPr>
          <w:rFonts w:cs="Arial"/>
        </w:rPr>
        <w:t>Throughout 2020, the Office undertook a number of initiatives and advocated for a variety of reforms. Some of these reforms a</w:t>
      </w:r>
      <w:r>
        <w:rPr>
          <w:rFonts w:cs="Arial"/>
        </w:rPr>
        <w:t>nd advocacy are outlined below:</w:t>
      </w:r>
    </w:p>
    <w:p w14:paraId="62365DEA" w14:textId="7A54FDBE" w:rsidR="00C1489A" w:rsidRPr="00C1489A" w:rsidRDefault="00C1489A" w:rsidP="007A1D42">
      <w:pPr>
        <w:pStyle w:val="ydp9b35d7f1yiv8283073263msolistparagraph"/>
        <w:numPr>
          <w:ilvl w:val="0"/>
          <w:numId w:val="20"/>
        </w:numPr>
        <w:spacing w:before="0" w:beforeAutospacing="0" w:after="200" w:afterAutospacing="0" w:line="264" w:lineRule="auto"/>
        <w:ind w:left="425" w:hanging="357"/>
        <w:rPr>
          <w:rFonts w:ascii="Arial" w:eastAsia="Arial" w:hAnsi="Arial" w:cs="Arial"/>
          <w:color w:val="000000"/>
          <w:sz w:val="22"/>
          <w:szCs w:val="22"/>
        </w:rPr>
      </w:pPr>
      <w:r w:rsidRPr="00C1489A">
        <w:rPr>
          <w:rFonts w:ascii="Arial" w:hAnsi="Arial" w:cs="Arial"/>
          <w:sz w:val="22"/>
          <w:szCs w:val="22"/>
        </w:rPr>
        <w:t xml:space="preserve">Initiation of a Wind Industry Leaders Forum on safety matters, hosted by the Clean Energy Council. The purpose of this forum was to discuss strategies to improve industry transparency in relation to accidents, hazards and other incidents. Following the Commissioner’s presentation at the </w:t>
      </w:r>
      <w:r w:rsidR="007A0A95">
        <w:rPr>
          <w:rFonts w:ascii="Arial" w:hAnsi="Arial" w:cs="Arial"/>
          <w:sz w:val="22"/>
          <w:szCs w:val="22"/>
        </w:rPr>
        <w:t>f</w:t>
      </w:r>
      <w:r w:rsidR="007A0A95" w:rsidRPr="00C1489A">
        <w:rPr>
          <w:rFonts w:ascii="Arial" w:hAnsi="Arial" w:cs="Arial"/>
          <w:sz w:val="22"/>
          <w:szCs w:val="22"/>
        </w:rPr>
        <w:t>orum</w:t>
      </w:r>
      <w:r w:rsidRPr="00C1489A">
        <w:rPr>
          <w:rFonts w:ascii="Arial" w:hAnsi="Arial" w:cs="Arial"/>
          <w:sz w:val="22"/>
          <w:szCs w:val="22"/>
        </w:rPr>
        <w:t>, the industry leaders made a number of commitments including that, effective immediately, the industry will share and be fully transparent about safety incidents, incident root causes and corrective actions.</w:t>
      </w:r>
    </w:p>
    <w:p w14:paraId="5ABDB87E" w14:textId="47A9B4DD" w:rsidR="002A6706" w:rsidRPr="002A6706" w:rsidRDefault="00346865" w:rsidP="007A1D42">
      <w:pPr>
        <w:pStyle w:val="ydp9b35d7f1yiv8283073263msolistparagraph"/>
        <w:numPr>
          <w:ilvl w:val="0"/>
          <w:numId w:val="20"/>
        </w:numPr>
        <w:spacing w:before="0" w:beforeAutospacing="0" w:after="200" w:afterAutospacing="0" w:line="264" w:lineRule="auto"/>
        <w:ind w:left="426"/>
        <w:rPr>
          <w:rFonts w:ascii="Arial" w:eastAsia="Arial" w:hAnsi="Arial" w:cs="Arial"/>
          <w:color w:val="000000"/>
          <w:sz w:val="22"/>
          <w:szCs w:val="22"/>
        </w:rPr>
      </w:pPr>
      <w:r>
        <w:rPr>
          <w:rFonts w:ascii="Arial" w:eastAsia="Arial" w:hAnsi="Arial" w:cs="Arial"/>
          <w:color w:val="000000"/>
          <w:sz w:val="22"/>
          <w:szCs w:val="22"/>
        </w:rPr>
        <w:t>Monitoring and</w:t>
      </w:r>
      <w:r w:rsidR="002A6706" w:rsidRPr="002A6706">
        <w:rPr>
          <w:rFonts w:ascii="Arial" w:eastAsia="Arial" w:hAnsi="Arial" w:cs="Arial"/>
          <w:color w:val="000000"/>
          <w:sz w:val="22"/>
          <w:szCs w:val="22"/>
        </w:rPr>
        <w:t xml:space="preserve"> </w:t>
      </w:r>
      <w:r w:rsidR="002F15DC">
        <w:rPr>
          <w:rFonts w:ascii="Arial" w:eastAsia="Arial" w:hAnsi="Arial" w:cs="Arial"/>
          <w:color w:val="000000"/>
          <w:sz w:val="22"/>
          <w:szCs w:val="22"/>
        </w:rPr>
        <w:t>exploring</w:t>
      </w:r>
      <w:r w:rsidR="002F15DC" w:rsidRPr="002A6706">
        <w:rPr>
          <w:rFonts w:ascii="Arial" w:eastAsia="Arial" w:hAnsi="Arial" w:cs="Arial"/>
          <w:color w:val="000000"/>
          <w:sz w:val="22"/>
          <w:szCs w:val="22"/>
        </w:rPr>
        <w:t xml:space="preserve"> </w:t>
      </w:r>
      <w:r w:rsidR="002A6706" w:rsidRPr="002A6706">
        <w:rPr>
          <w:rFonts w:ascii="Arial" w:eastAsia="Arial" w:hAnsi="Arial" w:cs="Arial"/>
          <w:color w:val="000000"/>
          <w:sz w:val="22"/>
          <w:szCs w:val="22"/>
        </w:rPr>
        <w:t>issues regarding decommissioning of wind farms</w:t>
      </w:r>
      <w:r w:rsidR="00CB3621">
        <w:rPr>
          <w:rFonts w:ascii="Arial" w:eastAsia="Arial" w:hAnsi="Arial" w:cs="Arial"/>
          <w:color w:val="000000"/>
          <w:sz w:val="22"/>
          <w:szCs w:val="22"/>
        </w:rPr>
        <w:t>, including</w:t>
      </w:r>
      <w:r w:rsidR="002A6706" w:rsidRPr="002A6706">
        <w:rPr>
          <w:rFonts w:ascii="Arial" w:eastAsia="Arial" w:hAnsi="Arial" w:cs="Arial"/>
          <w:color w:val="000000"/>
          <w:sz w:val="22"/>
          <w:szCs w:val="22"/>
        </w:rPr>
        <w:t xml:space="preserve"> decommissioning costs, responsibilities, risks and logistics.</w:t>
      </w:r>
    </w:p>
    <w:p w14:paraId="3B5B957C" w14:textId="781AF978" w:rsidR="00C1489A" w:rsidRPr="004314B5" w:rsidRDefault="00C1489A" w:rsidP="007A1D42">
      <w:pPr>
        <w:pStyle w:val="ListParagraph"/>
        <w:numPr>
          <w:ilvl w:val="0"/>
          <w:numId w:val="20"/>
        </w:numPr>
        <w:autoSpaceDE w:val="0"/>
        <w:autoSpaceDN w:val="0"/>
        <w:adjustRightInd w:val="0"/>
        <w:spacing w:line="264" w:lineRule="auto"/>
        <w:ind w:left="426"/>
        <w:rPr>
          <w:rFonts w:eastAsiaTheme="minorHAnsi" w:cs="Arial"/>
          <w:color w:val="000000"/>
        </w:rPr>
      </w:pPr>
      <w:r>
        <w:rPr>
          <w:rFonts w:eastAsiaTheme="minorHAnsi" w:cs="Arial"/>
          <w:color w:val="000000"/>
        </w:rPr>
        <w:t>Continuing</w:t>
      </w:r>
      <w:r w:rsidRPr="004314B5">
        <w:rPr>
          <w:rFonts w:eastAsiaTheme="minorHAnsi" w:cs="Arial"/>
          <w:color w:val="000000"/>
        </w:rPr>
        <w:t xml:space="preserve"> to advocate for improved oversight of third-party consultant reports following the adoption of the Commissioner’s predictive noise assessment and noise testing recommendations by the </w:t>
      </w:r>
      <w:r w:rsidRPr="004314B5">
        <w:rPr>
          <w:rFonts w:eastAsiaTheme="minorHAnsi" w:cs="Arial"/>
        </w:rPr>
        <w:t xml:space="preserve">Victorian Government. </w:t>
      </w:r>
      <w:r w:rsidR="008C2FAA" w:rsidRPr="008C2FAA">
        <w:rPr>
          <w:rFonts w:eastAsiaTheme="minorHAnsi" w:cs="Arial"/>
          <w:color w:val="000000"/>
        </w:rPr>
        <w:t xml:space="preserve">This includes assessments relating to </w:t>
      </w:r>
      <w:r w:rsidR="008C2FAA">
        <w:rPr>
          <w:rFonts w:eastAsiaTheme="minorHAnsi" w:cs="Arial"/>
          <w:color w:val="000000"/>
        </w:rPr>
        <w:t xml:space="preserve">matters such as </w:t>
      </w:r>
      <w:r w:rsidR="008C2FAA" w:rsidRPr="008C2FAA">
        <w:rPr>
          <w:rFonts w:eastAsiaTheme="minorHAnsi" w:cs="Arial"/>
          <w:color w:val="000000"/>
        </w:rPr>
        <w:t>aviation safety</w:t>
      </w:r>
      <w:r w:rsidRPr="008C2FAA">
        <w:rPr>
          <w:rFonts w:eastAsiaTheme="minorHAnsi" w:cs="Arial"/>
          <w:color w:val="000000"/>
        </w:rPr>
        <w:t xml:space="preserve">, </w:t>
      </w:r>
      <w:r w:rsidR="008C2FAA" w:rsidRPr="008C2FAA">
        <w:rPr>
          <w:rFonts w:eastAsiaTheme="minorHAnsi" w:cs="Arial"/>
          <w:color w:val="000000"/>
        </w:rPr>
        <w:t>bushfire risk</w:t>
      </w:r>
      <w:r w:rsidRPr="008C2FAA">
        <w:rPr>
          <w:rFonts w:eastAsiaTheme="minorHAnsi" w:cs="Arial"/>
          <w:color w:val="000000"/>
        </w:rPr>
        <w:t xml:space="preserve">, </w:t>
      </w:r>
      <w:r w:rsidR="008C2FAA" w:rsidRPr="008C2FAA">
        <w:rPr>
          <w:rFonts w:eastAsiaTheme="minorHAnsi" w:cs="Arial"/>
          <w:color w:val="000000"/>
        </w:rPr>
        <w:t>e</w:t>
      </w:r>
      <w:r w:rsidRPr="008C2FAA">
        <w:rPr>
          <w:rFonts w:eastAsiaTheme="minorHAnsi" w:cs="Arial"/>
          <w:color w:val="000000"/>
        </w:rPr>
        <w:t xml:space="preserve">nvironmental </w:t>
      </w:r>
      <w:r w:rsidR="008C2FAA" w:rsidRPr="008C2FAA">
        <w:rPr>
          <w:rFonts w:eastAsiaTheme="minorHAnsi" w:cs="Arial"/>
          <w:color w:val="000000"/>
        </w:rPr>
        <w:t>i</w:t>
      </w:r>
      <w:r w:rsidRPr="008C2FAA">
        <w:rPr>
          <w:rFonts w:eastAsiaTheme="minorHAnsi" w:cs="Arial"/>
          <w:color w:val="000000"/>
        </w:rPr>
        <w:t>mpact</w:t>
      </w:r>
      <w:r w:rsidR="008C2FAA" w:rsidRPr="008C2FAA">
        <w:rPr>
          <w:rFonts w:eastAsiaTheme="minorHAnsi" w:cs="Arial"/>
          <w:color w:val="000000"/>
        </w:rPr>
        <w:t>s and t</w:t>
      </w:r>
      <w:r w:rsidRPr="008C2FAA">
        <w:rPr>
          <w:rFonts w:eastAsiaTheme="minorHAnsi" w:cs="Arial"/>
          <w:color w:val="000000"/>
        </w:rPr>
        <w:t xml:space="preserve">raffic </w:t>
      </w:r>
      <w:r w:rsidR="008C2FAA" w:rsidRPr="008C2FAA">
        <w:rPr>
          <w:rFonts w:eastAsiaTheme="minorHAnsi" w:cs="Arial"/>
          <w:color w:val="000000"/>
        </w:rPr>
        <w:t>m</w:t>
      </w:r>
      <w:r w:rsidRPr="008C2FAA">
        <w:rPr>
          <w:rFonts w:eastAsiaTheme="minorHAnsi" w:cs="Arial"/>
          <w:color w:val="000000"/>
        </w:rPr>
        <w:t>anagement</w:t>
      </w:r>
      <w:r w:rsidRPr="004314B5">
        <w:rPr>
          <w:rFonts w:eastAsiaTheme="minorHAnsi" w:cs="Arial"/>
          <w:color w:val="000000"/>
        </w:rPr>
        <w:t>.</w:t>
      </w:r>
    </w:p>
    <w:p w14:paraId="45E77AB0" w14:textId="77777777" w:rsidR="00735684" w:rsidRPr="008A0789" w:rsidRDefault="00735684" w:rsidP="007A1D42">
      <w:pPr>
        <w:numPr>
          <w:ilvl w:val="0"/>
          <w:numId w:val="20"/>
        </w:numPr>
        <w:spacing w:line="264" w:lineRule="auto"/>
        <w:ind w:left="426"/>
        <w:rPr>
          <w:rFonts w:cs="Arial"/>
        </w:rPr>
      </w:pPr>
      <w:r w:rsidRPr="004314B5">
        <w:rPr>
          <w:rFonts w:cs="Arial"/>
        </w:rPr>
        <w:t>Continu</w:t>
      </w:r>
      <w:r>
        <w:rPr>
          <w:rFonts w:cs="Arial"/>
        </w:rPr>
        <w:t>ing</w:t>
      </w:r>
      <w:r w:rsidRPr="004314B5">
        <w:rPr>
          <w:rFonts w:cs="Arial"/>
        </w:rPr>
        <w:t xml:space="preserve"> to work closely with </w:t>
      </w:r>
      <w:r>
        <w:rPr>
          <w:rFonts w:cs="Arial"/>
        </w:rPr>
        <w:t>industry and government</w:t>
      </w:r>
      <w:r w:rsidRPr="004314B5">
        <w:rPr>
          <w:rFonts w:cs="Arial"/>
        </w:rPr>
        <w:t xml:space="preserve"> to review and provide advice for best practice internal complaint handling procedures, including advocating for increased transparency and consistency with international guidelines as well as investigate options and solutions for residents, developers and third-party contractors.</w:t>
      </w:r>
    </w:p>
    <w:p w14:paraId="3BD45C7C" w14:textId="374612F8" w:rsidR="00735684" w:rsidRDefault="002A6706" w:rsidP="007A1D42">
      <w:pPr>
        <w:pStyle w:val="ListParagraph"/>
        <w:numPr>
          <w:ilvl w:val="0"/>
          <w:numId w:val="20"/>
        </w:numPr>
        <w:autoSpaceDE w:val="0"/>
        <w:autoSpaceDN w:val="0"/>
        <w:adjustRightInd w:val="0"/>
        <w:spacing w:line="264" w:lineRule="auto"/>
        <w:ind w:left="426" w:hanging="357"/>
        <w:rPr>
          <w:rFonts w:cs="Arial"/>
          <w:color w:val="000000"/>
        </w:rPr>
      </w:pPr>
      <w:r w:rsidRPr="002A6706">
        <w:rPr>
          <w:rFonts w:cs="Arial"/>
          <w:color w:val="000000"/>
        </w:rPr>
        <w:t xml:space="preserve">Ongoing guidance to </w:t>
      </w:r>
      <w:r w:rsidR="00346865">
        <w:rPr>
          <w:rFonts w:cs="Arial"/>
          <w:color w:val="000000"/>
        </w:rPr>
        <w:t xml:space="preserve">various state and </w:t>
      </w:r>
      <w:r w:rsidRPr="002A6706">
        <w:rPr>
          <w:rFonts w:cs="Arial"/>
          <w:color w:val="000000"/>
        </w:rPr>
        <w:t xml:space="preserve">local government agencies to implement appropriate procedures for handling complaints received about nuisance allegations related to wind farms, </w:t>
      </w:r>
      <w:r w:rsidR="00735684">
        <w:rPr>
          <w:rFonts w:cs="Arial"/>
          <w:color w:val="000000"/>
        </w:rPr>
        <w:t>particularly in relation to</w:t>
      </w:r>
      <w:r w:rsidR="004E1E7B">
        <w:rPr>
          <w:rFonts w:cs="Arial"/>
          <w:color w:val="000000"/>
        </w:rPr>
        <w:t xml:space="preserve"> those</w:t>
      </w:r>
      <w:r w:rsidRPr="002A6706">
        <w:rPr>
          <w:rFonts w:cs="Arial"/>
          <w:color w:val="000000"/>
        </w:rPr>
        <w:t xml:space="preserve"> provided for in the </w:t>
      </w:r>
      <w:r w:rsidRPr="002A6706">
        <w:rPr>
          <w:rFonts w:cs="Arial"/>
          <w:i/>
          <w:iCs/>
          <w:color w:val="000000"/>
        </w:rPr>
        <w:t xml:space="preserve">Public Health and Wellbeing Act 2008 </w:t>
      </w:r>
      <w:r w:rsidR="00C1489A">
        <w:rPr>
          <w:rFonts w:cs="Arial"/>
          <w:color w:val="000000"/>
        </w:rPr>
        <w:t>(Victoria)</w:t>
      </w:r>
      <w:r w:rsidR="00735684">
        <w:rPr>
          <w:rFonts w:cs="Arial"/>
          <w:color w:val="000000"/>
        </w:rPr>
        <w:t xml:space="preserve"> and the proposed reforms in relation to wind farm noise complaints under this legislation. </w:t>
      </w:r>
    </w:p>
    <w:p w14:paraId="43829C79" w14:textId="52DB63ED" w:rsidR="002A6706" w:rsidRDefault="00735684" w:rsidP="007A1D42">
      <w:pPr>
        <w:pStyle w:val="ListParagraph"/>
        <w:numPr>
          <w:ilvl w:val="0"/>
          <w:numId w:val="20"/>
        </w:numPr>
        <w:autoSpaceDE w:val="0"/>
        <w:autoSpaceDN w:val="0"/>
        <w:adjustRightInd w:val="0"/>
        <w:spacing w:line="264" w:lineRule="auto"/>
        <w:ind w:left="426" w:hanging="357"/>
        <w:rPr>
          <w:rFonts w:cs="Arial"/>
          <w:color w:val="000000"/>
        </w:rPr>
      </w:pPr>
      <w:r>
        <w:rPr>
          <w:rFonts w:cs="Arial"/>
          <w:color w:val="000000"/>
        </w:rPr>
        <w:t>M</w:t>
      </w:r>
      <w:r w:rsidR="002A6706" w:rsidRPr="002A6706">
        <w:rPr>
          <w:rFonts w:cs="Arial"/>
          <w:color w:val="000000"/>
        </w:rPr>
        <w:t xml:space="preserve">ember of the Victorian Government consultative committee advising on reforms to wind farm noise regulation within </w:t>
      </w:r>
      <w:r w:rsidR="008C2FAA">
        <w:rPr>
          <w:rFonts w:cs="Arial"/>
          <w:color w:val="000000"/>
        </w:rPr>
        <w:t>Victoria, particularly in relation to the scheduled introduction of the General Environmental Duty in 2021 under the Victoria Government’s incoming environmental framework.</w:t>
      </w:r>
    </w:p>
    <w:p w14:paraId="0CFBD07F" w14:textId="4C6FCFFC" w:rsidR="008C2FAA" w:rsidRPr="008C2FAA" w:rsidRDefault="008C2FAA" w:rsidP="007A1D42">
      <w:pPr>
        <w:pStyle w:val="ListParagraph"/>
        <w:numPr>
          <w:ilvl w:val="0"/>
          <w:numId w:val="20"/>
        </w:numPr>
        <w:autoSpaceDE w:val="0"/>
        <w:autoSpaceDN w:val="0"/>
        <w:adjustRightInd w:val="0"/>
        <w:spacing w:line="264" w:lineRule="auto"/>
        <w:ind w:left="426" w:hanging="357"/>
        <w:rPr>
          <w:rFonts w:cs="Arial"/>
          <w:color w:val="000000"/>
        </w:rPr>
      </w:pPr>
      <w:r>
        <w:rPr>
          <w:rFonts w:eastAsia="Times New Roman" w:cs="Arial"/>
          <w:color w:val="000000"/>
          <w:szCs w:val="24"/>
        </w:rPr>
        <w:t xml:space="preserve">Recommendations made through the </w:t>
      </w:r>
      <w:r w:rsidRPr="00A20464">
        <w:rPr>
          <w:rFonts w:eastAsia="Times New Roman" w:cs="Arial"/>
          <w:color w:val="000000"/>
          <w:szCs w:val="24"/>
          <w:lang w:val="x-none"/>
        </w:rPr>
        <w:t>New South Wales Currandooley Coronial Inquiry</w:t>
      </w:r>
      <w:r w:rsidRPr="00A20464">
        <w:rPr>
          <w:rFonts w:eastAsia="Times New Roman" w:cs="Arial"/>
          <w:color w:val="000000"/>
          <w:szCs w:val="24"/>
        </w:rPr>
        <w:t xml:space="preserve"> </w:t>
      </w:r>
      <w:r w:rsidRPr="00A20464">
        <w:rPr>
          <w:rFonts w:eastAsia="Times New Roman" w:cs="Arial"/>
          <w:color w:val="000000"/>
          <w:szCs w:val="24"/>
          <w:lang w:val="x-none"/>
        </w:rPr>
        <w:t>Working Group</w:t>
      </w:r>
      <w:r>
        <w:t>, particularly in relation to fire safety design for private transmission lines that may connect assets such as renewable energy projects to the electricity grid.</w:t>
      </w:r>
    </w:p>
    <w:p w14:paraId="04B9B36A" w14:textId="77777777" w:rsidR="002A6706" w:rsidRDefault="00C1489A" w:rsidP="007A1D42">
      <w:pPr>
        <w:pStyle w:val="ListParagraph"/>
        <w:numPr>
          <w:ilvl w:val="0"/>
          <w:numId w:val="20"/>
        </w:numPr>
        <w:autoSpaceDE w:val="0"/>
        <w:autoSpaceDN w:val="0"/>
        <w:adjustRightInd w:val="0"/>
        <w:spacing w:line="264" w:lineRule="auto"/>
        <w:ind w:left="426" w:hanging="357"/>
        <w:rPr>
          <w:rFonts w:cs="Arial"/>
          <w:color w:val="000000"/>
        </w:rPr>
      </w:pPr>
      <w:r>
        <w:rPr>
          <w:rFonts w:cs="Arial"/>
          <w:color w:val="000000"/>
        </w:rPr>
        <w:t xml:space="preserve">Ongoing consultation as a referral agency for the </w:t>
      </w:r>
      <w:r w:rsidRPr="002A6706">
        <w:rPr>
          <w:rFonts w:cs="Arial"/>
          <w:color w:val="000000"/>
        </w:rPr>
        <w:t xml:space="preserve">Clean Energy </w:t>
      </w:r>
      <w:r>
        <w:rPr>
          <w:rFonts w:cs="Arial"/>
          <w:color w:val="000000"/>
        </w:rPr>
        <w:t>R</w:t>
      </w:r>
      <w:r w:rsidR="002A6706" w:rsidRPr="002A6706">
        <w:rPr>
          <w:rFonts w:cs="Arial"/>
          <w:color w:val="000000"/>
        </w:rPr>
        <w:t>egulator’s accreditation process</w:t>
      </w:r>
      <w:r>
        <w:rPr>
          <w:rFonts w:cs="Arial"/>
          <w:color w:val="000000"/>
        </w:rPr>
        <w:t xml:space="preserve"> for large-scale renewable energy projects</w:t>
      </w:r>
      <w:r w:rsidR="002A6706" w:rsidRPr="002A6706">
        <w:rPr>
          <w:rFonts w:cs="Arial"/>
          <w:color w:val="000000"/>
        </w:rPr>
        <w:t>.</w:t>
      </w:r>
    </w:p>
    <w:p w14:paraId="63249ABC" w14:textId="27862B7F" w:rsidR="008A0789" w:rsidRPr="004314B5" w:rsidRDefault="007A0A95" w:rsidP="007A1D42">
      <w:pPr>
        <w:pStyle w:val="ListBullet"/>
        <w:numPr>
          <w:ilvl w:val="0"/>
          <w:numId w:val="20"/>
        </w:numPr>
        <w:ind w:left="426"/>
        <w:rPr>
          <w:rFonts w:cs="Arial"/>
        </w:rPr>
      </w:pPr>
      <w:r>
        <w:rPr>
          <w:rFonts w:cs="Arial"/>
        </w:rPr>
        <w:t>M</w:t>
      </w:r>
      <w:r w:rsidR="008A0789" w:rsidRPr="004314B5">
        <w:rPr>
          <w:rFonts w:cs="Arial"/>
        </w:rPr>
        <w:t xml:space="preserve">eetings with various state and federal departments and agencies to discuss </w:t>
      </w:r>
      <w:r w:rsidR="008A0789" w:rsidRPr="004314B5">
        <w:rPr>
          <w:rFonts w:cs="Arial"/>
          <w:bCs/>
          <w:lang w:eastAsia="en-AU"/>
        </w:rPr>
        <w:t>long-term grid planning and management of cumulative impacts and other community issues across jurisdictions</w:t>
      </w:r>
      <w:r w:rsidR="008A0789" w:rsidRPr="004314B5">
        <w:rPr>
          <w:rFonts w:cs="Arial"/>
        </w:rPr>
        <w:t xml:space="preserve">. </w:t>
      </w:r>
    </w:p>
    <w:p w14:paraId="0E51051A" w14:textId="613F79DB" w:rsidR="008A0789" w:rsidRPr="004314B5" w:rsidRDefault="008A0789" w:rsidP="007A1D42">
      <w:pPr>
        <w:pStyle w:val="ListBullet"/>
        <w:numPr>
          <w:ilvl w:val="0"/>
          <w:numId w:val="20"/>
        </w:numPr>
        <w:ind w:left="426"/>
        <w:rPr>
          <w:rFonts w:cs="Arial"/>
        </w:rPr>
      </w:pPr>
      <w:r w:rsidRPr="004314B5">
        <w:rPr>
          <w:rFonts w:eastAsia="Times New Roman" w:cs="Arial"/>
        </w:rPr>
        <w:t xml:space="preserve">Ongoing meetings with the </w:t>
      </w:r>
      <w:r w:rsidRPr="004314B5">
        <w:rPr>
          <w:rFonts w:cs="Arial"/>
          <w:bCs/>
          <w:lang w:eastAsia="en-AU"/>
        </w:rPr>
        <w:t>Clean Energy Finance Corporation i</w:t>
      </w:r>
      <w:r w:rsidR="00346865">
        <w:rPr>
          <w:rFonts w:cs="Arial"/>
          <w:bCs/>
          <w:lang w:eastAsia="en-AU"/>
        </w:rPr>
        <w:t>n relation to renewable project investments</w:t>
      </w:r>
      <w:r w:rsidRPr="004314B5">
        <w:rPr>
          <w:rFonts w:cs="Arial"/>
          <w:bCs/>
          <w:lang w:eastAsia="en-AU"/>
        </w:rPr>
        <w:t xml:space="preserve">, including </w:t>
      </w:r>
      <w:r>
        <w:rPr>
          <w:rFonts w:cs="Arial"/>
          <w:bCs/>
          <w:lang w:eastAsia="en-AU"/>
        </w:rPr>
        <w:t>update briefings</w:t>
      </w:r>
      <w:r w:rsidRPr="004314B5">
        <w:rPr>
          <w:rFonts w:cs="Arial"/>
          <w:bCs/>
          <w:lang w:eastAsia="en-AU"/>
        </w:rPr>
        <w:t xml:space="preserve"> </w:t>
      </w:r>
      <w:r w:rsidR="007A0A95" w:rsidRPr="004314B5">
        <w:rPr>
          <w:rFonts w:cs="Arial"/>
          <w:bCs/>
          <w:lang w:eastAsia="en-AU"/>
        </w:rPr>
        <w:t>o</w:t>
      </w:r>
      <w:r w:rsidR="007A0A95">
        <w:rPr>
          <w:rFonts w:cs="Arial"/>
          <w:bCs/>
          <w:lang w:eastAsia="en-AU"/>
        </w:rPr>
        <w:t xml:space="preserve">n </w:t>
      </w:r>
      <w:r w:rsidRPr="004314B5">
        <w:rPr>
          <w:rFonts w:cs="Arial"/>
          <w:bCs/>
          <w:lang w:eastAsia="en-AU"/>
        </w:rPr>
        <w:t>project</w:t>
      </w:r>
      <w:r>
        <w:rPr>
          <w:rFonts w:cs="Arial"/>
          <w:bCs/>
          <w:lang w:eastAsia="en-AU"/>
        </w:rPr>
        <w:t>s and</w:t>
      </w:r>
      <w:r w:rsidRPr="004314B5">
        <w:rPr>
          <w:rFonts w:cs="Arial"/>
          <w:bCs/>
          <w:lang w:eastAsia="en-AU"/>
        </w:rPr>
        <w:t xml:space="preserve"> pipelines.</w:t>
      </w:r>
    </w:p>
    <w:p w14:paraId="553D7203" w14:textId="0FFCABDE" w:rsidR="008A0789" w:rsidRPr="004314B5" w:rsidRDefault="008A0789" w:rsidP="007A1D42">
      <w:pPr>
        <w:numPr>
          <w:ilvl w:val="0"/>
          <w:numId w:val="20"/>
        </w:numPr>
        <w:spacing w:line="264" w:lineRule="auto"/>
        <w:ind w:left="426"/>
        <w:rPr>
          <w:rFonts w:cs="Arial"/>
        </w:rPr>
      </w:pPr>
      <w:r w:rsidRPr="004314B5">
        <w:rPr>
          <w:rFonts w:eastAsiaTheme="minorHAnsi" w:cs="Arial"/>
          <w:color w:val="000000"/>
        </w:rPr>
        <w:t>Continu</w:t>
      </w:r>
      <w:r w:rsidR="00346865">
        <w:rPr>
          <w:rFonts w:eastAsiaTheme="minorHAnsi" w:cs="Arial"/>
          <w:color w:val="000000"/>
        </w:rPr>
        <w:t>ing</w:t>
      </w:r>
      <w:r w:rsidRPr="004314B5">
        <w:rPr>
          <w:rFonts w:eastAsiaTheme="minorHAnsi" w:cs="Arial"/>
          <w:color w:val="000000"/>
        </w:rPr>
        <w:t xml:space="preserve"> to </w:t>
      </w:r>
      <w:r w:rsidRPr="004314B5">
        <w:rPr>
          <w:rFonts w:cs="Arial"/>
        </w:rPr>
        <w:t>work closely with a number of wind farm developers to recommend appropriate visual impact mitigation screening solutions and approaches for residences near wind farms.</w:t>
      </w:r>
    </w:p>
    <w:p w14:paraId="43089F5D" w14:textId="77777777" w:rsidR="002A6706" w:rsidRPr="002A6706" w:rsidRDefault="00C1489A" w:rsidP="007A1D42">
      <w:pPr>
        <w:pStyle w:val="ListParagraph"/>
        <w:numPr>
          <w:ilvl w:val="0"/>
          <w:numId w:val="21"/>
        </w:numPr>
        <w:spacing w:line="264" w:lineRule="auto"/>
        <w:ind w:left="357" w:hanging="357"/>
        <w:rPr>
          <w:rFonts w:cs="Arial"/>
        </w:rPr>
      </w:pPr>
      <w:r>
        <w:rPr>
          <w:rStyle w:val="hps-normal1"/>
          <w:rFonts w:cs="Arial"/>
          <w:lang w:val="en-US"/>
        </w:rPr>
        <w:t>Ongoing work</w:t>
      </w:r>
      <w:r w:rsidR="002A6706" w:rsidRPr="002A6706">
        <w:rPr>
          <w:rStyle w:val="hps-normal1"/>
          <w:rFonts w:cs="Arial"/>
          <w:lang w:val="en-US"/>
        </w:rPr>
        <w:t xml:space="preserve"> with industry members to proactively identify and encourage improvements to their websites, </w:t>
      </w:r>
      <w:r w:rsidR="002A6706" w:rsidRPr="002A6706">
        <w:rPr>
          <w:rFonts w:eastAsia="Times New Roman" w:cs="Arial"/>
        </w:rPr>
        <w:t>particularly from a community member perspective,</w:t>
      </w:r>
      <w:r w:rsidR="002A6706" w:rsidRPr="002A6706">
        <w:rPr>
          <w:rStyle w:val="hps-normal1"/>
          <w:rFonts w:cs="Arial"/>
          <w:lang w:val="en-US"/>
        </w:rPr>
        <w:t xml:space="preserve"> including improvements to clarify contact information, project information and updates, how to lodge a complaint to the proponent and their complaint handling process.</w:t>
      </w:r>
    </w:p>
    <w:p w14:paraId="3CD6831C" w14:textId="77777777" w:rsidR="002A6706" w:rsidRPr="002A6706" w:rsidRDefault="00C1489A" w:rsidP="007A1D42">
      <w:pPr>
        <w:pStyle w:val="hps-normal"/>
        <w:numPr>
          <w:ilvl w:val="0"/>
          <w:numId w:val="21"/>
        </w:numPr>
        <w:shd w:val="clear" w:color="auto" w:fill="FFFFFF"/>
        <w:spacing w:before="0" w:after="200" w:line="264" w:lineRule="auto"/>
        <w:ind w:left="357" w:hanging="357"/>
        <w:rPr>
          <w:rFonts w:ascii="Arial" w:hAnsi="Arial" w:cs="Arial"/>
          <w:color w:val="auto"/>
          <w:sz w:val="22"/>
          <w:szCs w:val="22"/>
          <w:lang w:val="en-US"/>
        </w:rPr>
      </w:pPr>
      <w:r>
        <w:rPr>
          <w:rFonts w:ascii="Arial" w:hAnsi="Arial" w:cs="Arial"/>
          <w:color w:val="auto"/>
          <w:sz w:val="22"/>
          <w:szCs w:val="22"/>
        </w:rPr>
        <w:t xml:space="preserve">Encouraging increased </w:t>
      </w:r>
      <w:r w:rsidR="002A6706" w:rsidRPr="002A6706">
        <w:rPr>
          <w:rFonts w:ascii="Arial" w:hAnsi="Arial" w:cs="Arial"/>
          <w:color w:val="auto"/>
          <w:sz w:val="22"/>
          <w:szCs w:val="22"/>
        </w:rPr>
        <w:t xml:space="preserve">transparency </w:t>
      </w:r>
      <w:r>
        <w:rPr>
          <w:rFonts w:ascii="Arial" w:hAnsi="Arial" w:cs="Arial"/>
          <w:color w:val="auto"/>
          <w:sz w:val="22"/>
          <w:szCs w:val="22"/>
        </w:rPr>
        <w:t xml:space="preserve">across the industry </w:t>
      </w:r>
      <w:r w:rsidR="002A6706" w:rsidRPr="002A6706">
        <w:rPr>
          <w:rFonts w:ascii="Arial" w:hAnsi="Arial" w:cs="Arial"/>
          <w:color w:val="auto"/>
          <w:sz w:val="22"/>
          <w:szCs w:val="22"/>
        </w:rPr>
        <w:t>by:</w:t>
      </w:r>
    </w:p>
    <w:p w14:paraId="0C70983A" w14:textId="5B32B4C7" w:rsidR="002A6706" w:rsidRPr="002A6706" w:rsidRDefault="00AE4C21" w:rsidP="007A1D42">
      <w:pPr>
        <w:pStyle w:val="hps-normal"/>
        <w:numPr>
          <w:ilvl w:val="1"/>
          <w:numId w:val="21"/>
        </w:numPr>
        <w:shd w:val="clear" w:color="auto" w:fill="FFFFFF"/>
        <w:spacing w:before="0" w:after="200" w:line="264" w:lineRule="auto"/>
        <w:ind w:left="851"/>
        <w:rPr>
          <w:rFonts w:ascii="Arial" w:hAnsi="Arial" w:cs="Arial"/>
          <w:color w:val="auto"/>
          <w:sz w:val="22"/>
          <w:szCs w:val="22"/>
          <w:lang w:val="en-US"/>
        </w:rPr>
      </w:pPr>
      <w:r>
        <w:rPr>
          <w:rFonts w:ascii="Arial" w:hAnsi="Arial" w:cs="Arial"/>
          <w:color w:val="auto"/>
          <w:sz w:val="22"/>
          <w:szCs w:val="22"/>
        </w:rPr>
        <w:lastRenderedPageBreak/>
        <w:t>having a greater focus on</w:t>
      </w:r>
      <w:r w:rsidR="002A6706" w:rsidRPr="002A6706">
        <w:rPr>
          <w:rFonts w:ascii="Arial" w:hAnsi="Arial" w:cs="Arial"/>
          <w:color w:val="auto"/>
          <w:sz w:val="22"/>
          <w:szCs w:val="22"/>
        </w:rPr>
        <w:t xml:space="preserve"> workplace safety and working with industry to agree to full transparency of reporting on safety incidents going forward</w:t>
      </w:r>
    </w:p>
    <w:p w14:paraId="568C8E62" w14:textId="77777777" w:rsidR="002A6706" w:rsidRPr="002A6706" w:rsidRDefault="002A6706" w:rsidP="007A1D42">
      <w:pPr>
        <w:pStyle w:val="hps-normal"/>
        <w:numPr>
          <w:ilvl w:val="1"/>
          <w:numId w:val="21"/>
        </w:numPr>
        <w:shd w:val="clear" w:color="auto" w:fill="FFFFFF"/>
        <w:spacing w:before="0" w:after="200" w:line="264" w:lineRule="auto"/>
        <w:ind w:left="851"/>
        <w:rPr>
          <w:rFonts w:ascii="Arial" w:hAnsi="Arial" w:cs="Arial"/>
          <w:color w:val="auto"/>
          <w:sz w:val="22"/>
          <w:szCs w:val="22"/>
          <w:lang w:val="en-US"/>
        </w:rPr>
      </w:pPr>
      <w:r w:rsidRPr="002A6706">
        <w:rPr>
          <w:rFonts w:ascii="Arial" w:hAnsi="Arial" w:cs="Arial"/>
          <w:color w:val="auto"/>
          <w:sz w:val="22"/>
          <w:szCs w:val="22"/>
        </w:rPr>
        <w:t>advocating for improved transparency of information on planning processes and opportunities for public engagement</w:t>
      </w:r>
    </w:p>
    <w:p w14:paraId="693F30F9" w14:textId="77777777" w:rsidR="002A6706" w:rsidRPr="002A6706" w:rsidRDefault="002A6706" w:rsidP="007A1D42">
      <w:pPr>
        <w:pStyle w:val="hps-normal"/>
        <w:numPr>
          <w:ilvl w:val="1"/>
          <w:numId w:val="21"/>
        </w:numPr>
        <w:shd w:val="clear" w:color="auto" w:fill="FFFFFF"/>
        <w:spacing w:before="0" w:after="200" w:line="264" w:lineRule="auto"/>
        <w:ind w:left="851"/>
        <w:rPr>
          <w:rFonts w:ascii="Arial" w:hAnsi="Arial" w:cs="Arial"/>
          <w:color w:val="auto"/>
          <w:sz w:val="22"/>
          <w:szCs w:val="22"/>
          <w:lang w:val="en-US"/>
        </w:rPr>
      </w:pPr>
      <w:r w:rsidRPr="002A6706">
        <w:rPr>
          <w:rFonts w:ascii="Arial" w:hAnsi="Arial" w:cs="Arial"/>
          <w:color w:val="auto"/>
          <w:sz w:val="22"/>
          <w:szCs w:val="22"/>
          <w:lang w:val="en-US"/>
        </w:rPr>
        <w:t>regularly updating our observations and recommendations and making these public via our annual reports</w:t>
      </w:r>
    </w:p>
    <w:p w14:paraId="3846A576" w14:textId="77777777" w:rsidR="002A6706" w:rsidRPr="002A6706" w:rsidRDefault="002A6706" w:rsidP="007A1D42">
      <w:pPr>
        <w:pStyle w:val="hps-normal"/>
        <w:numPr>
          <w:ilvl w:val="1"/>
          <w:numId w:val="21"/>
        </w:numPr>
        <w:shd w:val="clear" w:color="auto" w:fill="FFFFFF"/>
        <w:spacing w:before="0" w:after="200" w:line="264" w:lineRule="auto"/>
        <w:ind w:left="851"/>
        <w:rPr>
          <w:rStyle w:val="hps-normal1"/>
          <w:rFonts w:ascii="Arial" w:hAnsi="Arial" w:cs="Arial"/>
          <w:color w:val="auto"/>
          <w:sz w:val="22"/>
          <w:szCs w:val="22"/>
          <w:lang w:val="en-US"/>
        </w:rPr>
      </w:pPr>
      <w:r w:rsidRPr="002A6706">
        <w:rPr>
          <w:rFonts w:ascii="Arial" w:hAnsi="Arial" w:cs="Arial"/>
          <w:color w:val="auto"/>
          <w:sz w:val="22"/>
          <w:szCs w:val="22"/>
        </w:rPr>
        <w:t>regularly engaging with media outlets, particularly in rural and regional areas, to provide views and insights on matters of local interest.</w:t>
      </w:r>
    </w:p>
    <w:p w14:paraId="09467404" w14:textId="77777777" w:rsidR="002A6706" w:rsidRDefault="002A6706" w:rsidP="00A26C3D">
      <w:pPr>
        <w:spacing w:line="264" w:lineRule="auto"/>
        <w:rPr>
          <w:rFonts w:cs="Arial"/>
        </w:rPr>
      </w:pPr>
    </w:p>
    <w:p w14:paraId="6EDD7041" w14:textId="77777777" w:rsidR="00A26C3D" w:rsidRDefault="00A26C3D" w:rsidP="004F09A3">
      <w:pPr>
        <w:pStyle w:val="ListParagraph"/>
        <w:numPr>
          <w:ilvl w:val="0"/>
          <w:numId w:val="0"/>
        </w:numPr>
        <w:autoSpaceDE w:val="0"/>
        <w:autoSpaceDN w:val="0"/>
        <w:adjustRightInd w:val="0"/>
        <w:spacing w:line="264" w:lineRule="auto"/>
        <w:ind w:left="720"/>
        <w:rPr>
          <w:rFonts w:cs="Arial"/>
        </w:rPr>
        <w:sectPr w:rsidR="00A26C3D" w:rsidSect="00C90C75">
          <w:headerReference w:type="even" r:id="rId65"/>
          <w:headerReference w:type="default" r:id="rId66"/>
          <w:footerReference w:type="even" r:id="rId67"/>
          <w:footerReference w:type="default" r:id="rId68"/>
          <w:headerReference w:type="first" r:id="rId69"/>
          <w:pgSz w:w="11906" w:h="16838" w:code="9"/>
          <w:pgMar w:top="720" w:right="720" w:bottom="720" w:left="720" w:header="425" w:footer="425" w:gutter="0"/>
          <w:cols w:space="708"/>
          <w:docGrid w:linePitch="360"/>
        </w:sectPr>
      </w:pPr>
    </w:p>
    <w:p w14:paraId="40284D4C" w14:textId="04909A45" w:rsidR="004F09A3" w:rsidRPr="00FC45E9" w:rsidRDefault="0042062D" w:rsidP="004F09A3">
      <w:pPr>
        <w:pStyle w:val="Heading1"/>
      </w:pPr>
      <w:bookmarkStart w:id="34" w:name="_Toc84430828"/>
      <w:r>
        <w:lastRenderedPageBreak/>
        <w:t xml:space="preserve">APPENDIX A: </w:t>
      </w:r>
      <w:r w:rsidR="001556F0">
        <w:t xml:space="preserve">UPDATED </w:t>
      </w:r>
      <w:r w:rsidR="004F09A3" w:rsidRPr="00FC45E9">
        <w:t>Observations and recommendations</w:t>
      </w:r>
      <w:r w:rsidR="004F09A3">
        <w:t xml:space="preserve"> - 20</w:t>
      </w:r>
      <w:r w:rsidR="001556F0">
        <w:t>20</w:t>
      </w:r>
      <w:bookmarkEnd w:id="34"/>
    </w:p>
    <w:p w14:paraId="13604679" w14:textId="12B2C739" w:rsidR="001556F0" w:rsidRPr="00FC45E9" w:rsidRDefault="001556F0" w:rsidP="001556F0">
      <w:pPr>
        <w:spacing w:line="264" w:lineRule="auto"/>
        <w:rPr>
          <w:rFonts w:cs="Arial"/>
        </w:rPr>
      </w:pPr>
      <w:r w:rsidRPr="00FC45E9">
        <w:rPr>
          <w:rFonts w:cs="Arial"/>
        </w:rPr>
        <w:t xml:space="preserve">In </w:t>
      </w:r>
      <w:r>
        <w:rPr>
          <w:rFonts w:cs="Arial"/>
        </w:rPr>
        <w:t xml:space="preserve">previous </w:t>
      </w:r>
      <w:r w:rsidRPr="00FC45E9">
        <w:rPr>
          <w:rFonts w:cs="Arial"/>
        </w:rPr>
        <w:t xml:space="preserve">Annual Reports, the Commissioner made a number of observations and recommendations regarding the </w:t>
      </w:r>
      <w:r>
        <w:rPr>
          <w:rFonts w:cs="Arial"/>
        </w:rPr>
        <w:t>large-scale renewable energy in</w:t>
      </w:r>
      <w:r w:rsidRPr="00FC45E9">
        <w:rPr>
          <w:rFonts w:cs="Arial"/>
        </w:rPr>
        <w:t>dustry</w:t>
      </w:r>
      <w:r>
        <w:rPr>
          <w:rFonts w:cs="Arial"/>
        </w:rPr>
        <w:t xml:space="preserve">. These were derived </w:t>
      </w:r>
      <w:r w:rsidRPr="00FC45E9">
        <w:rPr>
          <w:rFonts w:cs="Arial"/>
        </w:rPr>
        <w:t xml:space="preserve">largely based on </w:t>
      </w:r>
      <w:r>
        <w:rPr>
          <w:rFonts w:cs="Arial"/>
        </w:rPr>
        <w:t xml:space="preserve">direct </w:t>
      </w:r>
      <w:r w:rsidRPr="00FC45E9">
        <w:rPr>
          <w:rFonts w:cs="Arial"/>
        </w:rPr>
        <w:t>experiences from handling complaints received</w:t>
      </w:r>
      <w:r>
        <w:rPr>
          <w:rFonts w:cs="Arial"/>
        </w:rPr>
        <w:t>, extensive site visits</w:t>
      </w:r>
      <w:r w:rsidRPr="00FC45E9">
        <w:rPr>
          <w:rFonts w:cs="Arial"/>
        </w:rPr>
        <w:t xml:space="preserve"> and engagement with </w:t>
      </w:r>
      <w:r>
        <w:rPr>
          <w:rFonts w:cs="Arial"/>
        </w:rPr>
        <w:t xml:space="preserve">a wide range of </w:t>
      </w:r>
      <w:r w:rsidRPr="00FC45E9">
        <w:rPr>
          <w:rFonts w:cs="Arial"/>
        </w:rPr>
        <w:t xml:space="preserve">relevant stakeholders. These observations and recommendations covered </w:t>
      </w:r>
      <w:r>
        <w:rPr>
          <w:rFonts w:cs="Arial"/>
        </w:rPr>
        <w:t xml:space="preserve">many </w:t>
      </w:r>
      <w:r w:rsidRPr="00FC45E9">
        <w:rPr>
          <w:rFonts w:cs="Arial"/>
        </w:rPr>
        <w:t xml:space="preserve">topics, including areas for potential improvement in the planning, governance and operation of the </w:t>
      </w:r>
      <w:r>
        <w:rPr>
          <w:rFonts w:cs="Arial"/>
        </w:rPr>
        <w:t>i</w:t>
      </w:r>
      <w:r w:rsidR="007A1D42">
        <w:rPr>
          <w:rFonts w:cs="Arial"/>
        </w:rPr>
        <w:t>ndustry.</w:t>
      </w:r>
    </w:p>
    <w:p w14:paraId="6F7C489A" w14:textId="50ED1D0B" w:rsidR="001556F0" w:rsidRDefault="001556F0" w:rsidP="001556F0">
      <w:pPr>
        <w:spacing w:line="264" w:lineRule="auto"/>
        <w:rPr>
          <w:rFonts w:cs="Arial"/>
        </w:rPr>
      </w:pPr>
      <w:r>
        <w:rPr>
          <w:rFonts w:cs="Arial"/>
        </w:rPr>
        <w:t>Our</w:t>
      </w:r>
      <w:r w:rsidRPr="00FC45E9">
        <w:rPr>
          <w:rFonts w:cs="Arial"/>
        </w:rPr>
        <w:t xml:space="preserve"> </w:t>
      </w:r>
      <w:r w:rsidR="008613CC">
        <w:rPr>
          <w:rFonts w:cs="Arial"/>
        </w:rPr>
        <w:t>Office continues to</w:t>
      </w:r>
      <w:r w:rsidR="008613CC" w:rsidRPr="00FC45E9">
        <w:rPr>
          <w:rFonts w:cs="Arial"/>
        </w:rPr>
        <w:t xml:space="preserve"> receive feedback from stakeholders </w:t>
      </w:r>
      <w:r w:rsidR="008613CC">
        <w:rPr>
          <w:rFonts w:cs="Arial"/>
        </w:rPr>
        <w:t xml:space="preserve">on these </w:t>
      </w:r>
      <w:r w:rsidRPr="00FC45E9">
        <w:rPr>
          <w:rFonts w:cs="Arial"/>
        </w:rPr>
        <w:t xml:space="preserve">observations and recommendations. Much of the feedback </w:t>
      </w:r>
      <w:r>
        <w:rPr>
          <w:rFonts w:cs="Arial"/>
        </w:rPr>
        <w:t xml:space="preserve">has been </w:t>
      </w:r>
      <w:r w:rsidRPr="00FC45E9">
        <w:rPr>
          <w:rFonts w:cs="Arial"/>
        </w:rPr>
        <w:t>very supportive and aligned with the recommendations</w:t>
      </w:r>
      <w:r>
        <w:rPr>
          <w:rFonts w:cs="Arial"/>
        </w:rPr>
        <w:t>.</w:t>
      </w:r>
      <w:r w:rsidRPr="00FC45E9">
        <w:rPr>
          <w:rFonts w:cs="Arial"/>
        </w:rPr>
        <w:t xml:space="preserve"> </w:t>
      </w:r>
      <w:r>
        <w:rPr>
          <w:rFonts w:cs="Arial"/>
        </w:rPr>
        <w:t>C</w:t>
      </w:r>
      <w:r w:rsidRPr="00FC45E9">
        <w:rPr>
          <w:rFonts w:cs="Arial"/>
        </w:rPr>
        <w:t xml:space="preserve">onstructive feedback was </w:t>
      </w:r>
      <w:r>
        <w:rPr>
          <w:rFonts w:cs="Arial"/>
        </w:rPr>
        <w:t xml:space="preserve">also </w:t>
      </w:r>
      <w:r w:rsidRPr="00FC45E9">
        <w:rPr>
          <w:rFonts w:cs="Arial"/>
        </w:rPr>
        <w:t>received suggest</w:t>
      </w:r>
      <w:r>
        <w:rPr>
          <w:rFonts w:cs="Arial"/>
        </w:rPr>
        <w:t>ing</w:t>
      </w:r>
      <w:r w:rsidRPr="00FC45E9">
        <w:rPr>
          <w:rFonts w:cs="Arial"/>
        </w:rPr>
        <w:t xml:space="preserve"> further refinements and clarifications. </w:t>
      </w:r>
      <w:r>
        <w:rPr>
          <w:rFonts w:cs="Arial"/>
        </w:rPr>
        <w:t>Further, m</w:t>
      </w:r>
      <w:r w:rsidRPr="00FC45E9">
        <w:rPr>
          <w:rFonts w:cs="Arial"/>
        </w:rPr>
        <w:t xml:space="preserve">any </w:t>
      </w:r>
      <w:r>
        <w:rPr>
          <w:rFonts w:cs="Arial"/>
        </w:rPr>
        <w:t xml:space="preserve">of the </w:t>
      </w:r>
      <w:r w:rsidRPr="00FC45E9">
        <w:rPr>
          <w:rFonts w:cs="Arial"/>
        </w:rPr>
        <w:t xml:space="preserve">recommendations have been duly considered by the relevant stakeholders and </w:t>
      </w:r>
      <w:r>
        <w:rPr>
          <w:rFonts w:cs="Arial"/>
        </w:rPr>
        <w:t>numerous</w:t>
      </w:r>
      <w:r w:rsidRPr="00FC45E9">
        <w:rPr>
          <w:rFonts w:cs="Arial"/>
        </w:rPr>
        <w:t xml:space="preserve"> recommendations </w:t>
      </w:r>
      <w:r>
        <w:rPr>
          <w:rFonts w:cs="Arial"/>
        </w:rPr>
        <w:t xml:space="preserve">have now been </w:t>
      </w:r>
      <w:r w:rsidRPr="00FC45E9">
        <w:rPr>
          <w:rFonts w:cs="Arial"/>
        </w:rPr>
        <w:t>implemented</w:t>
      </w:r>
      <w:r>
        <w:rPr>
          <w:rFonts w:cs="Arial"/>
        </w:rPr>
        <w:t xml:space="preserve"> as a result.</w:t>
      </w:r>
    </w:p>
    <w:p w14:paraId="0DFA2213" w14:textId="77777777" w:rsidR="001556F0" w:rsidRDefault="001556F0" w:rsidP="001556F0">
      <w:pPr>
        <w:spacing w:line="264" w:lineRule="auto"/>
        <w:rPr>
          <w:rFonts w:cs="Arial"/>
        </w:rPr>
      </w:pPr>
      <w:r w:rsidRPr="00FC45E9">
        <w:rPr>
          <w:rFonts w:cs="Arial"/>
        </w:rPr>
        <w:t xml:space="preserve">The following sections are </w:t>
      </w:r>
      <w:r>
        <w:rPr>
          <w:rFonts w:cs="Arial"/>
        </w:rPr>
        <w:t>updates to our</w:t>
      </w:r>
      <w:r w:rsidRPr="00FC45E9">
        <w:rPr>
          <w:rFonts w:cs="Arial"/>
        </w:rPr>
        <w:t xml:space="preserve"> 20</w:t>
      </w:r>
      <w:r>
        <w:rPr>
          <w:rFonts w:cs="Arial"/>
        </w:rPr>
        <w:t>19</w:t>
      </w:r>
      <w:r w:rsidRPr="00FC45E9">
        <w:rPr>
          <w:rFonts w:cs="Arial"/>
        </w:rPr>
        <w:t xml:space="preserve"> report</w:t>
      </w:r>
      <w:r>
        <w:rPr>
          <w:rFonts w:cs="Arial"/>
        </w:rPr>
        <w:t>’s observations and recommendations,</w:t>
      </w:r>
      <w:r w:rsidRPr="00FC45E9">
        <w:rPr>
          <w:rFonts w:cs="Arial"/>
        </w:rPr>
        <w:t xml:space="preserve"> includ</w:t>
      </w:r>
      <w:r>
        <w:rPr>
          <w:rFonts w:cs="Arial"/>
        </w:rPr>
        <w:t>ing</w:t>
      </w:r>
      <w:r w:rsidRPr="00FC45E9">
        <w:rPr>
          <w:rFonts w:cs="Arial"/>
        </w:rPr>
        <w:t xml:space="preserve"> additional observations </w:t>
      </w:r>
      <w:r>
        <w:rPr>
          <w:rFonts w:cs="Arial"/>
        </w:rPr>
        <w:t xml:space="preserve">since that report was published. These updates are based on our experiences from </w:t>
      </w:r>
      <w:r w:rsidRPr="00FC45E9">
        <w:rPr>
          <w:rFonts w:cs="Arial"/>
        </w:rPr>
        <w:t xml:space="preserve">handling </w:t>
      </w:r>
      <w:r>
        <w:rPr>
          <w:rFonts w:cs="Arial"/>
        </w:rPr>
        <w:t xml:space="preserve">new </w:t>
      </w:r>
      <w:r w:rsidRPr="00FC45E9">
        <w:rPr>
          <w:rFonts w:cs="Arial"/>
        </w:rPr>
        <w:t>complaints</w:t>
      </w:r>
      <w:r>
        <w:rPr>
          <w:rFonts w:cs="Arial"/>
        </w:rPr>
        <w:t xml:space="preserve">, further site visits </w:t>
      </w:r>
      <w:r w:rsidRPr="00FC45E9">
        <w:rPr>
          <w:rFonts w:cs="Arial"/>
        </w:rPr>
        <w:t xml:space="preserve">and stakeholder meetings, as well as incorporating feedback received on </w:t>
      </w:r>
      <w:r>
        <w:rPr>
          <w:rFonts w:cs="Arial"/>
        </w:rPr>
        <w:t>our</w:t>
      </w:r>
      <w:r w:rsidRPr="00FC45E9">
        <w:rPr>
          <w:rFonts w:cs="Arial"/>
        </w:rPr>
        <w:t xml:space="preserve"> 201</w:t>
      </w:r>
      <w:r>
        <w:rPr>
          <w:rFonts w:cs="Arial"/>
        </w:rPr>
        <w:t>9</w:t>
      </w:r>
      <w:r w:rsidRPr="00FC45E9">
        <w:rPr>
          <w:rFonts w:cs="Arial"/>
        </w:rPr>
        <w:t xml:space="preserve"> report. </w:t>
      </w:r>
      <w:r>
        <w:rPr>
          <w:rFonts w:cs="Arial"/>
        </w:rPr>
        <w:t xml:space="preserve"> </w:t>
      </w:r>
    </w:p>
    <w:p w14:paraId="4FF9FC8E" w14:textId="77777777" w:rsidR="001556F0" w:rsidRPr="00FC45E9" w:rsidRDefault="001556F0" w:rsidP="001556F0">
      <w:pPr>
        <w:spacing w:line="264" w:lineRule="auto"/>
        <w:rPr>
          <w:rFonts w:cs="Arial"/>
        </w:rPr>
      </w:pPr>
      <w:r w:rsidRPr="00FC45E9">
        <w:rPr>
          <w:rFonts w:cs="Arial"/>
        </w:rPr>
        <w:t xml:space="preserve">For consistency, the </w:t>
      </w:r>
      <w:r>
        <w:rPr>
          <w:rFonts w:cs="Arial"/>
        </w:rPr>
        <w:t>following sections</w:t>
      </w:r>
      <w:r w:rsidRPr="00FC45E9">
        <w:rPr>
          <w:rFonts w:cs="Arial"/>
        </w:rPr>
        <w:t xml:space="preserve"> ha</w:t>
      </w:r>
      <w:r>
        <w:rPr>
          <w:rFonts w:cs="Arial"/>
        </w:rPr>
        <w:t>ve</w:t>
      </w:r>
      <w:r w:rsidRPr="00FC45E9">
        <w:rPr>
          <w:rFonts w:cs="Arial"/>
        </w:rPr>
        <w:t xml:space="preserve"> utilised the same topic areas and numbering system employed in the 201</w:t>
      </w:r>
      <w:r>
        <w:rPr>
          <w:rFonts w:cs="Arial"/>
        </w:rPr>
        <w:t xml:space="preserve">9 </w:t>
      </w:r>
      <w:r w:rsidRPr="00FC45E9">
        <w:rPr>
          <w:rFonts w:cs="Arial"/>
        </w:rPr>
        <w:t>report</w:t>
      </w:r>
      <w:r>
        <w:rPr>
          <w:rFonts w:cs="Arial"/>
        </w:rPr>
        <w:t xml:space="preserve"> for ease of reference</w:t>
      </w:r>
      <w:r w:rsidRPr="00FC45E9">
        <w:rPr>
          <w:rFonts w:cs="Arial"/>
        </w:rPr>
        <w:t xml:space="preserve">. </w:t>
      </w:r>
    </w:p>
    <w:p w14:paraId="445AC2A1" w14:textId="77777777" w:rsidR="001556F0" w:rsidRPr="00FC45E9" w:rsidRDefault="001556F0" w:rsidP="001556F0">
      <w:pPr>
        <w:spacing w:line="264" w:lineRule="auto"/>
        <w:rPr>
          <w:rFonts w:cs="Arial"/>
        </w:rPr>
      </w:pPr>
      <w:r w:rsidRPr="00FC45E9">
        <w:rPr>
          <w:rFonts w:cs="Arial"/>
        </w:rPr>
        <w:t xml:space="preserve">The recommendations </w:t>
      </w:r>
      <w:r>
        <w:rPr>
          <w:rFonts w:cs="Arial"/>
        </w:rPr>
        <w:t xml:space="preserve">detailed </w:t>
      </w:r>
      <w:r w:rsidRPr="00FC45E9">
        <w:rPr>
          <w:rFonts w:cs="Arial"/>
        </w:rPr>
        <w:t xml:space="preserve">below are </w:t>
      </w:r>
      <w:r>
        <w:rPr>
          <w:rFonts w:cs="Arial"/>
        </w:rPr>
        <w:t xml:space="preserve">intended </w:t>
      </w:r>
      <w:r w:rsidRPr="00FC45E9">
        <w:rPr>
          <w:rFonts w:cs="Arial"/>
        </w:rPr>
        <w:t xml:space="preserve">for consideration by the relevant stakeholders. The Commissioner has no formal powers to mandate the implementation of these recommendations. </w:t>
      </w:r>
      <w:r>
        <w:rPr>
          <w:rFonts w:cs="Arial"/>
        </w:rPr>
        <w:t>However</w:t>
      </w:r>
      <w:r w:rsidRPr="00FC45E9">
        <w:rPr>
          <w:rFonts w:cs="Arial"/>
        </w:rPr>
        <w:t xml:space="preserve">, the Commissioner looks forward to the ongoing </w:t>
      </w:r>
      <w:r>
        <w:rPr>
          <w:rFonts w:cs="Arial"/>
        </w:rPr>
        <w:t>acceptance and a</w:t>
      </w:r>
      <w:r w:rsidRPr="00FC45E9">
        <w:rPr>
          <w:rFonts w:cs="Arial"/>
        </w:rPr>
        <w:t xml:space="preserve">doption of the recommendations </w:t>
      </w:r>
      <w:r>
        <w:rPr>
          <w:rFonts w:cs="Arial"/>
        </w:rPr>
        <w:t xml:space="preserve">in the spirit of </w:t>
      </w:r>
      <w:r w:rsidRPr="00FC45E9">
        <w:rPr>
          <w:rFonts w:cs="Arial"/>
        </w:rPr>
        <w:t xml:space="preserve">continuous improvement within the </w:t>
      </w:r>
      <w:r>
        <w:rPr>
          <w:rFonts w:cs="Arial"/>
        </w:rPr>
        <w:t xml:space="preserve">large-scale renewable energy </w:t>
      </w:r>
      <w:r w:rsidRPr="00FC45E9">
        <w:rPr>
          <w:rFonts w:cs="Arial"/>
        </w:rPr>
        <w:t>industry.</w:t>
      </w:r>
    </w:p>
    <w:p w14:paraId="68E97BAB" w14:textId="24EDE076" w:rsidR="001556F0" w:rsidRDefault="001556F0" w:rsidP="001556F0">
      <w:pPr>
        <w:spacing w:line="264" w:lineRule="auto"/>
        <w:rPr>
          <w:rFonts w:cs="Arial"/>
        </w:rPr>
      </w:pPr>
      <w:r w:rsidRPr="00FC45E9">
        <w:rPr>
          <w:rFonts w:cs="Arial"/>
        </w:rPr>
        <w:t xml:space="preserve">Finally, as noted in previous </w:t>
      </w:r>
      <w:r>
        <w:rPr>
          <w:rFonts w:cs="Arial"/>
        </w:rPr>
        <w:t xml:space="preserve">annual </w:t>
      </w:r>
      <w:r w:rsidRPr="00FC45E9">
        <w:rPr>
          <w:rFonts w:cs="Arial"/>
        </w:rPr>
        <w:t xml:space="preserve">reports, the large-scale </w:t>
      </w:r>
      <w:r>
        <w:rPr>
          <w:rFonts w:cs="Arial"/>
        </w:rPr>
        <w:t xml:space="preserve">renewable </w:t>
      </w:r>
      <w:r w:rsidRPr="00FC45E9">
        <w:rPr>
          <w:rFonts w:cs="Arial"/>
        </w:rPr>
        <w:t xml:space="preserve">energy industry is still relatively new in Australia, with the first major wind farm developments commencing in the early </w:t>
      </w:r>
      <w:r>
        <w:rPr>
          <w:rFonts w:cs="Arial"/>
        </w:rPr>
        <w:t>2000’s and large-scale solar projects commencing in the last decade.</w:t>
      </w:r>
      <w:r w:rsidRPr="00FC45E9">
        <w:rPr>
          <w:rFonts w:cs="Arial"/>
        </w:rPr>
        <w:t xml:space="preserve"> </w:t>
      </w:r>
      <w:r>
        <w:t>However, these industries have developed rapidly, with a significant acceleration in new projects in the past few years</w:t>
      </w:r>
      <w:r>
        <w:rPr>
          <w:rFonts w:cs="Arial"/>
        </w:rPr>
        <w:t>.</w:t>
      </w:r>
      <w:r w:rsidRPr="00FC45E9">
        <w:rPr>
          <w:rFonts w:cs="Arial"/>
        </w:rPr>
        <w:t xml:space="preserve"> </w:t>
      </w:r>
      <w:r>
        <w:rPr>
          <w:rFonts w:cs="Arial"/>
        </w:rPr>
        <w:t>O</w:t>
      </w:r>
      <w:r w:rsidRPr="00FC45E9">
        <w:rPr>
          <w:rFonts w:cs="Arial"/>
        </w:rPr>
        <w:t xml:space="preserve">pportunities still </w:t>
      </w:r>
      <w:r>
        <w:rPr>
          <w:rFonts w:cs="Arial"/>
        </w:rPr>
        <w:t xml:space="preserve">continue to </w:t>
      </w:r>
      <w:r w:rsidRPr="00FC45E9">
        <w:rPr>
          <w:rFonts w:cs="Arial"/>
        </w:rPr>
        <w:t>exist for</w:t>
      </w:r>
      <w:r>
        <w:rPr>
          <w:rFonts w:cs="Arial"/>
        </w:rPr>
        <w:t xml:space="preserve"> further</w:t>
      </w:r>
      <w:r w:rsidRPr="00FC45E9">
        <w:rPr>
          <w:rFonts w:cs="Arial"/>
        </w:rPr>
        <w:t xml:space="preserve"> improvement in the governance and operation of the industry</w:t>
      </w:r>
      <w:r>
        <w:rPr>
          <w:rFonts w:cs="Arial"/>
        </w:rPr>
        <w:t xml:space="preserve">, such as work place safety, but nevertheless, substantial progress has been </w:t>
      </w:r>
      <w:r w:rsidR="007A0A95">
        <w:rPr>
          <w:rFonts w:cs="Arial"/>
        </w:rPr>
        <w:t xml:space="preserve">made </w:t>
      </w:r>
      <w:r>
        <w:rPr>
          <w:rFonts w:cs="Arial"/>
        </w:rPr>
        <w:t>against these recommendations in recent times</w:t>
      </w:r>
      <w:r w:rsidRPr="00FC45E9">
        <w:rPr>
          <w:rFonts w:cs="Arial"/>
        </w:rPr>
        <w:t>.</w:t>
      </w:r>
    </w:p>
    <w:p w14:paraId="603A3F83" w14:textId="25EA4D39" w:rsidR="001556F0" w:rsidRPr="002C70C7" w:rsidRDefault="001556F0" w:rsidP="001556F0">
      <w:pPr>
        <w:rPr>
          <w:rFonts w:cs="Arial"/>
        </w:rPr>
      </w:pPr>
      <w:r>
        <w:rPr>
          <w:rFonts w:cs="Arial"/>
        </w:rPr>
        <w:t>The updated observations and recommendations are also available on the Commissioner’s website.</w:t>
      </w:r>
    </w:p>
    <w:p w14:paraId="35A3701D" w14:textId="77777777" w:rsidR="001556F0" w:rsidRPr="00FC45E9" w:rsidRDefault="001556F0" w:rsidP="001556F0">
      <w:pPr>
        <w:pStyle w:val="Heading2"/>
        <w:numPr>
          <w:ilvl w:val="0"/>
          <w:numId w:val="8"/>
        </w:numPr>
      </w:pPr>
      <w:bookmarkStart w:id="35" w:name="_Toc51224048"/>
      <w:bookmarkStart w:id="36" w:name="_Toc84430829"/>
      <w:r w:rsidRPr="00FC45E9">
        <w:t xml:space="preserve">Host Landowner </w:t>
      </w:r>
      <w:bookmarkEnd w:id="35"/>
      <w:r>
        <w:t>Matters</w:t>
      </w:r>
      <w:bookmarkEnd w:id="36"/>
    </w:p>
    <w:p w14:paraId="5A10D51C" w14:textId="77777777" w:rsidR="001556F0" w:rsidRPr="00FC45E9" w:rsidRDefault="001556F0" w:rsidP="001556F0">
      <w:pPr>
        <w:pStyle w:val="ListNumber"/>
        <w:numPr>
          <w:ilvl w:val="1"/>
          <w:numId w:val="8"/>
        </w:numPr>
        <w:spacing w:line="264" w:lineRule="auto"/>
        <w:rPr>
          <w:rFonts w:cs="Arial"/>
        </w:rPr>
      </w:pPr>
      <w:r w:rsidRPr="00FC45E9">
        <w:rPr>
          <w:rFonts w:cs="Arial"/>
          <w:b/>
        </w:rPr>
        <w:t>Observations</w:t>
      </w:r>
    </w:p>
    <w:p w14:paraId="52CC8570" w14:textId="77777777" w:rsidR="001556F0" w:rsidRPr="00FC45E9" w:rsidRDefault="001556F0" w:rsidP="001556F0">
      <w:pPr>
        <w:pStyle w:val="ListNumber"/>
        <w:numPr>
          <w:ilvl w:val="0"/>
          <w:numId w:val="0"/>
        </w:numPr>
        <w:spacing w:line="264" w:lineRule="auto"/>
        <w:ind w:left="360"/>
        <w:rPr>
          <w:rFonts w:cs="Arial"/>
          <w:b/>
        </w:rPr>
      </w:pPr>
      <w:r w:rsidRPr="00FC45E9">
        <w:rPr>
          <w:rFonts w:cs="Arial"/>
          <w:b/>
        </w:rPr>
        <w:t>Background</w:t>
      </w:r>
    </w:p>
    <w:p w14:paraId="0B27F39B" w14:textId="77777777" w:rsidR="001556F0" w:rsidRDefault="001556F0" w:rsidP="001556F0">
      <w:pPr>
        <w:pStyle w:val="ListNumber"/>
        <w:numPr>
          <w:ilvl w:val="0"/>
          <w:numId w:val="0"/>
        </w:numPr>
        <w:spacing w:line="264" w:lineRule="auto"/>
        <w:ind w:left="360"/>
        <w:rPr>
          <w:rFonts w:cs="Arial"/>
        </w:rPr>
      </w:pPr>
      <w:r w:rsidRPr="00FC45E9">
        <w:rPr>
          <w:rFonts w:cs="Arial"/>
        </w:rPr>
        <w:t xml:space="preserve">Wind turbines </w:t>
      </w:r>
      <w:r>
        <w:rPr>
          <w:rFonts w:cs="Arial"/>
        </w:rPr>
        <w:t xml:space="preserve">and solar arrays </w:t>
      </w:r>
      <w:r w:rsidRPr="00FC45E9">
        <w:rPr>
          <w:rFonts w:cs="Arial"/>
        </w:rPr>
        <w:t>are typically located on cleared primary production land owned by a landowner, often referred to as the ‘host’ landowner. The land’s existing use is typically broad-acre agricultural production (for example, livestock or cropping)</w:t>
      </w:r>
      <w:r>
        <w:rPr>
          <w:rFonts w:cs="Arial"/>
        </w:rPr>
        <w:t>. I</w:t>
      </w:r>
      <w:r w:rsidRPr="00FC45E9">
        <w:rPr>
          <w:rFonts w:cs="Arial"/>
        </w:rPr>
        <w:t xml:space="preserve">n general, a relatively small portion of the productive land is utilised for </w:t>
      </w:r>
      <w:r>
        <w:rPr>
          <w:rFonts w:cs="Arial"/>
        </w:rPr>
        <w:t>a</w:t>
      </w:r>
      <w:r w:rsidRPr="00FC45E9">
        <w:rPr>
          <w:rFonts w:cs="Arial"/>
        </w:rPr>
        <w:t xml:space="preserve"> wind farm’s operation, such as turbine siting, access roads and other related assets such as transmission line easements, electrical substations, transformers and meteorological masts. The landowner </w:t>
      </w:r>
      <w:r>
        <w:rPr>
          <w:rFonts w:cs="Arial"/>
        </w:rPr>
        <w:t xml:space="preserve">usually </w:t>
      </w:r>
      <w:r w:rsidRPr="00FC45E9">
        <w:rPr>
          <w:rFonts w:cs="Arial"/>
        </w:rPr>
        <w:t xml:space="preserve">continues to operate the agricultural production activities on the remaining land. </w:t>
      </w:r>
      <w:r>
        <w:rPr>
          <w:rFonts w:cs="Arial"/>
        </w:rPr>
        <w:t xml:space="preserve">By contrast, a solar array consumes most of the land that it resides on, with limited opportunities for co-located farming activities. </w:t>
      </w:r>
    </w:p>
    <w:p w14:paraId="16B93397" w14:textId="77777777" w:rsidR="001556F0" w:rsidRDefault="001556F0" w:rsidP="001556F0">
      <w:pPr>
        <w:pStyle w:val="ListNumber"/>
        <w:numPr>
          <w:ilvl w:val="0"/>
          <w:numId w:val="0"/>
        </w:numPr>
        <w:spacing w:line="264" w:lineRule="auto"/>
        <w:ind w:left="360"/>
        <w:rPr>
          <w:rFonts w:cs="Arial"/>
        </w:rPr>
      </w:pPr>
      <w:r w:rsidRPr="00FC45E9">
        <w:rPr>
          <w:rFonts w:cs="Arial"/>
        </w:rPr>
        <w:t xml:space="preserve">There is typically significant disruption during the </w:t>
      </w:r>
      <w:r>
        <w:rPr>
          <w:rFonts w:cs="Arial"/>
        </w:rPr>
        <w:t>c</w:t>
      </w:r>
      <w:r w:rsidRPr="00FC45E9">
        <w:rPr>
          <w:rFonts w:cs="Arial"/>
        </w:rPr>
        <w:t xml:space="preserve">onstruction phase </w:t>
      </w:r>
      <w:r>
        <w:rPr>
          <w:rFonts w:cs="Arial"/>
        </w:rPr>
        <w:t xml:space="preserve">of these renewable energy assets </w:t>
      </w:r>
      <w:r w:rsidRPr="00FC45E9">
        <w:rPr>
          <w:rFonts w:cs="Arial"/>
        </w:rPr>
        <w:t xml:space="preserve">and ongoing access to the assets will be required by the operator </w:t>
      </w:r>
      <w:r>
        <w:rPr>
          <w:rFonts w:cs="Arial"/>
        </w:rPr>
        <w:t>for</w:t>
      </w:r>
      <w:r w:rsidRPr="00FC45E9">
        <w:rPr>
          <w:rFonts w:cs="Arial"/>
        </w:rPr>
        <w:t xml:space="preserve"> normal operations</w:t>
      </w:r>
      <w:r>
        <w:rPr>
          <w:rFonts w:cs="Arial"/>
        </w:rPr>
        <w:t xml:space="preserve"> and maintenance</w:t>
      </w:r>
      <w:r w:rsidRPr="00FC45E9">
        <w:rPr>
          <w:rFonts w:cs="Arial"/>
        </w:rPr>
        <w:t>.</w:t>
      </w:r>
    </w:p>
    <w:p w14:paraId="59FCD6C2" w14:textId="77777777" w:rsidR="001556F0" w:rsidRPr="00FC45E9" w:rsidRDefault="001556F0" w:rsidP="001556F0">
      <w:pPr>
        <w:pStyle w:val="ListNumber"/>
        <w:numPr>
          <w:ilvl w:val="0"/>
          <w:numId w:val="0"/>
        </w:numPr>
        <w:spacing w:line="264" w:lineRule="auto"/>
        <w:ind w:left="360"/>
        <w:rPr>
          <w:rFonts w:cs="Arial"/>
        </w:rPr>
      </w:pPr>
    </w:p>
    <w:p w14:paraId="53C7C570" w14:textId="77777777" w:rsidR="001556F0" w:rsidRPr="00FC45E9" w:rsidRDefault="001556F0" w:rsidP="001556F0">
      <w:pPr>
        <w:spacing w:line="264" w:lineRule="auto"/>
        <w:ind w:left="360"/>
        <w:rPr>
          <w:rFonts w:cs="Arial"/>
          <w:b/>
        </w:rPr>
      </w:pPr>
      <w:r>
        <w:rPr>
          <w:rFonts w:cs="Arial"/>
          <w:b/>
        </w:rPr>
        <w:lastRenderedPageBreak/>
        <w:t>Payments</w:t>
      </w:r>
      <w:r w:rsidRPr="00FC45E9">
        <w:rPr>
          <w:rFonts w:cs="Arial"/>
          <w:b/>
        </w:rPr>
        <w:t xml:space="preserve"> </w:t>
      </w:r>
      <w:r>
        <w:rPr>
          <w:rFonts w:cs="Arial"/>
          <w:b/>
        </w:rPr>
        <w:t>to Host Landowners</w:t>
      </w:r>
    </w:p>
    <w:p w14:paraId="31EE4848" w14:textId="77777777" w:rsidR="001556F0" w:rsidRPr="00FC45E9" w:rsidRDefault="001556F0" w:rsidP="001556F0">
      <w:pPr>
        <w:spacing w:line="264" w:lineRule="auto"/>
        <w:ind w:left="360"/>
        <w:rPr>
          <w:rFonts w:cs="Arial"/>
        </w:rPr>
      </w:pPr>
      <w:r w:rsidRPr="00FC45E9">
        <w:rPr>
          <w:rFonts w:cs="Arial"/>
        </w:rPr>
        <w:t xml:space="preserve">Host landowners </w:t>
      </w:r>
      <w:r>
        <w:rPr>
          <w:rFonts w:cs="Arial"/>
        </w:rPr>
        <w:t xml:space="preserve">for wind farms </w:t>
      </w:r>
      <w:r w:rsidRPr="00FC45E9">
        <w:rPr>
          <w:rFonts w:cs="Arial"/>
        </w:rPr>
        <w:t xml:space="preserve">are </w:t>
      </w:r>
      <w:r>
        <w:rPr>
          <w:rFonts w:cs="Arial"/>
        </w:rPr>
        <w:t>typically</w:t>
      </w:r>
      <w:r w:rsidRPr="00FC45E9">
        <w:rPr>
          <w:rFonts w:cs="Arial"/>
        </w:rPr>
        <w:t xml:space="preserve"> </w:t>
      </w:r>
      <w:r>
        <w:rPr>
          <w:rFonts w:cs="Arial"/>
        </w:rPr>
        <w:t>paid</w:t>
      </w:r>
      <w:r w:rsidRPr="00FC45E9">
        <w:rPr>
          <w:rFonts w:cs="Arial"/>
        </w:rPr>
        <w:t xml:space="preserve"> a fixed amount per turbine per year under a long-term agreement </w:t>
      </w:r>
      <w:r>
        <w:rPr>
          <w:rFonts w:cs="Arial"/>
        </w:rPr>
        <w:t xml:space="preserve">(essentially a commercial lease arrangement) </w:t>
      </w:r>
      <w:r w:rsidRPr="00FC45E9">
        <w:rPr>
          <w:rFonts w:cs="Arial"/>
        </w:rPr>
        <w:t>that mirrors the life of the wind farm – a term of 25 years</w:t>
      </w:r>
      <w:r>
        <w:rPr>
          <w:rFonts w:cs="Arial"/>
        </w:rPr>
        <w:t xml:space="preserve"> with renewal options</w:t>
      </w:r>
      <w:r w:rsidRPr="00FC45E9">
        <w:rPr>
          <w:rFonts w:cs="Arial"/>
        </w:rPr>
        <w:t xml:space="preserve"> is common. The fee paid to the landowner may be a flat annual fee per turbine, regardless of size or capacity, or a fee based on the generating capacity of the turbine. The latter arrangement reflects the reality that modern day </w:t>
      </w:r>
      <w:r>
        <w:rPr>
          <w:rFonts w:cs="Arial"/>
        </w:rPr>
        <w:t xml:space="preserve">on-shore </w:t>
      </w:r>
      <w:r w:rsidRPr="00FC45E9">
        <w:rPr>
          <w:rFonts w:cs="Arial"/>
        </w:rPr>
        <w:t>turbines have much greater capacity (</w:t>
      </w:r>
      <w:r>
        <w:rPr>
          <w:rFonts w:cs="Arial"/>
        </w:rPr>
        <w:t xml:space="preserve">now </w:t>
      </w:r>
      <w:r w:rsidRPr="00FC45E9">
        <w:rPr>
          <w:rFonts w:cs="Arial"/>
        </w:rPr>
        <w:t xml:space="preserve">in the order of </w:t>
      </w:r>
      <w:r>
        <w:rPr>
          <w:rFonts w:cs="Arial"/>
        </w:rPr>
        <w:t>5</w:t>
      </w:r>
      <w:r w:rsidRPr="00FC45E9">
        <w:rPr>
          <w:rFonts w:cs="Arial"/>
        </w:rPr>
        <w:t xml:space="preserve"> MW</w:t>
      </w:r>
      <w:r>
        <w:rPr>
          <w:rFonts w:cs="Arial"/>
        </w:rPr>
        <w:t xml:space="preserve"> - 7</w:t>
      </w:r>
      <w:r w:rsidRPr="00FC45E9">
        <w:rPr>
          <w:rFonts w:cs="Arial"/>
        </w:rPr>
        <w:t xml:space="preserve"> MW) compared with turbines available previously</w:t>
      </w:r>
      <w:r>
        <w:rPr>
          <w:rFonts w:cs="Arial"/>
        </w:rPr>
        <w:t xml:space="preserve">. These changes </w:t>
      </w:r>
      <w:r w:rsidRPr="00FC45E9">
        <w:rPr>
          <w:rFonts w:cs="Arial"/>
        </w:rPr>
        <w:t xml:space="preserve">can result in less turbines being hosted by the landowner than originally envisaged with </w:t>
      </w:r>
      <w:r>
        <w:rPr>
          <w:rFonts w:cs="Arial"/>
        </w:rPr>
        <w:t xml:space="preserve">the </w:t>
      </w:r>
      <w:r w:rsidRPr="00FC45E9">
        <w:rPr>
          <w:rFonts w:cs="Arial"/>
        </w:rPr>
        <w:t>smaller capacity turbines.</w:t>
      </w:r>
      <w:r>
        <w:rPr>
          <w:rFonts w:cs="Arial"/>
        </w:rPr>
        <w:t xml:space="preserve"> By contrast, host landowners for solar farms are generally compensated on a fixed amount per hectare leased to proponent over a similar long-term leasing arrangement.</w:t>
      </w:r>
    </w:p>
    <w:p w14:paraId="1D57CFE5" w14:textId="77777777" w:rsidR="001556F0" w:rsidRDefault="001556F0" w:rsidP="001556F0">
      <w:pPr>
        <w:spacing w:line="264" w:lineRule="auto"/>
        <w:ind w:left="360"/>
        <w:rPr>
          <w:rFonts w:cs="Arial"/>
        </w:rPr>
      </w:pPr>
      <w:r>
        <w:rPr>
          <w:rFonts w:cs="Arial"/>
        </w:rPr>
        <w:t xml:space="preserve">Fee pricing can become dated, especially if a landowner has entered into a fixed annual fee agreement. </w:t>
      </w:r>
      <w:r w:rsidRPr="004760D2">
        <w:rPr>
          <w:rFonts w:cs="Arial"/>
        </w:rPr>
        <w:t>A</w:t>
      </w:r>
      <w:r>
        <w:rPr>
          <w:rFonts w:cs="Arial"/>
        </w:rPr>
        <w:t>n</w:t>
      </w:r>
      <w:r w:rsidRPr="004760D2">
        <w:rPr>
          <w:rFonts w:cs="Arial"/>
        </w:rPr>
        <w:t xml:space="preserve"> issue that has emerged in more recent times</w:t>
      </w:r>
      <w:r>
        <w:rPr>
          <w:rFonts w:cs="Arial"/>
        </w:rPr>
        <w:t xml:space="preserve"> relates to wind farm </w:t>
      </w:r>
      <w:r w:rsidRPr="00FC45E9">
        <w:rPr>
          <w:rFonts w:cs="Arial"/>
        </w:rPr>
        <w:t>agreements that may have been entered into a number of year</w:t>
      </w:r>
      <w:r>
        <w:rPr>
          <w:rFonts w:cs="Arial"/>
        </w:rPr>
        <w:t>s ago with a fixed annual fee pe</w:t>
      </w:r>
      <w:r w:rsidRPr="00FC45E9">
        <w:rPr>
          <w:rFonts w:cs="Arial"/>
        </w:rPr>
        <w:t>r turbine, where the turbine capacity may have been in the order of 1.5 MW to 2 MW</w:t>
      </w:r>
      <w:r>
        <w:rPr>
          <w:rFonts w:cs="Arial"/>
        </w:rPr>
        <w:t xml:space="preserve"> per turbine</w:t>
      </w:r>
      <w:r w:rsidRPr="00FC45E9">
        <w:rPr>
          <w:rFonts w:cs="Arial"/>
        </w:rPr>
        <w:t xml:space="preserve">. </w:t>
      </w:r>
      <w:r>
        <w:rPr>
          <w:rFonts w:cs="Arial"/>
        </w:rPr>
        <w:t xml:space="preserve">However, given the rapid advancement in wind turbine technology, proponents have updated their designs to take advantage of the new, larger scale and more efficient turbines – changing their wind turbine layout to deploy the contemporary technology and requiring fewer turbines to achieve the same energy output. </w:t>
      </w:r>
    </w:p>
    <w:p w14:paraId="4CCF4095" w14:textId="77777777" w:rsidR="001556F0" w:rsidRPr="00FC45E9" w:rsidRDefault="001556F0" w:rsidP="001556F0">
      <w:pPr>
        <w:spacing w:line="264" w:lineRule="auto"/>
        <w:ind w:left="360"/>
        <w:rPr>
          <w:rFonts w:cs="Arial"/>
        </w:rPr>
      </w:pPr>
      <w:r>
        <w:rPr>
          <w:rFonts w:cs="Arial"/>
        </w:rPr>
        <w:t xml:space="preserve">Many existing </w:t>
      </w:r>
      <w:r w:rsidRPr="00FC45E9">
        <w:rPr>
          <w:rFonts w:cs="Arial"/>
        </w:rPr>
        <w:t xml:space="preserve">agreements did not contemplate the significant change in turbine capacity that has </w:t>
      </w:r>
      <w:r>
        <w:rPr>
          <w:rFonts w:cs="Arial"/>
        </w:rPr>
        <w:t xml:space="preserve">now </w:t>
      </w:r>
      <w:r w:rsidRPr="00FC45E9">
        <w:rPr>
          <w:rFonts w:cs="Arial"/>
        </w:rPr>
        <w:t xml:space="preserve">occurred. As a result, the agreement fee </w:t>
      </w:r>
      <w:r>
        <w:rPr>
          <w:rFonts w:cs="Arial"/>
        </w:rPr>
        <w:t xml:space="preserve">per turbine </w:t>
      </w:r>
      <w:r w:rsidRPr="00FC45E9">
        <w:rPr>
          <w:rFonts w:cs="Arial"/>
        </w:rPr>
        <w:t xml:space="preserve">payable to the landowner (based on the smaller capacity turbine) may not reflect the fee that may be more appropriate for say </w:t>
      </w:r>
      <w:r>
        <w:rPr>
          <w:rFonts w:cs="Arial"/>
        </w:rPr>
        <w:t>the much larger</w:t>
      </w:r>
      <w:r w:rsidRPr="00FC45E9">
        <w:rPr>
          <w:rFonts w:cs="Arial"/>
        </w:rPr>
        <w:t xml:space="preserve"> </w:t>
      </w:r>
      <w:r>
        <w:rPr>
          <w:rFonts w:cs="Arial"/>
        </w:rPr>
        <w:t>5</w:t>
      </w:r>
      <w:r w:rsidRPr="00FC45E9">
        <w:rPr>
          <w:rFonts w:cs="Arial"/>
        </w:rPr>
        <w:t xml:space="preserve"> MW to </w:t>
      </w:r>
      <w:r>
        <w:rPr>
          <w:rFonts w:cs="Arial"/>
        </w:rPr>
        <w:t>7</w:t>
      </w:r>
      <w:r w:rsidRPr="00FC45E9">
        <w:rPr>
          <w:rFonts w:cs="Arial"/>
        </w:rPr>
        <w:t xml:space="preserve"> MW capacity turbine. </w:t>
      </w:r>
      <w:r>
        <w:rPr>
          <w:rFonts w:cs="Arial"/>
        </w:rPr>
        <w:t xml:space="preserve">Further, the landowner’s payment may be well less than expected due to the reduction in the number of turbines now required. </w:t>
      </w:r>
      <w:r w:rsidRPr="00FC45E9">
        <w:rPr>
          <w:rFonts w:cs="Arial"/>
        </w:rPr>
        <w:t xml:space="preserve">Landowners </w:t>
      </w:r>
      <w:r>
        <w:rPr>
          <w:rFonts w:cs="Arial"/>
        </w:rPr>
        <w:t>should</w:t>
      </w:r>
      <w:r w:rsidRPr="00FC45E9">
        <w:rPr>
          <w:rFonts w:cs="Arial"/>
        </w:rPr>
        <w:t xml:space="preserve"> check their existing agreements in this regard </w:t>
      </w:r>
      <w:r>
        <w:rPr>
          <w:rFonts w:cs="Arial"/>
        </w:rPr>
        <w:t xml:space="preserve">and also </w:t>
      </w:r>
      <w:r w:rsidRPr="00FC45E9">
        <w:rPr>
          <w:rFonts w:cs="Arial"/>
        </w:rPr>
        <w:t xml:space="preserve">ensure </w:t>
      </w:r>
      <w:r>
        <w:rPr>
          <w:rFonts w:cs="Arial"/>
        </w:rPr>
        <w:t xml:space="preserve">any </w:t>
      </w:r>
      <w:r w:rsidRPr="00FC45E9">
        <w:rPr>
          <w:rFonts w:cs="Arial"/>
        </w:rPr>
        <w:t xml:space="preserve">new agreements have provision to adjust the fees in the event of </w:t>
      </w:r>
      <w:r>
        <w:rPr>
          <w:rFonts w:cs="Arial"/>
        </w:rPr>
        <w:t xml:space="preserve">a turbine </w:t>
      </w:r>
      <w:r w:rsidRPr="00FC45E9">
        <w:rPr>
          <w:rFonts w:cs="Arial"/>
        </w:rPr>
        <w:t>capacity increase</w:t>
      </w:r>
      <w:r>
        <w:rPr>
          <w:rFonts w:cs="Arial"/>
        </w:rPr>
        <w:t xml:space="preserve"> and/or a reduction in number of turbines, as well as</w:t>
      </w:r>
      <w:r w:rsidRPr="00FC45E9">
        <w:rPr>
          <w:rFonts w:cs="Arial"/>
        </w:rPr>
        <w:t xml:space="preserve"> the ability to escalate fees </w:t>
      </w:r>
      <w:r>
        <w:rPr>
          <w:rFonts w:cs="Arial"/>
        </w:rPr>
        <w:t>annually with a either a fixed increase or based on the consumer price index</w:t>
      </w:r>
      <w:r w:rsidRPr="00FC45E9">
        <w:rPr>
          <w:rFonts w:cs="Arial"/>
        </w:rPr>
        <w:t>.</w:t>
      </w:r>
    </w:p>
    <w:p w14:paraId="45ED7D67" w14:textId="77777777" w:rsidR="001556F0" w:rsidRPr="00FC45E9" w:rsidRDefault="001556F0" w:rsidP="001556F0">
      <w:pPr>
        <w:spacing w:line="264" w:lineRule="auto"/>
        <w:ind w:left="360"/>
        <w:rPr>
          <w:rFonts w:cs="Arial"/>
        </w:rPr>
      </w:pPr>
      <w:r w:rsidRPr="00FC45E9">
        <w:rPr>
          <w:rFonts w:cs="Arial"/>
        </w:rPr>
        <w:t xml:space="preserve">There can also be a variety of arrangements regarding when the payment of fees </w:t>
      </w:r>
      <w:r>
        <w:rPr>
          <w:rFonts w:cs="Arial"/>
        </w:rPr>
        <w:t xml:space="preserve">to the landowner actually </w:t>
      </w:r>
      <w:r w:rsidRPr="00FC45E9">
        <w:rPr>
          <w:rFonts w:cs="Arial"/>
        </w:rPr>
        <w:t xml:space="preserve">commence and </w:t>
      </w:r>
      <w:r>
        <w:rPr>
          <w:rFonts w:cs="Arial"/>
        </w:rPr>
        <w:t>cease</w:t>
      </w:r>
      <w:r w:rsidRPr="00FC45E9">
        <w:rPr>
          <w:rFonts w:cs="Arial"/>
        </w:rPr>
        <w:t>. While this is a matter for negotiation between the developer and the landowner, it would appear that a fair and reasonable approach would be for payments to commence no later than the start of project construction and cease no earlier that the completion of decommissioning and restoration at the landowner’s property.</w:t>
      </w:r>
      <w:r>
        <w:rPr>
          <w:rFonts w:cs="Arial"/>
        </w:rPr>
        <w:t xml:space="preserve"> Fees may also be payable during the development phase in consideration for the option to use the land that is granted to the proponent by the landowner.</w:t>
      </w:r>
    </w:p>
    <w:p w14:paraId="42F0BA20" w14:textId="77777777" w:rsidR="001556F0" w:rsidRPr="00FC45E9" w:rsidRDefault="001556F0" w:rsidP="001556F0">
      <w:pPr>
        <w:spacing w:line="264" w:lineRule="auto"/>
        <w:ind w:left="360"/>
        <w:rPr>
          <w:rFonts w:cs="Arial"/>
        </w:rPr>
      </w:pPr>
      <w:r w:rsidRPr="00FC45E9">
        <w:rPr>
          <w:rFonts w:cs="Arial"/>
        </w:rPr>
        <w:t xml:space="preserve">Other fee arrangements/agreements may also be required for </w:t>
      </w:r>
      <w:r>
        <w:rPr>
          <w:rFonts w:cs="Arial"/>
        </w:rPr>
        <w:t xml:space="preserve">electrical substations, batteries, </w:t>
      </w:r>
      <w:r w:rsidRPr="00FC45E9">
        <w:rPr>
          <w:rFonts w:cs="Arial"/>
        </w:rPr>
        <w:t xml:space="preserve">transmission </w:t>
      </w:r>
      <w:r>
        <w:rPr>
          <w:rFonts w:cs="Arial"/>
        </w:rPr>
        <w:t xml:space="preserve">line </w:t>
      </w:r>
      <w:r w:rsidRPr="00FC45E9">
        <w:rPr>
          <w:rFonts w:cs="Arial"/>
        </w:rPr>
        <w:t xml:space="preserve">easements, </w:t>
      </w:r>
      <w:r>
        <w:rPr>
          <w:rFonts w:cs="Arial"/>
        </w:rPr>
        <w:t xml:space="preserve">access to easements, </w:t>
      </w:r>
      <w:r w:rsidRPr="00FC45E9">
        <w:rPr>
          <w:rFonts w:cs="Arial"/>
        </w:rPr>
        <w:t xml:space="preserve">road access, transportation of blades and towers across property boundaries, location of project offices and the like. Landowners </w:t>
      </w:r>
      <w:r>
        <w:rPr>
          <w:rFonts w:cs="Arial"/>
        </w:rPr>
        <w:t xml:space="preserve">hosting </w:t>
      </w:r>
      <w:r w:rsidRPr="00FC45E9">
        <w:rPr>
          <w:rFonts w:cs="Arial"/>
        </w:rPr>
        <w:t xml:space="preserve">these </w:t>
      </w:r>
      <w:r>
        <w:rPr>
          <w:rFonts w:cs="Arial"/>
        </w:rPr>
        <w:t xml:space="preserve">ancillary </w:t>
      </w:r>
      <w:r w:rsidRPr="00FC45E9">
        <w:rPr>
          <w:rFonts w:cs="Arial"/>
        </w:rPr>
        <w:t>a</w:t>
      </w:r>
      <w:r>
        <w:rPr>
          <w:rFonts w:cs="Arial"/>
        </w:rPr>
        <w:t>ssets</w:t>
      </w:r>
      <w:r w:rsidRPr="00FC45E9">
        <w:rPr>
          <w:rFonts w:cs="Arial"/>
        </w:rPr>
        <w:t xml:space="preserve"> may or may not be </w:t>
      </w:r>
      <w:r>
        <w:rPr>
          <w:rFonts w:cs="Arial"/>
        </w:rPr>
        <w:t xml:space="preserve">wind </w:t>
      </w:r>
      <w:r w:rsidRPr="00FC45E9">
        <w:rPr>
          <w:rFonts w:cs="Arial"/>
        </w:rPr>
        <w:t xml:space="preserve">turbine </w:t>
      </w:r>
      <w:r>
        <w:rPr>
          <w:rFonts w:cs="Arial"/>
        </w:rPr>
        <w:t xml:space="preserve">or solar array </w:t>
      </w:r>
      <w:r w:rsidRPr="00FC45E9">
        <w:rPr>
          <w:rFonts w:cs="Arial"/>
        </w:rPr>
        <w:t>hosts</w:t>
      </w:r>
      <w:r>
        <w:rPr>
          <w:rFonts w:cs="Arial"/>
        </w:rPr>
        <w:t>, but are integral to the project</w:t>
      </w:r>
      <w:r w:rsidRPr="00FC45E9">
        <w:rPr>
          <w:rFonts w:cs="Arial"/>
        </w:rPr>
        <w:t>.</w:t>
      </w:r>
      <w:r>
        <w:rPr>
          <w:rFonts w:cs="Arial"/>
        </w:rPr>
        <w:t xml:space="preserve"> </w:t>
      </w:r>
      <w:r w:rsidRPr="00FC45E9">
        <w:rPr>
          <w:rFonts w:cs="Arial"/>
        </w:rPr>
        <w:t xml:space="preserve"> </w:t>
      </w:r>
    </w:p>
    <w:p w14:paraId="28213212" w14:textId="77777777" w:rsidR="001556F0" w:rsidRPr="00FC45E9" w:rsidRDefault="001556F0" w:rsidP="001556F0">
      <w:pPr>
        <w:spacing w:line="264" w:lineRule="auto"/>
        <w:ind w:left="360"/>
        <w:rPr>
          <w:rFonts w:cs="Arial"/>
        </w:rPr>
      </w:pPr>
      <w:r>
        <w:rPr>
          <w:rFonts w:cs="Arial"/>
        </w:rPr>
        <w:t>E</w:t>
      </w:r>
      <w:r w:rsidRPr="00FC45E9">
        <w:rPr>
          <w:rFonts w:cs="Arial"/>
        </w:rPr>
        <w:t>merging issue</w:t>
      </w:r>
      <w:r>
        <w:rPr>
          <w:rFonts w:cs="Arial"/>
        </w:rPr>
        <w:t>s include</w:t>
      </w:r>
      <w:r w:rsidRPr="00FC45E9">
        <w:rPr>
          <w:rFonts w:cs="Arial"/>
        </w:rPr>
        <w:t xml:space="preserve"> ‘blade trespass’, where a </w:t>
      </w:r>
      <w:r>
        <w:rPr>
          <w:rFonts w:cs="Arial"/>
        </w:rPr>
        <w:t xml:space="preserve">turbine </w:t>
      </w:r>
      <w:r w:rsidRPr="00FC45E9">
        <w:rPr>
          <w:rFonts w:cs="Arial"/>
        </w:rPr>
        <w:t>blade may need to traverse a landowner’s property</w:t>
      </w:r>
      <w:r>
        <w:rPr>
          <w:rFonts w:cs="Arial"/>
        </w:rPr>
        <w:t xml:space="preserve"> boundary</w:t>
      </w:r>
      <w:r w:rsidRPr="00FC45E9">
        <w:rPr>
          <w:rFonts w:cs="Arial"/>
        </w:rPr>
        <w:t xml:space="preserve"> </w:t>
      </w:r>
      <w:r>
        <w:rPr>
          <w:rFonts w:cs="Arial"/>
        </w:rPr>
        <w:t xml:space="preserve">when being </w:t>
      </w:r>
      <w:r w:rsidRPr="00FC45E9">
        <w:rPr>
          <w:rFonts w:cs="Arial"/>
        </w:rPr>
        <w:t xml:space="preserve">transported around a </w:t>
      </w:r>
      <w:r>
        <w:rPr>
          <w:rFonts w:cs="Arial"/>
        </w:rPr>
        <w:t>bend in the road, powerline easements, where the landowner has agreed for a powerline to traverse their property for a one-time fee, and ‘sway easements’, where a powerline may sway over a landowner’s property boundary.</w:t>
      </w:r>
      <w:r w:rsidRPr="00FC45E9">
        <w:rPr>
          <w:rFonts w:cs="Arial"/>
        </w:rPr>
        <w:t xml:space="preserve"> The recent increase in blade lengths has increased the possibility of </w:t>
      </w:r>
      <w:r>
        <w:rPr>
          <w:rFonts w:cs="Arial"/>
        </w:rPr>
        <w:t xml:space="preserve">‘trespass’ </w:t>
      </w:r>
      <w:r w:rsidRPr="00FC45E9">
        <w:rPr>
          <w:rFonts w:cs="Arial"/>
        </w:rPr>
        <w:t xml:space="preserve">occurring. Developers </w:t>
      </w:r>
      <w:r>
        <w:rPr>
          <w:rFonts w:cs="Arial"/>
        </w:rPr>
        <w:t xml:space="preserve">and their contractors </w:t>
      </w:r>
      <w:r w:rsidRPr="00FC45E9">
        <w:rPr>
          <w:rFonts w:cs="Arial"/>
        </w:rPr>
        <w:t>need to be cogni</w:t>
      </w:r>
      <w:r>
        <w:rPr>
          <w:rFonts w:cs="Arial"/>
        </w:rPr>
        <w:t>s</w:t>
      </w:r>
      <w:r w:rsidRPr="00FC45E9">
        <w:rPr>
          <w:rFonts w:cs="Arial"/>
        </w:rPr>
        <w:t>ant of th</w:t>
      </w:r>
      <w:r>
        <w:rPr>
          <w:rFonts w:cs="Arial"/>
        </w:rPr>
        <w:t xml:space="preserve">ese types of </w:t>
      </w:r>
      <w:r w:rsidRPr="00FC45E9">
        <w:rPr>
          <w:rFonts w:cs="Arial"/>
        </w:rPr>
        <w:t>issue</w:t>
      </w:r>
      <w:r>
        <w:rPr>
          <w:rFonts w:cs="Arial"/>
        </w:rPr>
        <w:t>s</w:t>
      </w:r>
      <w:r w:rsidRPr="00FC45E9">
        <w:rPr>
          <w:rFonts w:cs="Arial"/>
        </w:rPr>
        <w:t xml:space="preserve"> and ensure they have appropriate agreements in place with landowners prior to submitting </w:t>
      </w:r>
      <w:r>
        <w:rPr>
          <w:rFonts w:cs="Arial"/>
        </w:rPr>
        <w:t xml:space="preserve">permit application plans such as the </w:t>
      </w:r>
      <w:r w:rsidRPr="00FC45E9">
        <w:rPr>
          <w:rFonts w:cs="Arial"/>
        </w:rPr>
        <w:t>transport management plan</w:t>
      </w:r>
      <w:r>
        <w:rPr>
          <w:rFonts w:cs="Arial"/>
        </w:rPr>
        <w:t xml:space="preserve"> or transmission route plan</w:t>
      </w:r>
      <w:r w:rsidRPr="00FC45E9">
        <w:rPr>
          <w:rFonts w:cs="Arial"/>
        </w:rPr>
        <w:t xml:space="preserve">. </w:t>
      </w:r>
    </w:p>
    <w:p w14:paraId="1C8AAB37" w14:textId="77777777" w:rsidR="001556F0" w:rsidRPr="00FC45E9" w:rsidRDefault="001556F0" w:rsidP="001556F0">
      <w:pPr>
        <w:spacing w:line="264" w:lineRule="auto"/>
        <w:ind w:left="360"/>
        <w:rPr>
          <w:rFonts w:cs="Arial"/>
          <w:b/>
        </w:rPr>
      </w:pPr>
      <w:r w:rsidRPr="00FC45E9">
        <w:rPr>
          <w:rFonts w:cs="Arial"/>
          <w:b/>
        </w:rPr>
        <w:t xml:space="preserve">Development Process </w:t>
      </w:r>
    </w:p>
    <w:p w14:paraId="0ED72C2F" w14:textId="77777777" w:rsidR="001556F0" w:rsidRDefault="001556F0" w:rsidP="001556F0">
      <w:pPr>
        <w:spacing w:line="264" w:lineRule="auto"/>
        <w:ind w:left="360"/>
        <w:rPr>
          <w:rFonts w:cs="Arial"/>
        </w:rPr>
      </w:pPr>
      <w:r w:rsidRPr="00FC45E9">
        <w:rPr>
          <w:rFonts w:cs="Arial"/>
        </w:rPr>
        <w:t xml:space="preserve">Potential host landowners are typically approached by a developer very early in the development phase of a </w:t>
      </w:r>
      <w:r>
        <w:rPr>
          <w:rFonts w:cs="Arial"/>
        </w:rPr>
        <w:t xml:space="preserve">potential </w:t>
      </w:r>
      <w:r w:rsidRPr="00FC45E9">
        <w:rPr>
          <w:rFonts w:cs="Arial"/>
        </w:rPr>
        <w:t xml:space="preserve">project </w:t>
      </w:r>
      <w:r>
        <w:rPr>
          <w:rFonts w:cs="Arial"/>
        </w:rPr>
        <w:t xml:space="preserve">in order </w:t>
      </w:r>
      <w:r w:rsidRPr="00FC45E9">
        <w:rPr>
          <w:rFonts w:cs="Arial"/>
        </w:rPr>
        <w:t>to obtain the</w:t>
      </w:r>
      <w:r>
        <w:rPr>
          <w:rFonts w:cs="Arial"/>
        </w:rPr>
        <w:t xml:space="preserve"> landowner’s</w:t>
      </w:r>
      <w:r w:rsidRPr="00FC45E9">
        <w:rPr>
          <w:rFonts w:cs="Arial"/>
        </w:rPr>
        <w:t xml:space="preserve"> agreement to host turbines </w:t>
      </w:r>
      <w:r>
        <w:rPr>
          <w:rFonts w:cs="Arial"/>
        </w:rPr>
        <w:t xml:space="preserve">or solar arrays in the </w:t>
      </w:r>
      <w:r>
        <w:rPr>
          <w:rFonts w:cs="Arial"/>
        </w:rPr>
        <w:lastRenderedPageBreak/>
        <w:t xml:space="preserve">event </w:t>
      </w:r>
      <w:r w:rsidRPr="00FC45E9">
        <w:rPr>
          <w:rFonts w:cs="Arial"/>
        </w:rPr>
        <w:t xml:space="preserve">the project </w:t>
      </w:r>
      <w:r>
        <w:rPr>
          <w:rFonts w:cs="Arial"/>
        </w:rPr>
        <w:t>is approved and proceeds</w:t>
      </w:r>
      <w:r w:rsidRPr="00FC45E9">
        <w:rPr>
          <w:rFonts w:cs="Arial"/>
        </w:rPr>
        <w:t xml:space="preserve">. Landowners will typically enter into an initial agreement (often referred to as a ‘License Agreement’) that documents their willingness to host </w:t>
      </w:r>
      <w:r>
        <w:rPr>
          <w:rFonts w:cs="Arial"/>
        </w:rPr>
        <w:t>the assets</w:t>
      </w:r>
      <w:r w:rsidRPr="00FC45E9">
        <w:rPr>
          <w:rFonts w:cs="Arial"/>
        </w:rPr>
        <w:t xml:space="preserve"> and the commercial arrangements that </w:t>
      </w:r>
      <w:r>
        <w:rPr>
          <w:rFonts w:cs="Arial"/>
        </w:rPr>
        <w:t>may be agreed to i</w:t>
      </w:r>
      <w:r w:rsidRPr="00FC45E9">
        <w:rPr>
          <w:rFonts w:cs="Arial"/>
        </w:rPr>
        <w:t>n the event that the development proceeds</w:t>
      </w:r>
      <w:r>
        <w:rPr>
          <w:rFonts w:cs="Arial"/>
        </w:rPr>
        <w:t xml:space="preserve"> to the permit application stage</w:t>
      </w:r>
      <w:r w:rsidRPr="00FC45E9">
        <w:rPr>
          <w:rFonts w:cs="Arial"/>
        </w:rPr>
        <w:t xml:space="preserve">. Generally, these initial </w:t>
      </w:r>
      <w:r>
        <w:rPr>
          <w:rFonts w:cs="Arial"/>
        </w:rPr>
        <w:t xml:space="preserve">licence </w:t>
      </w:r>
      <w:r w:rsidRPr="00FC45E9">
        <w:rPr>
          <w:rFonts w:cs="Arial"/>
        </w:rPr>
        <w:t>agreements provide the developer with exclusive rights over the landowner’s property for a defined or undefined period of time.</w:t>
      </w:r>
      <w:r>
        <w:rPr>
          <w:rFonts w:cs="Arial"/>
        </w:rPr>
        <w:t xml:space="preserve"> In most cases, the license agreement will need to be replaced with a lease agreement before any form of construction occurs.</w:t>
      </w:r>
    </w:p>
    <w:p w14:paraId="6FC6BA53" w14:textId="77777777" w:rsidR="001556F0" w:rsidRDefault="001556F0" w:rsidP="001556F0">
      <w:pPr>
        <w:spacing w:line="264" w:lineRule="auto"/>
        <w:ind w:left="360"/>
        <w:rPr>
          <w:rFonts w:cs="Arial"/>
        </w:rPr>
      </w:pPr>
      <w:r>
        <w:rPr>
          <w:rFonts w:cs="Arial"/>
        </w:rPr>
        <w:t xml:space="preserve">It is essential that landowners obtain sound legal and financial advice before signing any agreement with the proponent. Agreements may contain terms and conditions that may not be acceptable to the landowner and the landowner should be provided with the opportunity to negotiate or strike out such clauses. </w:t>
      </w:r>
    </w:p>
    <w:p w14:paraId="35E6E549" w14:textId="77777777" w:rsidR="001556F0" w:rsidRPr="00FC45E9" w:rsidRDefault="001556F0" w:rsidP="001556F0">
      <w:pPr>
        <w:spacing w:line="264" w:lineRule="auto"/>
        <w:ind w:left="360"/>
        <w:rPr>
          <w:rFonts w:cs="Arial"/>
        </w:rPr>
      </w:pPr>
      <w:r w:rsidRPr="00FC45E9">
        <w:rPr>
          <w:rFonts w:cs="Arial"/>
        </w:rPr>
        <w:t xml:space="preserve">There is a wide </w:t>
      </w:r>
      <w:r>
        <w:rPr>
          <w:rFonts w:cs="Arial"/>
        </w:rPr>
        <w:t>spectrum</w:t>
      </w:r>
      <w:r w:rsidRPr="00FC45E9">
        <w:rPr>
          <w:rFonts w:cs="Arial"/>
        </w:rPr>
        <w:t xml:space="preserve"> of developers active in the industry, with a variety of skills, resources, experience and business models. Many developers will </w:t>
      </w:r>
      <w:r>
        <w:rPr>
          <w:rFonts w:cs="Arial"/>
        </w:rPr>
        <w:t xml:space="preserve">progress </w:t>
      </w:r>
      <w:r w:rsidRPr="00FC45E9">
        <w:rPr>
          <w:rFonts w:cs="Arial"/>
        </w:rPr>
        <w:t xml:space="preserve">the project to a stage where it is eligible to secure (or has secured) a planning permit, and then sell the project to another entity </w:t>
      </w:r>
      <w:r>
        <w:rPr>
          <w:rFonts w:cs="Arial"/>
        </w:rPr>
        <w:t xml:space="preserve">that will </w:t>
      </w:r>
      <w:r w:rsidRPr="00FC45E9">
        <w:rPr>
          <w:rFonts w:cs="Arial"/>
        </w:rPr>
        <w:t>take the project forward</w:t>
      </w:r>
      <w:r>
        <w:rPr>
          <w:rFonts w:cs="Arial"/>
        </w:rPr>
        <w:t xml:space="preserve"> through the construction and operation stages</w:t>
      </w:r>
      <w:r w:rsidRPr="00FC45E9">
        <w:rPr>
          <w:rFonts w:cs="Arial"/>
        </w:rPr>
        <w:t xml:space="preserve">. Currently, developers are not licensed to prospect wind </w:t>
      </w:r>
      <w:r>
        <w:rPr>
          <w:rFonts w:cs="Arial"/>
        </w:rPr>
        <w:t xml:space="preserve">or solar </w:t>
      </w:r>
      <w:r w:rsidRPr="00FC45E9">
        <w:rPr>
          <w:rFonts w:cs="Arial"/>
        </w:rPr>
        <w:t>farm projects</w:t>
      </w:r>
      <w:r>
        <w:rPr>
          <w:rFonts w:cs="Arial"/>
        </w:rPr>
        <w:t>,</w:t>
      </w:r>
      <w:r w:rsidRPr="00FC45E9">
        <w:rPr>
          <w:rFonts w:cs="Arial"/>
        </w:rPr>
        <w:t xml:space="preserve"> nor do they require approval to prospect </w:t>
      </w:r>
      <w:r>
        <w:rPr>
          <w:rFonts w:cs="Arial"/>
        </w:rPr>
        <w:t xml:space="preserve">in </w:t>
      </w:r>
      <w:r w:rsidRPr="00FC45E9">
        <w:rPr>
          <w:rFonts w:cs="Arial"/>
        </w:rPr>
        <w:t xml:space="preserve">a location for a potential </w:t>
      </w:r>
      <w:r>
        <w:rPr>
          <w:rFonts w:cs="Arial"/>
        </w:rPr>
        <w:t xml:space="preserve">project </w:t>
      </w:r>
      <w:r w:rsidRPr="00FC45E9">
        <w:rPr>
          <w:rFonts w:cs="Arial"/>
        </w:rPr>
        <w:t>site.</w:t>
      </w:r>
    </w:p>
    <w:p w14:paraId="75F6E0FB" w14:textId="77777777" w:rsidR="001556F0" w:rsidRPr="00FC45E9" w:rsidRDefault="001556F0" w:rsidP="001556F0">
      <w:pPr>
        <w:spacing w:line="264" w:lineRule="auto"/>
        <w:ind w:left="360"/>
        <w:rPr>
          <w:rFonts w:cs="Arial"/>
        </w:rPr>
      </w:pPr>
      <w:r w:rsidRPr="00FC45E9">
        <w:rPr>
          <w:rFonts w:cs="Arial"/>
        </w:rPr>
        <w:t>A</w:t>
      </w:r>
      <w:r>
        <w:rPr>
          <w:rFonts w:cs="Arial"/>
        </w:rPr>
        <w:t>t</w:t>
      </w:r>
      <w:r w:rsidRPr="00FC45E9">
        <w:rPr>
          <w:rFonts w:cs="Arial"/>
        </w:rPr>
        <w:t xml:space="preserve"> the </w:t>
      </w:r>
      <w:r>
        <w:rPr>
          <w:rFonts w:cs="Arial"/>
        </w:rPr>
        <w:t xml:space="preserve">initial stage of the </w:t>
      </w:r>
      <w:r w:rsidRPr="00FC45E9">
        <w:rPr>
          <w:rFonts w:cs="Arial"/>
        </w:rPr>
        <w:t xml:space="preserve">development process, it is not uncommon for a developer to propose more turbines </w:t>
      </w:r>
      <w:r>
        <w:rPr>
          <w:rFonts w:cs="Arial"/>
        </w:rPr>
        <w:t xml:space="preserve">or solar arrays </w:t>
      </w:r>
      <w:r w:rsidRPr="00FC45E9">
        <w:rPr>
          <w:rFonts w:cs="Arial"/>
        </w:rPr>
        <w:t>than will be finally approved or installed. As a result, the developer often</w:t>
      </w:r>
      <w:r>
        <w:rPr>
          <w:rFonts w:cs="Arial"/>
        </w:rPr>
        <w:t xml:space="preserve"> </w:t>
      </w:r>
      <w:r w:rsidRPr="00FC45E9">
        <w:rPr>
          <w:rFonts w:cs="Arial"/>
        </w:rPr>
        <w:t xml:space="preserve">enters into preliminary </w:t>
      </w:r>
      <w:r>
        <w:rPr>
          <w:rFonts w:cs="Arial"/>
        </w:rPr>
        <w:t xml:space="preserve">license </w:t>
      </w:r>
      <w:r w:rsidRPr="00FC45E9">
        <w:rPr>
          <w:rFonts w:cs="Arial"/>
        </w:rPr>
        <w:t xml:space="preserve">agreements with landowners who may ultimately ‘miss out’ on hosting </w:t>
      </w:r>
      <w:r>
        <w:rPr>
          <w:rFonts w:cs="Arial"/>
        </w:rPr>
        <w:t xml:space="preserve">assets </w:t>
      </w:r>
      <w:r w:rsidRPr="00FC45E9">
        <w:rPr>
          <w:rFonts w:cs="Arial"/>
        </w:rPr>
        <w:t xml:space="preserve">or be </w:t>
      </w:r>
      <w:r>
        <w:rPr>
          <w:rFonts w:cs="Arial"/>
        </w:rPr>
        <w:t>offered</w:t>
      </w:r>
      <w:r w:rsidRPr="00FC45E9">
        <w:rPr>
          <w:rFonts w:cs="Arial"/>
        </w:rPr>
        <w:t xml:space="preserve"> to host a reduced number of </w:t>
      </w:r>
      <w:r>
        <w:rPr>
          <w:rFonts w:cs="Arial"/>
        </w:rPr>
        <w:t>assets</w:t>
      </w:r>
      <w:r w:rsidRPr="00FC45E9">
        <w:rPr>
          <w:rFonts w:cs="Arial"/>
        </w:rPr>
        <w:t xml:space="preserve">. Further, even </w:t>
      </w:r>
      <w:r>
        <w:rPr>
          <w:rFonts w:cs="Arial"/>
        </w:rPr>
        <w:t xml:space="preserve">when </w:t>
      </w:r>
      <w:r w:rsidRPr="00FC45E9">
        <w:rPr>
          <w:rFonts w:cs="Arial"/>
        </w:rPr>
        <w:t xml:space="preserve">the final number of </w:t>
      </w:r>
      <w:r>
        <w:rPr>
          <w:rFonts w:cs="Arial"/>
        </w:rPr>
        <w:t xml:space="preserve">wind </w:t>
      </w:r>
      <w:r w:rsidRPr="00FC45E9">
        <w:rPr>
          <w:rFonts w:cs="Arial"/>
        </w:rPr>
        <w:t xml:space="preserve">turbines </w:t>
      </w:r>
      <w:r>
        <w:rPr>
          <w:rFonts w:cs="Arial"/>
        </w:rPr>
        <w:t xml:space="preserve">or solar arrays </w:t>
      </w:r>
      <w:r w:rsidRPr="00FC45E9">
        <w:rPr>
          <w:rFonts w:cs="Arial"/>
        </w:rPr>
        <w:t xml:space="preserve">is confirmed, the planned location of </w:t>
      </w:r>
      <w:r>
        <w:rPr>
          <w:rFonts w:cs="Arial"/>
        </w:rPr>
        <w:t>these assets</w:t>
      </w:r>
      <w:r w:rsidRPr="00FC45E9">
        <w:rPr>
          <w:rFonts w:cs="Arial"/>
        </w:rPr>
        <w:t xml:space="preserve"> may be </w:t>
      </w:r>
      <w:r>
        <w:rPr>
          <w:rFonts w:cs="Arial"/>
        </w:rPr>
        <w:t>further revised,</w:t>
      </w:r>
      <w:r w:rsidRPr="00FC45E9">
        <w:rPr>
          <w:rFonts w:cs="Arial"/>
        </w:rPr>
        <w:t xml:space="preserve"> which can also result in landowners hosting less </w:t>
      </w:r>
      <w:r>
        <w:rPr>
          <w:rFonts w:cs="Arial"/>
        </w:rPr>
        <w:t>assets, potentially earning less fees</w:t>
      </w:r>
      <w:r w:rsidRPr="00FC45E9">
        <w:rPr>
          <w:rFonts w:cs="Arial"/>
        </w:rPr>
        <w:t xml:space="preserve"> than </w:t>
      </w:r>
      <w:r>
        <w:rPr>
          <w:rFonts w:cs="Arial"/>
        </w:rPr>
        <w:t xml:space="preserve">original </w:t>
      </w:r>
      <w:r w:rsidRPr="00FC45E9">
        <w:rPr>
          <w:rFonts w:cs="Arial"/>
        </w:rPr>
        <w:t>expect</w:t>
      </w:r>
      <w:r>
        <w:rPr>
          <w:rFonts w:cs="Arial"/>
        </w:rPr>
        <w:t>ations.</w:t>
      </w:r>
    </w:p>
    <w:p w14:paraId="1B21F79E" w14:textId="77777777" w:rsidR="001556F0" w:rsidRPr="00FC45E9" w:rsidRDefault="001556F0" w:rsidP="001556F0">
      <w:pPr>
        <w:spacing w:line="264" w:lineRule="auto"/>
        <w:ind w:left="360"/>
        <w:rPr>
          <w:rFonts w:cs="Arial"/>
        </w:rPr>
      </w:pPr>
      <w:r w:rsidRPr="00FC45E9">
        <w:rPr>
          <w:rFonts w:cs="Arial"/>
        </w:rPr>
        <w:t xml:space="preserve">There are many reasons why a proposed </w:t>
      </w:r>
      <w:r>
        <w:rPr>
          <w:rFonts w:cs="Arial"/>
        </w:rPr>
        <w:t xml:space="preserve">project </w:t>
      </w:r>
      <w:r w:rsidRPr="00FC45E9">
        <w:rPr>
          <w:rFonts w:cs="Arial"/>
        </w:rPr>
        <w:t xml:space="preserve">may reduce the number of turbines </w:t>
      </w:r>
      <w:r>
        <w:rPr>
          <w:rFonts w:cs="Arial"/>
        </w:rPr>
        <w:t xml:space="preserve">or solar arrays </w:t>
      </w:r>
      <w:r w:rsidRPr="00FC45E9">
        <w:rPr>
          <w:rFonts w:cs="Arial"/>
        </w:rPr>
        <w:t>during the development phase. These may include increase</w:t>
      </w:r>
      <w:r>
        <w:rPr>
          <w:rFonts w:cs="Arial"/>
        </w:rPr>
        <w:t>s</w:t>
      </w:r>
      <w:r w:rsidRPr="00FC45E9">
        <w:rPr>
          <w:rFonts w:cs="Arial"/>
        </w:rPr>
        <w:t xml:space="preserve"> in turbine </w:t>
      </w:r>
      <w:r>
        <w:rPr>
          <w:rFonts w:cs="Arial"/>
        </w:rPr>
        <w:t xml:space="preserve">or solar panel </w:t>
      </w:r>
      <w:r w:rsidRPr="00FC45E9">
        <w:rPr>
          <w:rFonts w:cs="Arial"/>
        </w:rPr>
        <w:t>capacity</w:t>
      </w:r>
      <w:r>
        <w:rPr>
          <w:rFonts w:cs="Arial"/>
        </w:rPr>
        <w:t xml:space="preserve"> and efficiency</w:t>
      </w:r>
      <w:r w:rsidRPr="00FC45E9">
        <w:rPr>
          <w:rFonts w:cs="Arial"/>
        </w:rPr>
        <w:t xml:space="preserve">, transmission constraints, </w:t>
      </w:r>
      <w:r>
        <w:rPr>
          <w:rFonts w:cs="Arial"/>
        </w:rPr>
        <w:t xml:space="preserve">noise compliance setbacks, </w:t>
      </w:r>
      <w:r w:rsidRPr="00FC45E9">
        <w:rPr>
          <w:rFonts w:cs="Arial"/>
        </w:rPr>
        <w:t>environmental and planning considerations and requirements, financial constraints</w:t>
      </w:r>
      <w:r>
        <w:rPr>
          <w:rFonts w:cs="Arial"/>
        </w:rPr>
        <w:t>, community or neighbour concerns</w:t>
      </w:r>
      <w:r w:rsidRPr="00FC45E9">
        <w:rPr>
          <w:rFonts w:cs="Arial"/>
        </w:rPr>
        <w:t xml:space="preserve"> along with changes to policy, legislation or planning guidelines.</w:t>
      </w:r>
    </w:p>
    <w:p w14:paraId="01253AC0" w14:textId="77777777" w:rsidR="001556F0" w:rsidRPr="00FC45E9" w:rsidRDefault="001556F0" w:rsidP="001556F0">
      <w:pPr>
        <w:spacing w:line="264" w:lineRule="auto"/>
        <w:ind w:left="360"/>
        <w:rPr>
          <w:rFonts w:cs="Arial"/>
        </w:rPr>
      </w:pPr>
      <w:r w:rsidRPr="00FC45E9">
        <w:rPr>
          <w:rFonts w:cs="Arial"/>
        </w:rPr>
        <w:t xml:space="preserve">These various scenarios, observed in the Australian industry to date, can create a ‘winners and losers’ situation for landowners that may have had expectations of hosting </w:t>
      </w:r>
      <w:r>
        <w:rPr>
          <w:rFonts w:cs="Arial"/>
        </w:rPr>
        <w:t>assets</w:t>
      </w:r>
      <w:r w:rsidRPr="00FC45E9">
        <w:rPr>
          <w:rFonts w:cs="Arial"/>
        </w:rPr>
        <w:t xml:space="preserve">. For instance, a landowner expecting to host say </w:t>
      </w:r>
      <w:r>
        <w:rPr>
          <w:rFonts w:cs="Arial"/>
        </w:rPr>
        <w:t>ten</w:t>
      </w:r>
      <w:r w:rsidRPr="00FC45E9">
        <w:rPr>
          <w:rFonts w:cs="Arial"/>
        </w:rPr>
        <w:t xml:space="preserve"> </w:t>
      </w:r>
      <w:r>
        <w:rPr>
          <w:rFonts w:cs="Arial"/>
        </w:rPr>
        <w:t xml:space="preserve">wind </w:t>
      </w:r>
      <w:r w:rsidRPr="00FC45E9">
        <w:rPr>
          <w:rFonts w:cs="Arial"/>
        </w:rPr>
        <w:t xml:space="preserve">turbines (and expecting to receive the </w:t>
      </w:r>
      <w:r>
        <w:rPr>
          <w:rFonts w:cs="Arial"/>
        </w:rPr>
        <w:t xml:space="preserve">payments for </w:t>
      </w:r>
      <w:r w:rsidRPr="00FC45E9">
        <w:rPr>
          <w:rFonts w:cs="Arial"/>
        </w:rPr>
        <w:t>hosting</w:t>
      </w:r>
      <w:r>
        <w:rPr>
          <w:rFonts w:cs="Arial"/>
        </w:rPr>
        <w:t xml:space="preserve"> ten turbines</w:t>
      </w:r>
      <w:r w:rsidRPr="00FC45E9">
        <w:rPr>
          <w:rFonts w:cs="Arial"/>
        </w:rPr>
        <w:t>) may become aggrieved if the final approved wind farm has significantly reduced or eliminated the number of turbines to be hosted</w:t>
      </w:r>
      <w:r>
        <w:rPr>
          <w:rFonts w:cs="Arial"/>
        </w:rPr>
        <w:t xml:space="preserve"> by the landowner</w:t>
      </w:r>
      <w:r w:rsidRPr="00FC45E9">
        <w:rPr>
          <w:rFonts w:cs="Arial"/>
        </w:rPr>
        <w:t xml:space="preserve">, thereby </w:t>
      </w:r>
      <w:r>
        <w:rPr>
          <w:rFonts w:cs="Arial"/>
        </w:rPr>
        <w:t xml:space="preserve">materially </w:t>
      </w:r>
      <w:r w:rsidRPr="00FC45E9">
        <w:rPr>
          <w:rFonts w:cs="Arial"/>
        </w:rPr>
        <w:t>reducing or eliminating the potential income stream to that landowner.</w:t>
      </w:r>
    </w:p>
    <w:p w14:paraId="0C4B7CC5" w14:textId="77777777" w:rsidR="001556F0" w:rsidRPr="00FC45E9" w:rsidRDefault="001556F0" w:rsidP="001556F0">
      <w:pPr>
        <w:spacing w:line="264" w:lineRule="auto"/>
        <w:ind w:left="360"/>
        <w:rPr>
          <w:rFonts w:cs="Arial"/>
        </w:rPr>
      </w:pPr>
      <w:r w:rsidRPr="00FC45E9">
        <w:rPr>
          <w:rFonts w:cs="Arial"/>
        </w:rPr>
        <w:t xml:space="preserve">The landowner </w:t>
      </w:r>
      <w:r>
        <w:rPr>
          <w:rFonts w:cs="Arial"/>
        </w:rPr>
        <w:t xml:space="preserve">may </w:t>
      </w:r>
      <w:r w:rsidRPr="00FC45E9">
        <w:rPr>
          <w:rFonts w:cs="Arial"/>
        </w:rPr>
        <w:t xml:space="preserve">not only </w:t>
      </w:r>
      <w:r>
        <w:rPr>
          <w:rFonts w:cs="Arial"/>
        </w:rPr>
        <w:t>perceive that they have ‘m</w:t>
      </w:r>
      <w:r w:rsidRPr="00FC45E9">
        <w:rPr>
          <w:rFonts w:cs="Arial"/>
        </w:rPr>
        <w:t>iss</w:t>
      </w:r>
      <w:r>
        <w:rPr>
          <w:rFonts w:cs="Arial"/>
        </w:rPr>
        <w:t>ed</w:t>
      </w:r>
      <w:r w:rsidRPr="00FC45E9">
        <w:rPr>
          <w:rFonts w:cs="Arial"/>
        </w:rPr>
        <w:t xml:space="preserve"> out</w:t>
      </w:r>
      <w:r>
        <w:rPr>
          <w:rFonts w:cs="Arial"/>
        </w:rPr>
        <w:t>’</w:t>
      </w:r>
      <w:r w:rsidRPr="00FC45E9">
        <w:rPr>
          <w:rFonts w:cs="Arial"/>
        </w:rPr>
        <w:t xml:space="preserve"> on a significant expected income stream, but may also </w:t>
      </w:r>
      <w:r>
        <w:rPr>
          <w:rFonts w:cs="Arial"/>
        </w:rPr>
        <w:t>raise concerns about</w:t>
      </w:r>
      <w:r w:rsidRPr="00FC45E9">
        <w:rPr>
          <w:rFonts w:cs="Arial"/>
        </w:rPr>
        <w:t xml:space="preserve"> the </w:t>
      </w:r>
      <w:r>
        <w:rPr>
          <w:rFonts w:cs="Arial"/>
        </w:rPr>
        <w:t xml:space="preserve">potential impacts </w:t>
      </w:r>
      <w:r w:rsidRPr="00FC45E9">
        <w:rPr>
          <w:rFonts w:cs="Arial"/>
        </w:rPr>
        <w:t>of turbines located on neighbouring properties, including changes in amenity, audible noise, construction disruption</w:t>
      </w:r>
      <w:r>
        <w:rPr>
          <w:rFonts w:cs="Arial"/>
        </w:rPr>
        <w:t>, loss of property value</w:t>
      </w:r>
      <w:r w:rsidRPr="00FC45E9">
        <w:rPr>
          <w:rFonts w:cs="Arial"/>
        </w:rPr>
        <w:t xml:space="preserve"> and other effects of the wind </w:t>
      </w:r>
      <w:r>
        <w:rPr>
          <w:rFonts w:cs="Arial"/>
        </w:rPr>
        <w:t xml:space="preserve">or solar </w:t>
      </w:r>
      <w:r w:rsidRPr="00FC45E9">
        <w:rPr>
          <w:rFonts w:cs="Arial"/>
        </w:rPr>
        <w:t xml:space="preserve">farm. The fact that the landowner’s neighbours </w:t>
      </w:r>
      <w:r>
        <w:rPr>
          <w:rFonts w:cs="Arial"/>
        </w:rPr>
        <w:t xml:space="preserve">are </w:t>
      </w:r>
      <w:r w:rsidRPr="00FC45E9">
        <w:rPr>
          <w:rFonts w:cs="Arial"/>
        </w:rPr>
        <w:t xml:space="preserve">hosting turbines </w:t>
      </w:r>
      <w:r>
        <w:rPr>
          <w:rFonts w:cs="Arial"/>
        </w:rPr>
        <w:t xml:space="preserve">or arrays </w:t>
      </w:r>
      <w:r w:rsidRPr="00FC45E9">
        <w:rPr>
          <w:rFonts w:cs="Arial"/>
        </w:rPr>
        <w:t xml:space="preserve">and receiving </w:t>
      </w:r>
      <w:r>
        <w:rPr>
          <w:rFonts w:cs="Arial"/>
        </w:rPr>
        <w:t xml:space="preserve">payments </w:t>
      </w:r>
      <w:r w:rsidRPr="00FC45E9">
        <w:rPr>
          <w:rFonts w:cs="Arial"/>
        </w:rPr>
        <w:t>can further aggravate the situation for the landowner that missed out.</w:t>
      </w:r>
    </w:p>
    <w:p w14:paraId="46FE3AB4" w14:textId="77777777" w:rsidR="001556F0" w:rsidRPr="00FC45E9" w:rsidRDefault="001556F0" w:rsidP="001556F0">
      <w:pPr>
        <w:spacing w:line="264" w:lineRule="auto"/>
        <w:ind w:left="360"/>
        <w:rPr>
          <w:rFonts w:cs="Arial"/>
        </w:rPr>
      </w:pPr>
      <w:r w:rsidRPr="00FC45E9">
        <w:rPr>
          <w:rFonts w:cs="Arial"/>
        </w:rPr>
        <w:t xml:space="preserve">This situation can also be exacerbated by developers conducting confidential, individual discussions and negotiations with specific landowners, creating a level of distrust amongst neighbouring landowners and the developer from the outset. </w:t>
      </w:r>
    </w:p>
    <w:p w14:paraId="221EE605" w14:textId="77777777" w:rsidR="001556F0" w:rsidRPr="00FC45E9" w:rsidRDefault="001556F0" w:rsidP="001556F0">
      <w:pPr>
        <w:spacing w:line="264" w:lineRule="auto"/>
        <w:ind w:left="360"/>
        <w:rPr>
          <w:rFonts w:cs="Arial"/>
        </w:rPr>
      </w:pPr>
      <w:r w:rsidRPr="00FC45E9">
        <w:rPr>
          <w:rFonts w:cs="Arial"/>
        </w:rPr>
        <w:t xml:space="preserve">The consequences of these scenarios can be severe, both in terms of fracturing support for the </w:t>
      </w:r>
      <w:r>
        <w:rPr>
          <w:rFonts w:cs="Arial"/>
        </w:rPr>
        <w:t xml:space="preserve">project </w:t>
      </w:r>
      <w:r w:rsidRPr="00FC45E9">
        <w:rPr>
          <w:rFonts w:cs="Arial"/>
        </w:rPr>
        <w:t xml:space="preserve">within the community as well as dividing the community in economic and social terms. Developers need to be mindful of the consequences </w:t>
      </w:r>
      <w:r>
        <w:rPr>
          <w:rFonts w:cs="Arial"/>
        </w:rPr>
        <w:t xml:space="preserve">which may </w:t>
      </w:r>
      <w:r w:rsidRPr="00FC45E9">
        <w:rPr>
          <w:rFonts w:cs="Arial"/>
        </w:rPr>
        <w:t>aris</w:t>
      </w:r>
      <w:r>
        <w:rPr>
          <w:rFonts w:cs="Arial"/>
        </w:rPr>
        <w:t>e</w:t>
      </w:r>
      <w:r w:rsidRPr="00FC45E9">
        <w:rPr>
          <w:rFonts w:cs="Arial"/>
        </w:rPr>
        <w:t xml:space="preserve"> from their conduct in landowner negotiations and </w:t>
      </w:r>
      <w:r w:rsidRPr="00FC45E9">
        <w:rPr>
          <w:rFonts w:cs="Arial"/>
        </w:rPr>
        <w:lastRenderedPageBreak/>
        <w:t xml:space="preserve">the magnitude of impact on landowners with regard to changes </w:t>
      </w:r>
      <w:r>
        <w:rPr>
          <w:rFonts w:cs="Arial"/>
        </w:rPr>
        <w:t xml:space="preserve">to proposed solar array areas or </w:t>
      </w:r>
      <w:r w:rsidRPr="00FC45E9">
        <w:rPr>
          <w:rFonts w:cs="Arial"/>
        </w:rPr>
        <w:t>the number of turbines and turbine layouts.</w:t>
      </w:r>
    </w:p>
    <w:p w14:paraId="166B08B7" w14:textId="77777777" w:rsidR="001556F0" w:rsidRPr="00FC45E9" w:rsidRDefault="001556F0" w:rsidP="001556F0">
      <w:pPr>
        <w:spacing w:line="264" w:lineRule="auto"/>
        <w:ind w:left="360"/>
        <w:rPr>
          <w:rFonts w:cs="Arial"/>
        </w:rPr>
      </w:pPr>
      <w:r w:rsidRPr="00FC45E9">
        <w:rPr>
          <w:rFonts w:cs="Arial"/>
        </w:rPr>
        <w:t xml:space="preserve">There is also a high risk that </w:t>
      </w:r>
      <w:r>
        <w:rPr>
          <w:rFonts w:cs="Arial"/>
        </w:rPr>
        <w:t>project</w:t>
      </w:r>
      <w:r w:rsidRPr="00FC45E9">
        <w:rPr>
          <w:rFonts w:cs="Arial"/>
        </w:rPr>
        <w:t xml:space="preserve"> prospectors, who may not have fully considered </w:t>
      </w:r>
      <w:r>
        <w:rPr>
          <w:rFonts w:cs="Arial"/>
        </w:rPr>
        <w:t>the implications of these</w:t>
      </w:r>
      <w:r w:rsidRPr="00FC45E9">
        <w:rPr>
          <w:rFonts w:cs="Arial"/>
        </w:rPr>
        <w:t xml:space="preserve"> scenarios, </w:t>
      </w:r>
      <w:r>
        <w:rPr>
          <w:rFonts w:cs="Arial"/>
        </w:rPr>
        <w:t xml:space="preserve">inadvertently </w:t>
      </w:r>
      <w:r w:rsidRPr="00FC45E9">
        <w:rPr>
          <w:rFonts w:cs="Arial"/>
        </w:rPr>
        <w:t xml:space="preserve">conduct themselves in a manner that </w:t>
      </w:r>
      <w:r>
        <w:rPr>
          <w:rFonts w:cs="Arial"/>
        </w:rPr>
        <w:t xml:space="preserve">can </w:t>
      </w:r>
      <w:r w:rsidRPr="00FC45E9">
        <w:rPr>
          <w:rFonts w:cs="Arial"/>
        </w:rPr>
        <w:t xml:space="preserve">result in long-term resentment </w:t>
      </w:r>
      <w:r>
        <w:rPr>
          <w:rFonts w:cs="Arial"/>
        </w:rPr>
        <w:t xml:space="preserve">to large-scale renewable developments </w:t>
      </w:r>
      <w:r w:rsidRPr="00FC45E9">
        <w:rPr>
          <w:rFonts w:cs="Arial"/>
        </w:rPr>
        <w:t xml:space="preserve">within local and wider communities where the project is proposed. While these actions may lead to difficulties in relation to the success of the specific project, they also have the potential impact of creating difficulties for other </w:t>
      </w:r>
      <w:r>
        <w:rPr>
          <w:rFonts w:cs="Arial"/>
        </w:rPr>
        <w:t xml:space="preserve">project </w:t>
      </w:r>
      <w:r w:rsidRPr="00FC45E9">
        <w:rPr>
          <w:rFonts w:cs="Arial"/>
        </w:rPr>
        <w:t xml:space="preserve">developers who may be undertaking development of neighbouring projects in the region. </w:t>
      </w:r>
      <w:r>
        <w:rPr>
          <w:rFonts w:cs="Arial"/>
        </w:rPr>
        <w:t>At times, t</w:t>
      </w:r>
      <w:r w:rsidRPr="00FC45E9">
        <w:rPr>
          <w:rFonts w:cs="Arial"/>
        </w:rPr>
        <w:t>hese s</w:t>
      </w:r>
      <w:r>
        <w:rPr>
          <w:rFonts w:cs="Arial"/>
        </w:rPr>
        <w:t>ituations</w:t>
      </w:r>
      <w:r w:rsidRPr="00FC45E9">
        <w:rPr>
          <w:rFonts w:cs="Arial"/>
        </w:rPr>
        <w:t xml:space="preserve"> have brought and still have the potential to bring the </w:t>
      </w:r>
      <w:r>
        <w:rPr>
          <w:rFonts w:cs="Arial"/>
        </w:rPr>
        <w:t xml:space="preserve">large-scale renewable </w:t>
      </w:r>
      <w:r w:rsidRPr="00FC45E9">
        <w:rPr>
          <w:rFonts w:cs="Arial"/>
        </w:rPr>
        <w:t>industry into disrepute.</w:t>
      </w:r>
    </w:p>
    <w:p w14:paraId="2339FF1E" w14:textId="457E77CB" w:rsidR="001556F0" w:rsidRPr="00FC45E9" w:rsidRDefault="001556F0" w:rsidP="001556F0">
      <w:pPr>
        <w:pStyle w:val="ListNumber"/>
        <w:numPr>
          <w:ilvl w:val="0"/>
          <w:numId w:val="0"/>
        </w:numPr>
        <w:spacing w:line="264" w:lineRule="auto"/>
        <w:ind w:left="360"/>
        <w:rPr>
          <w:rFonts w:cs="Arial"/>
        </w:rPr>
      </w:pPr>
      <w:r>
        <w:rPr>
          <w:rFonts w:cs="Arial"/>
        </w:rPr>
        <w:t>T</w:t>
      </w:r>
      <w:r w:rsidRPr="00FC45E9">
        <w:rPr>
          <w:rFonts w:cs="Arial"/>
        </w:rPr>
        <w:t xml:space="preserve">he Commissioner has observed some successful methods </w:t>
      </w:r>
      <w:r>
        <w:rPr>
          <w:rFonts w:cs="Arial"/>
        </w:rPr>
        <w:t xml:space="preserve">by developers </w:t>
      </w:r>
      <w:r w:rsidRPr="00FC45E9">
        <w:rPr>
          <w:rFonts w:cs="Arial"/>
        </w:rPr>
        <w:t>of working with landowners</w:t>
      </w:r>
      <w:r>
        <w:rPr>
          <w:rFonts w:cs="Arial"/>
        </w:rPr>
        <w:t xml:space="preserve"> that have ultimately missed out on </w:t>
      </w:r>
      <w:r w:rsidR="00B71911">
        <w:rPr>
          <w:rFonts w:cs="Arial"/>
        </w:rPr>
        <w:t xml:space="preserve">hosting </w:t>
      </w:r>
      <w:r>
        <w:rPr>
          <w:rFonts w:cs="Arial"/>
        </w:rPr>
        <w:t>some or all of the expected assets. Such methods recognise the landowner’s long-term engagement and commitment during the project’s development.</w:t>
      </w:r>
      <w:r w:rsidRPr="00FC45E9">
        <w:rPr>
          <w:rFonts w:cs="Arial"/>
        </w:rPr>
        <w:t xml:space="preserve"> </w:t>
      </w:r>
      <w:r>
        <w:rPr>
          <w:rFonts w:cs="Arial"/>
        </w:rPr>
        <w:t xml:space="preserve">Observed solutions </w:t>
      </w:r>
      <w:r w:rsidRPr="00FC45E9">
        <w:rPr>
          <w:rFonts w:cs="Arial"/>
        </w:rPr>
        <w:t>includ</w:t>
      </w:r>
      <w:r>
        <w:rPr>
          <w:rFonts w:cs="Arial"/>
        </w:rPr>
        <w:t>e</w:t>
      </w:r>
      <w:r w:rsidRPr="00FC45E9">
        <w:rPr>
          <w:rFonts w:cs="Arial"/>
        </w:rPr>
        <w:t xml:space="preserve"> </w:t>
      </w:r>
      <w:r>
        <w:rPr>
          <w:rFonts w:cs="Arial"/>
        </w:rPr>
        <w:t xml:space="preserve">making </w:t>
      </w:r>
      <w:r w:rsidRPr="00FC45E9">
        <w:rPr>
          <w:rFonts w:cs="Arial"/>
        </w:rPr>
        <w:t xml:space="preserve">a level of </w:t>
      </w:r>
      <w:r>
        <w:rPr>
          <w:rFonts w:cs="Arial"/>
        </w:rPr>
        <w:t>payment</w:t>
      </w:r>
      <w:r w:rsidRPr="00FC45E9">
        <w:rPr>
          <w:rFonts w:cs="Arial"/>
        </w:rPr>
        <w:t xml:space="preserve"> </w:t>
      </w:r>
      <w:r>
        <w:rPr>
          <w:rFonts w:cs="Arial"/>
        </w:rPr>
        <w:t xml:space="preserve">to the landowner </w:t>
      </w:r>
      <w:r w:rsidRPr="00FC45E9">
        <w:rPr>
          <w:rFonts w:cs="Arial"/>
        </w:rPr>
        <w:t xml:space="preserve">that may be based on a range of parameters, </w:t>
      </w:r>
      <w:r>
        <w:rPr>
          <w:rFonts w:cs="Arial"/>
        </w:rPr>
        <w:t xml:space="preserve">including </w:t>
      </w:r>
      <w:r w:rsidRPr="00FC45E9">
        <w:rPr>
          <w:rFonts w:cs="Arial"/>
        </w:rPr>
        <w:t xml:space="preserve">the </w:t>
      </w:r>
      <w:r>
        <w:rPr>
          <w:rFonts w:cs="Arial"/>
        </w:rPr>
        <w:t xml:space="preserve">number and type of assets </w:t>
      </w:r>
      <w:r w:rsidRPr="00FC45E9">
        <w:rPr>
          <w:rFonts w:cs="Arial"/>
        </w:rPr>
        <w:t xml:space="preserve">that the landowner had been </w:t>
      </w:r>
      <w:r>
        <w:rPr>
          <w:rFonts w:cs="Arial"/>
        </w:rPr>
        <w:t xml:space="preserve">originally </w:t>
      </w:r>
      <w:r w:rsidRPr="00FC45E9">
        <w:rPr>
          <w:rFonts w:cs="Arial"/>
        </w:rPr>
        <w:t>expecting to host.</w:t>
      </w:r>
    </w:p>
    <w:p w14:paraId="02FCE2F1" w14:textId="77777777" w:rsidR="001556F0" w:rsidRPr="00FC45E9" w:rsidRDefault="001556F0" w:rsidP="001556F0">
      <w:pPr>
        <w:spacing w:line="264" w:lineRule="auto"/>
        <w:ind w:left="360"/>
        <w:rPr>
          <w:rFonts w:cs="Arial"/>
          <w:b/>
        </w:rPr>
      </w:pPr>
      <w:r w:rsidRPr="00FC45E9">
        <w:rPr>
          <w:rFonts w:cs="Arial"/>
          <w:b/>
        </w:rPr>
        <w:t>Host Agreements</w:t>
      </w:r>
    </w:p>
    <w:p w14:paraId="3A9ADE24" w14:textId="77777777" w:rsidR="001556F0" w:rsidRPr="00FC45E9" w:rsidRDefault="001556F0" w:rsidP="001556F0">
      <w:pPr>
        <w:spacing w:line="264" w:lineRule="auto"/>
        <w:ind w:left="360"/>
        <w:rPr>
          <w:rFonts w:cs="Arial"/>
        </w:rPr>
      </w:pPr>
      <w:r w:rsidRPr="00FC45E9">
        <w:rPr>
          <w:rFonts w:cs="Arial"/>
        </w:rPr>
        <w:t xml:space="preserve">A host landowner agreement is essentially a commercial lease. </w:t>
      </w:r>
      <w:r>
        <w:rPr>
          <w:rFonts w:cs="Arial"/>
        </w:rPr>
        <w:t xml:space="preserve">Considerable </w:t>
      </w:r>
      <w:r w:rsidRPr="00FC45E9">
        <w:rPr>
          <w:rFonts w:cs="Arial"/>
        </w:rPr>
        <w:t xml:space="preserve">time and money </w:t>
      </w:r>
      <w:r>
        <w:rPr>
          <w:rFonts w:cs="Arial"/>
        </w:rPr>
        <w:t xml:space="preserve">can be </w:t>
      </w:r>
      <w:r w:rsidRPr="00FC45E9">
        <w:rPr>
          <w:rFonts w:cs="Arial"/>
        </w:rPr>
        <w:t xml:space="preserve">spent by developers in creating draft landowner agreements, which in turn </w:t>
      </w:r>
      <w:r>
        <w:rPr>
          <w:rFonts w:cs="Arial"/>
        </w:rPr>
        <w:t>should</w:t>
      </w:r>
      <w:r w:rsidRPr="00FC45E9">
        <w:rPr>
          <w:rFonts w:cs="Arial"/>
        </w:rPr>
        <w:t xml:space="preserve"> be reviewed by the landowner and their solicitor before </w:t>
      </w:r>
      <w:r>
        <w:rPr>
          <w:rFonts w:cs="Arial"/>
        </w:rPr>
        <w:t xml:space="preserve">negotiating and </w:t>
      </w:r>
      <w:r w:rsidRPr="00FC45E9">
        <w:rPr>
          <w:rFonts w:cs="Arial"/>
        </w:rPr>
        <w:t xml:space="preserve">executing. Both industry and landowners may benefit from a standard agreement document being produced and available for use that is fair and reasonable, complete and consistent with the relevant laws – similar in concept, as an example, </w:t>
      </w:r>
      <w:r>
        <w:rPr>
          <w:rFonts w:cs="Arial"/>
        </w:rPr>
        <w:t xml:space="preserve">to </w:t>
      </w:r>
      <w:r w:rsidRPr="00FC45E9">
        <w:rPr>
          <w:rFonts w:cs="Arial"/>
        </w:rPr>
        <w:t xml:space="preserve">the Law Institute </w:t>
      </w:r>
      <w:r>
        <w:rPr>
          <w:rFonts w:cs="Arial"/>
        </w:rPr>
        <w:t xml:space="preserve">of Victoria’s </w:t>
      </w:r>
      <w:r w:rsidRPr="008A240A">
        <w:rPr>
          <w:rFonts w:cs="Arial"/>
          <w:i/>
        </w:rPr>
        <w:t>Lease of Real Estate (Commercial)</w:t>
      </w:r>
      <w:r w:rsidRPr="00FC45E9">
        <w:rPr>
          <w:rFonts w:cs="Arial"/>
        </w:rPr>
        <w:t>.</w:t>
      </w:r>
    </w:p>
    <w:p w14:paraId="6248D376" w14:textId="77777777" w:rsidR="001556F0" w:rsidRPr="00FC45E9" w:rsidRDefault="001556F0" w:rsidP="001556F0">
      <w:pPr>
        <w:spacing w:line="264" w:lineRule="auto"/>
        <w:ind w:left="360"/>
        <w:rPr>
          <w:rFonts w:cs="Arial"/>
        </w:rPr>
      </w:pPr>
      <w:r w:rsidRPr="00FC45E9">
        <w:rPr>
          <w:rFonts w:cs="Arial"/>
        </w:rPr>
        <w:t xml:space="preserve">Some landowner agreements observed could be clearer in a number of aspects. Agreements should provide clarity on a wide range of day to day matters, including which party is responsible for paying rates, land taxes, emergency services levies and the like. The landowner agreement also needs to be clear on termination provisions and the responsibilities regarding decommissioning of the </w:t>
      </w:r>
      <w:r>
        <w:rPr>
          <w:rFonts w:cs="Arial"/>
        </w:rPr>
        <w:t>project’s (i.e. tenant’s) assets</w:t>
      </w:r>
      <w:r w:rsidRPr="00FC45E9">
        <w:rPr>
          <w:rFonts w:cs="Arial"/>
        </w:rPr>
        <w:t>.</w:t>
      </w:r>
    </w:p>
    <w:p w14:paraId="1EE5322E" w14:textId="77777777" w:rsidR="001556F0" w:rsidRPr="00FC45E9" w:rsidRDefault="001556F0" w:rsidP="001556F0">
      <w:pPr>
        <w:spacing w:line="264" w:lineRule="auto"/>
        <w:ind w:left="360"/>
        <w:rPr>
          <w:rFonts w:cs="Arial"/>
        </w:rPr>
      </w:pPr>
      <w:r w:rsidRPr="00FC45E9">
        <w:rPr>
          <w:rFonts w:cs="Arial"/>
        </w:rPr>
        <w:t xml:space="preserve">Landowner agreements are not limited to hosting </w:t>
      </w:r>
      <w:r>
        <w:rPr>
          <w:rFonts w:cs="Arial"/>
        </w:rPr>
        <w:t xml:space="preserve">wind </w:t>
      </w:r>
      <w:r w:rsidRPr="00FC45E9">
        <w:rPr>
          <w:rFonts w:cs="Arial"/>
        </w:rPr>
        <w:t>turbines</w:t>
      </w:r>
      <w:r>
        <w:rPr>
          <w:rFonts w:cs="Arial"/>
        </w:rPr>
        <w:t xml:space="preserve"> or solar arrays</w:t>
      </w:r>
      <w:r w:rsidRPr="00FC45E9">
        <w:rPr>
          <w:rFonts w:cs="Arial"/>
        </w:rPr>
        <w:t xml:space="preserve"> – they may also be required to allow easements for high voltage transmission corridors, </w:t>
      </w:r>
      <w:r>
        <w:rPr>
          <w:rFonts w:cs="Arial"/>
        </w:rPr>
        <w:t xml:space="preserve">private powerline routes to connect the power station, </w:t>
      </w:r>
      <w:r w:rsidRPr="00FC45E9">
        <w:rPr>
          <w:rFonts w:cs="Arial"/>
        </w:rPr>
        <w:t xml:space="preserve">substations, construction facilities, meteorological masts as well as construction and operational access roads for the </w:t>
      </w:r>
      <w:r>
        <w:rPr>
          <w:rFonts w:cs="Arial"/>
        </w:rPr>
        <w:t>project</w:t>
      </w:r>
      <w:r w:rsidRPr="00FC45E9">
        <w:rPr>
          <w:rFonts w:cs="Arial"/>
        </w:rPr>
        <w:t>. Careful consideration of the approach and fairness to</w:t>
      </w:r>
      <w:r>
        <w:rPr>
          <w:rFonts w:cs="Arial"/>
        </w:rPr>
        <w:t xml:space="preserve"> landholders in</w:t>
      </w:r>
      <w:r w:rsidRPr="00FC45E9">
        <w:rPr>
          <w:rFonts w:cs="Arial"/>
        </w:rPr>
        <w:t xml:space="preserve"> negotiating these additional agreements should also be required of the developer. </w:t>
      </w:r>
      <w:r>
        <w:rPr>
          <w:rFonts w:cs="Arial"/>
        </w:rPr>
        <w:t>As discussed earlier, l</w:t>
      </w:r>
      <w:r w:rsidRPr="00FC45E9">
        <w:rPr>
          <w:rFonts w:cs="Arial"/>
        </w:rPr>
        <w:t>andowners should also ensure they seek suitably qualified legal and financial advice before entering into any agreement.</w:t>
      </w:r>
    </w:p>
    <w:p w14:paraId="59C2E028" w14:textId="77777777" w:rsidR="001556F0" w:rsidRPr="00FC45E9" w:rsidRDefault="001556F0" w:rsidP="001556F0">
      <w:pPr>
        <w:pStyle w:val="ListNumber"/>
        <w:numPr>
          <w:ilvl w:val="0"/>
          <w:numId w:val="0"/>
        </w:numPr>
        <w:spacing w:line="264" w:lineRule="auto"/>
        <w:ind w:left="360"/>
        <w:rPr>
          <w:rFonts w:cs="Arial"/>
        </w:rPr>
      </w:pPr>
      <w:r w:rsidRPr="00FC45E9">
        <w:rPr>
          <w:rFonts w:cs="Arial"/>
        </w:rPr>
        <w:t xml:space="preserve">There may also be innovative opportunities for landowners and other community members to have an ownership stake in the project, which could be in the form of a community-owned wind farm through to equity or debt participation in the </w:t>
      </w:r>
      <w:r>
        <w:rPr>
          <w:rFonts w:cs="Arial"/>
        </w:rPr>
        <w:t xml:space="preserve">project’s </w:t>
      </w:r>
      <w:r w:rsidRPr="00FC45E9">
        <w:rPr>
          <w:rFonts w:cs="Arial"/>
        </w:rPr>
        <w:t>commercial ownership structure. It is understood that there are some examples of these approaches in Australia as well as in other overseas jurisdictions such as Europe.</w:t>
      </w:r>
    </w:p>
    <w:p w14:paraId="241E4962" w14:textId="77777777" w:rsidR="001556F0" w:rsidRPr="00FC45E9" w:rsidRDefault="001556F0" w:rsidP="001556F0">
      <w:pPr>
        <w:pStyle w:val="ListNumber"/>
        <w:numPr>
          <w:ilvl w:val="0"/>
          <w:numId w:val="0"/>
        </w:numPr>
        <w:spacing w:line="264" w:lineRule="auto"/>
        <w:ind w:left="360"/>
        <w:rPr>
          <w:rFonts w:cs="Arial"/>
          <w:b/>
        </w:rPr>
      </w:pPr>
      <w:r w:rsidRPr="00FC45E9">
        <w:rPr>
          <w:rFonts w:cs="Arial"/>
          <w:b/>
        </w:rPr>
        <w:t>Construction</w:t>
      </w:r>
    </w:p>
    <w:p w14:paraId="38F1E8D4" w14:textId="77777777" w:rsidR="001556F0" w:rsidRDefault="001556F0" w:rsidP="001556F0">
      <w:pPr>
        <w:pStyle w:val="ListNumber"/>
        <w:numPr>
          <w:ilvl w:val="0"/>
          <w:numId w:val="0"/>
        </w:numPr>
        <w:spacing w:line="264" w:lineRule="auto"/>
        <w:ind w:left="360"/>
        <w:rPr>
          <w:rFonts w:cs="Arial"/>
        </w:rPr>
      </w:pPr>
      <w:r w:rsidRPr="00FC45E9">
        <w:rPr>
          <w:rFonts w:cs="Arial"/>
        </w:rPr>
        <w:t xml:space="preserve">The construction period can be a time of significant disruption for the landowner, with potential long-term effects. Typical issues can range from management of gates – gates being left open during construction activities can quickly lead to unplanned migration of livestock, often with </w:t>
      </w:r>
      <w:r>
        <w:rPr>
          <w:rFonts w:cs="Arial"/>
        </w:rPr>
        <w:t xml:space="preserve">challenging </w:t>
      </w:r>
      <w:r w:rsidRPr="00FC45E9">
        <w:rPr>
          <w:rFonts w:cs="Arial"/>
        </w:rPr>
        <w:t xml:space="preserve">consequences – through to the impact of new roads </w:t>
      </w:r>
      <w:r>
        <w:rPr>
          <w:rFonts w:cs="Arial"/>
        </w:rPr>
        <w:t xml:space="preserve">and trenches </w:t>
      </w:r>
      <w:r w:rsidRPr="00FC45E9">
        <w:rPr>
          <w:rFonts w:cs="Arial"/>
        </w:rPr>
        <w:t>being built throughout the landowner’s property.</w:t>
      </w:r>
    </w:p>
    <w:p w14:paraId="337DD7A5" w14:textId="77777777" w:rsidR="001556F0" w:rsidRDefault="001556F0" w:rsidP="001556F0">
      <w:pPr>
        <w:pStyle w:val="ListNumber"/>
        <w:numPr>
          <w:ilvl w:val="0"/>
          <w:numId w:val="0"/>
        </w:numPr>
        <w:spacing w:line="264" w:lineRule="auto"/>
        <w:ind w:left="360"/>
        <w:rPr>
          <w:rFonts w:cs="Arial"/>
        </w:rPr>
      </w:pPr>
      <w:r>
        <w:rPr>
          <w:rFonts w:cs="Arial"/>
        </w:rPr>
        <w:lastRenderedPageBreak/>
        <w:t>Firstly, construction itself can be a messy activity, particularly for wind farms. There is significant amount of civil works, components waiting to be assembled, large trucks and equipment moving around and a large number of construction staff requiring temporary office and kitchen/bathroom facilities. Construction typically consumes a material portion of the land area – a much greater area than when the project is completed. It is advisable to plan for the removal of any livestock or ceasing farming activities during the construction phase. Landowners should also be aware that extra land areas will be required in the event that major components of a wind turbine need to be replaced during the operating and maintenance phases of the project.</w:t>
      </w:r>
    </w:p>
    <w:p w14:paraId="7DC6AB7B" w14:textId="77777777" w:rsidR="001556F0" w:rsidRDefault="001556F0" w:rsidP="001556F0">
      <w:pPr>
        <w:pStyle w:val="ListNumber"/>
        <w:numPr>
          <w:ilvl w:val="0"/>
          <w:numId w:val="0"/>
        </w:numPr>
        <w:spacing w:line="264" w:lineRule="auto"/>
        <w:ind w:left="360"/>
        <w:rPr>
          <w:rFonts w:cs="Arial"/>
        </w:rPr>
      </w:pPr>
      <w:r>
        <w:rPr>
          <w:rFonts w:cs="Arial"/>
        </w:rPr>
        <w:t xml:space="preserve">Landowners should take the opportunity to visit an actual wind or solar farm site under construction and experience first-hand the extent of the works and impacts on the land.  </w:t>
      </w:r>
    </w:p>
    <w:p w14:paraId="49AD8605" w14:textId="77777777" w:rsidR="001556F0" w:rsidRDefault="001556F0" w:rsidP="001556F0">
      <w:pPr>
        <w:pStyle w:val="ListNumber"/>
        <w:numPr>
          <w:ilvl w:val="0"/>
          <w:numId w:val="0"/>
        </w:numPr>
        <w:spacing w:line="264" w:lineRule="auto"/>
        <w:ind w:left="360"/>
        <w:rPr>
          <w:rFonts w:cs="Arial"/>
        </w:rPr>
      </w:pPr>
      <w:r>
        <w:rPr>
          <w:rFonts w:cs="Arial"/>
        </w:rPr>
        <w:t>A common frustration for landowners can be last minute changes to the location and routing of internal roads and underground cabling. Project contractors and sub-contractors may inadvertently select a different route to the one that had been agreed to with the landowner, causing an unexpected loss of pasture or cropping capacity.</w:t>
      </w:r>
    </w:p>
    <w:p w14:paraId="20FB3CDE" w14:textId="77777777" w:rsidR="001556F0" w:rsidRDefault="001556F0" w:rsidP="001556F0">
      <w:pPr>
        <w:pStyle w:val="ListNumber"/>
        <w:numPr>
          <w:ilvl w:val="0"/>
          <w:numId w:val="0"/>
        </w:numPr>
        <w:spacing w:line="264" w:lineRule="auto"/>
        <w:ind w:left="360"/>
        <w:rPr>
          <w:rFonts w:cs="Arial"/>
        </w:rPr>
      </w:pPr>
      <w:r>
        <w:rPr>
          <w:rFonts w:cs="Arial"/>
        </w:rPr>
        <w:t>Internal r</w:t>
      </w:r>
      <w:r w:rsidRPr="00FC45E9">
        <w:rPr>
          <w:rFonts w:cs="Arial"/>
        </w:rPr>
        <w:t>oad construction in hill</w:t>
      </w:r>
      <w:r>
        <w:rPr>
          <w:rFonts w:cs="Arial"/>
        </w:rPr>
        <w:t>y</w:t>
      </w:r>
      <w:r w:rsidRPr="00FC45E9">
        <w:rPr>
          <w:rFonts w:cs="Arial"/>
        </w:rPr>
        <w:t xml:space="preserve"> and ridge terrain may lead to large roadway cuttings and embankments that </w:t>
      </w:r>
      <w:r>
        <w:rPr>
          <w:rFonts w:cs="Arial"/>
        </w:rPr>
        <w:t xml:space="preserve">can </w:t>
      </w:r>
      <w:r w:rsidRPr="00FC45E9">
        <w:rPr>
          <w:rFonts w:cs="Arial"/>
        </w:rPr>
        <w:t xml:space="preserve">make it difficult </w:t>
      </w:r>
      <w:r>
        <w:rPr>
          <w:rFonts w:cs="Arial"/>
        </w:rPr>
        <w:t xml:space="preserve">or impossible </w:t>
      </w:r>
      <w:r w:rsidRPr="00FC45E9">
        <w:rPr>
          <w:rFonts w:cs="Arial"/>
        </w:rPr>
        <w:t>to move livestock arou</w:t>
      </w:r>
      <w:r>
        <w:rPr>
          <w:rFonts w:cs="Arial"/>
        </w:rPr>
        <w:t>nd the remaining paddock areas.</w:t>
      </w:r>
    </w:p>
    <w:p w14:paraId="615ADC53" w14:textId="77777777" w:rsidR="001556F0" w:rsidRPr="00FC45E9" w:rsidRDefault="001556F0" w:rsidP="001556F0">
      <w:pPr>
        <w:pStyle w:val="ListNumber"/>
        <w:numPr>
          <w:ilvl w:val="0"/>
          <w:numId w:val="0"/>
        </w:numPr>
        <w:spacing w:line="264" w:lineRule="auto"/>
        <w:ind w:left="360"/>
        <w:rPr>
          <w:rFonts w:cs="Arial"/>
        </w:rPr>
      </w:pPr>
      <w:r w:rsidRPr="00FC45E9">
        <w:rPr>
          <w:rFonts w:cs="Arial"/>
        </w:rPr>
        <w:t xml:space="preserve">Best practice gate management is to design the road access and fencing in such a way to minimise </w:t>
      </w:r>
      <w:r>
        <w:rPr>
          <w:rFonts w:cs="Arial"/>
        </w:rPr>
        <w:t xml:space="preserve">degradation to farming land as well as minimise </w:t>
      </w:r>
      <w:r w:rsidRPr="00FC45E9">
        <w:rPr>
          <w:rFonts w:cs="Arial"/>
        </w:rPr>
        <w:t xml:space="preserve">or eliminate the need for </w:t>
      </w:r>
      <w:r>
        <w:rPr>
          <w:rFonts w:cs="Arial"/>
        </w:rPr>
        <w:t xml:space="preserve">livestock </w:t>
      </w:r>
      <w:r w:rsidRPr="00FC45E9">
        <w:rPr>
          <w:rFonts w:cs="Arial"/>
        </w:rPr>
        <w:t xml:space="preserve">gates. Project roads should also be designed to minimise the need for ‘cut and fill’ and vegetation removal, using the natural landscape wherever possible. </w:t>
      </w:r>
    </w:p>
    <w:p w14:paraId="75C34786" w14:textId="77777777" w:rsidR="001556F0" w:rsidRDefault="001556F0" w:rsidP="001556F0">
      <w:pPr>
        <w:pStyle w:val="ListNumber"/>
        <w:numPr>
          <w:ilvl w:val="0"/>
          <w:numId w:val="0"/>
        </w:numPr>
        <w:spacing w:line="264" w:lineRule="auto"/>
        <w:ind w:left="360"/>
        <w:rPr>
          <w:rFonts w:cs="Arial"/>
        </w:rPr>
      </w:pPr>
      <w:r w:rsidRPr="00FC45E9">
        <w:rPr>
          <w:rFonts w:cs="Arial"/>
        </w:rPr>
        <w:t xml:space="preserve">A </w:t>
      </w:r>
      <w:r>
        <w:rPr>
          <w:rFonts w:cs="Arial"/>
        </w:rPr>
        <w:t xml:space="preserve">construction </w:t>
      </w:r>
      <w:r w:rsidRPr="00FC45E9">
        <w:rPr>
          <w:rFonts w:cs="Arial"/>
        </w:rPr>
        <w:t>project typically has multiple contractors and sub</w:t>
      </w:r>
      <w:r>
        <w:rPr>
          <w:rFonts w:cs="Arial"/>
        </w:rPr>
        <w:t>-</w:t>
      </w:r>
      <w:r w:rsidRPr="00FC45E9">
        <w:rPr>
          <w:rFonts w:cs="Arial"/>
        </w:rPr>
        <w:t xml:space="preserve">contractors. It is not always clear who the landowner should contact to resolve issues as they inevitably arise during construction. Developers should ensure there are clearly defined points of contact for landowners to raise and resolve issues during construction, as well as the ability to escalate concerns that </w:t>
      </w:r>
      <w:r>
        <w:rPr>
          <w:rFonts w:cs="Arial"/>
        </w:rPr>
        <w:t xml:space="preserve">remain </w:t>
      </w:r>
      <w:r w:rsidRPr="00FC45E9">
        <w:rPr>
          <w:rFonts w:cs="Arial"/>
        </w:rPr>
        <w:t>unresolved.</w:t>
      </w:r>
      <w:r>
        <w:rPr>
          <w:rFonts w:cs="Arial"/>
        </w:rPr>
        <w:t xml:space="preserve"> Regular meetings between the developer and the landowner before and during construction can also provide a forum to discuss and resolve the inevitable changes and issues that may arise.</w:t>
      </w:r>
    </w:p>
    <w:p w14:paraId="5F9BC4AE" w14:textId="77777777" w:rsidR="001556F0" w:rsidRPr="00FC45E9" w:rsidRDefault="001556F0" w:rsidP="001556F0">
      <w:pPr>
        <w:pStyle w:val="ListNumber"/>
        <w:numPr>
          <w:ilvl w:val="0"/>
          <w:numId w:val="0"/>
        </w:numPr>
        <w:spacing w:line="264" w:lineRule="auto"/>
        <w:ind w:left="360"/>
        <w:rPr>
          <w:rFonts w:cs="Arial"/>
        </w:rPr>
      </w:pPr>
      <w:r>
        <w:rPr>
          <w:rFonts w:cs="Arial"/>
        </w:rPr>
        <w:t>Developers should also be proactive and transparent with landholders regarding the status of the project during the development and permitting phase and consult with landholders on any planning amendment submissions that may affect the landholder and/or local community.</w:t>
      </w:r>
    </w:p>
    <w:p w14:paraId="75D541B7" w14:textId="77777777" w:rsidR="001556F0" w:rsidRPr="00FC45E9" w:rsidRDefault="001556F0" w:rsidP="001556F0">
      <w:pPr>
        <w:pStyle w:val="ListNumber"/>
        <w:numPr>
          <w:ilvl w:val="0"/>
          <w:numId w:val="0"/>
        </w:numPr>
        <w:spacing w:line="264" w:lineRule="auto"/>
        <w:ind w:left="360"/>
        <w:rPr>
          <w:rFonts w:cs="Arial"/>
          <w:b/>
        </w:rPr>
      </w:pPr>
      <w:r w:rsidRPr="00FC45E9">
        <w:rPr>
          <w:rFonts w:cs="Arial"/>
          <w:b/>
        </w:rPr>
        <w:t>Outgoings</w:t>
      </w:r>
    </w:p>
    <w:p w14:paraId="11470903" w14:textId="77777777" w:rsidR="001556F0" w:rsidRPr="00FC45E9" w:rsidRDefault="001556F0" w:rsidP="001556F0">
      <w:pPr>
        <w:pStyle w:val="ListNumber"/>
        <w:numPr>
          <w:ilvl w:val="0"/>
          <w:numId w:val="0"/>
        </w:numPr>
        <w:spacing w:line="264" w:lineRule="auto"/>
        <w:ind w:left="360"/>
        <w:rPr>
          <w:rFonts w:cs="Arial"/>
        </w:rPr>
      </w:pPr>
      <w:r w:rsidRPr="00FC45E9">
        <w:rPr>
          <w:rFonts w:cs="Arial"/>
        </w:rPr>
        <w:t xml:space="preserve">The addition of a wind </w:t>
      </w:r>
      <w:r>
        <w:rPr>
          <w:rFonts w:cs="Arial"/>
        </w:rPr>
        <w:t xml:space="preserve">or solar </w:t>
      </w:r>
      <w:r w:rsidRPr="00FC45E9">
        <w:rPr>
          <w:rFonts w:cs="Arial"/>
        </w:rPr>
        <w:t xml:space="preserve">farm </w:t>
      </w:r>
      <w:r>
        <w:rPr>
          <w:rFonts w:cs="Arial"/>
        </w:rPr>
        <w:t xml:space="preserve">(or related assets) </w:t>
      </w:r>
      <w:r w:rsidRPr="00FC45E9">
        <w:rPr>
          <w:rFonts w:cs="Arial"/>
        </w:rPr>
        <w:t xml:space="preserve">to a rural property is likely to incur increases in outgoings such as Council Rates, Land Taxes, Insurances and other levies. </w:t>
      </w:r>
      <w:r w:rsidRPr="00625F7B">
        <w:rPr>
          <w:rFonts w:cs="Arial"/>
        </w:rPr>
        <w:t xml:space="preserve">For instance, a landowner may not be aware that primary production land may be re-assessed as industrial use land once turbines </w:t>
      </w:r>
      <w:r>
        <w:rPr>
          <w:rFonts w:cs="Arial"/>
        </w:rPr>
        <w:t xml:space="preserve">or panels </w:t>
      </w:r>
      <w:r w:rsidRPr="00625F7B">
        <w:rPr>
          <w:rFonts w:cs="Arial"/>
        </w:rPr>
        <w:t>are installed, may attract increased valuation rates</w:t>
      </w:r>
      <w:r>
        <w:rPr>
          <w:rFonts w:cs="Arial"/>
        </w:rPr>
        <w:t>, increased levies</w:t>
      </w:r>
      <w:r w:rsidRPr="00625F7B">
        <w:rPr>
          <w:rFonts w:cs="Arial"/>
        </w:rPr>
        <w:t xml:space="preserve"> and may no longer be exempt from land tax.</w:t>
      </w:r>
      <w:r w:rsidRPr="00FC45E9">
        <w:rPr>
          <w:rFonts w:cs="Arial"/>
        </w:rPr>
        <w:t xml:space="preserve"> As discussed earlier, landowner agreements should be </w:t>
      </w:r>
      <w:r>
        <w:rPr>
          <w:rFonts w:cs="Arial"/>
        </w:rPr>
        <w:t xml:space="preserve">precise and </w:t>
      </w:r>
      <w:r w:rsidRPr="00FC45E9">
        <w:rPr>
          <w:rFonts w:cs="Arial"/>
        </w:rPr>
        <w:t xml:space="preserve">clear on which party is responsible for </w:t>
      </w:r>
      <w:r>
        <w:rPr>
          <w:rFonts w:cs="Arial"/>
        </w:rPr>
        <w:t xml:space="preserve">the cost and </w:t>
      </w:r>
      <w:r w:rsidRPr="00FC45E9">
        <w:rPr>
          <w:rFonts w:cs="Arial"/>
        </w:rPr>
        <w:t xml:space="preserve">payment of outgoings and any increase in the outgoings due to the </w:t>
      </w:r>
      <w:r>
        <w:rPr>
          <w:rFonts w:cs="Arial"/>
        </w:rPr>
        <w:t>project</w:t>
      </w:r>
      <w:r w:rsidRPr="00FC45E9">
        <w:rPr>
          <w:rFonts w:cs="Arial"/>
        </w:rPr>
        <w:t>. Ultimately, the landowner</w:t>
      </w:r>
      <w:r>
        <w:rPr>
          <w:rFonts w:cs="Arial"/>
        </w:rPr>
        <w:t>, as the landlord,</w:t>
      </w:r>
      <w:r w:rsidRPr="00FC45E9">
        <w:rPr>
          <w:rFonts w:cs="Arial"/>
        </w:rPr>
        <w:t xml:space="preserve"> is usually liable for the payment of outgoings in the event the </w:t>
      </w:r>
      <w:r>
        <w:rPr>
          <w:rFonts w:cs="Arial"/>
        </w:rPr>
        <w:t>project</w:t>
      </w:r>
      <w:r w:rsidRPr="00FC45E9">
        <w:rPr>
          <w:rFonts w:cs="Arial"/>
        </w:rPr>
        <w:t xml:space="preserve"> operator defaults.</w:t>
      </w:r>
    </w:p>
    <w:p w14:paraId="6D31718F" w14:textId="77777777" w:rsidR="001556F0" w:rsidRDefault="001556F0" w:rsidP="001556F0">
      <w:pPr>
        <w:pStyle w:val="ListNumber"/>
        <w:numPr>
          <w:ilvl w:val="0"/>
          <w:numId w:val="0"/>
        </w:numPr>
        <w:spacing w:line="264" w:lineRule="auto"/>
        <w:ind w:left="360"/>
        <w:rPr>
          <w:rFonts w:cs="Arial"/>
        </w:rPr>
      </w:pPr>
      <w:r w:rsidRPr="00FC45E9">
        <w:rPr>
          <w:rFonts w:cs="Arial"/>
        </w:rPr>
        <w:t>Approaches to calculate and levy items such as council rates, land taxes and other levies appears to be ad</w:t>
      </w:r>
      <w:r>
        <w:rPr>
          <w:rFonts w:cs="Arial"/>
        </w:rPr>
        <w:t>-</w:t>
      </w:r>
      <w:r w:rsidRPr="00FC45E9">
        <w:rPr>
          <w:rFonts w:cs="Arial"/>
        </w:rPr>
        <w:t>hoc across various state jurisdictions. Th</w:t>
      </w:r>
      <w:r>
        <w:rPr>
          <w:rFonts w:cs="Arial"/>
        </w:rPr>
        <w:t xml:space="preserve">e lack of a consistent approach </w:t>
      </w:r>
      <w:r w:rsidRPr="00FC45E9">
        <w:rPr>
          <w:rFonts w:cs="Arial"/>
        </w:rPr>
        <w:t xml:space="preserve">may result in a number of consequences, </w:t>
      </w:r>
      <w:r>
        <w:rPr>
          <w:rFonts w:cs="Arial"/>
        </w:rPr>
        <w:t>from</w:t>
      </w:r>
      <w:r w:rsidRPr="00FC45E9">
        <w:rPr>
          <w:rFonts w:cs="Arial"/>
        </w:rPr>
        <w:t xml:space="preserve"> revenue leakage </w:t>
      </w:r>
      <w:r>
        <w:rPr>
          <w:rFonts w:cs="Arial"/>
        </w:rPr>
        <w:t xml:space="preserve">through to </w:t>
      </w:r>
      <w:r w:rsidRPr="00FC45E9">
        <w:rPr>
          <w:rFonts w:cs="Arial"/>
        </w:rPr>
        <w:t xml:space="preserve">surprises </w:t>
      </w:r>
      <w:r>
        <w:rPr>
          <w:rFonts w:cs="Arial"/>
        </w:rPr>
        <w:t xml:space="preserve">to developers </w:t>
      </w:r>
      <w:r w:rsidRPr="00FC45E9">
        <w:rPr>
          <w:rFonts w:cs="Arial"/>
        </w:rPr>
        <w:t xml:space="preserve">in unforeseen levy charges. Some actions </w:t>
      </w:r>
      <w:r>
        <w:rPr>
          <w:rFonts w:cs="Arial"/>
        </w:rPr>
        <w:t xml:space="preserve">to clarify these matters are </w:t>
      </w:r>
      <w:r w:rsidRPr="00FC45E9">
        <w:rPr>
          <w:rFonts w:cs="Arial"/>
        </w:rPr>
        <w:t xml:space="preserve">being taken, such as the NSW Valuer-General policy </w:t>
      </w:r>
      <w:r w:rsidRPr="00FC45E9">
        <w:rPr>
          <w:rFonts w:cs="Arial"/>
          <w:i/>
        </w:rPr>
        <w:t>Valuation of Land Used as a Wind Farm</w:t>
      </w:r>
      <w:r w:rsidRPr="00FC45E9">
        <w:rPr>
          <w:rFonts w:cs="Arial"/>
        </w:rPr>
        <w:t xml:space="preserve"> (New South Wales Government, </w:t>
      </w:r>
      <w:r>
        <w:rPr>
          <w:rFonts w:cs="Arial"/>
        </w:rPr>
        <w:t>June 2019</w:t>
      </w:r>
      <w:r w:rsidRPr="00FC45E9">
        <w:rPr>
          <w:rFonts w:cs="Arial"/>
        </w:rPr>
        <w:t xml:space="preserve">) but there may well be opportunities for tighter and </w:t>
      </w:r>
      <w:r>
        <w:rPr>
          <w:rFonts w:cs="Arial"/>
        </w:rPr>
        <w:t xml:space="preserve">consistent </w:t>
      </w:r>
      <w:r w:rsidRPr="00FC45E9">
        <w:rPr>
          <w:rFonts w:cs="Arial"/>
        </w:rPr>
        <w:t xml:space="preserve">processes to correctly calculate, levy and collect these </w:t>
      </w:r>
      <w:r>
        <w:rPr>
          <w:rFonts w:cs="Arial"/>
        </w:rPr>
        <w:t xml:space="preserve">outgoing </w:t>
      </w:r>
      <w:r w:rsidRPr="00FC45E9">
        <w:rPr>
          <w:rFonts w:cs="Arial"/>
        </w:rPr>
        <w:t>payments as a result of the deployment of wind turbines</w:t>
      </w:r>
      <w:r>
        <w:rPr>
          <w:rFonts w:cs="Arial"/>
        </w:rPr>
        <w:t>, solar arrays and other associated assets</w:t>
      </w:r>
      <w:r w:rsidRPr="00FC45E9">
        <w:rPr>
          <w:rFonts w:cs="Arial"/>
        </w:rPr>
        <w:t xml:space="preserve"> on the land.</w:t>
      </w:r>
    </w:p>
    <w:p w14:paraId="1CDE6101" w14:textId="77777777" w:rsidR="001556F0" w:rsidRPr="00FC45E9" w:rsidRDefault="001556F0" w:rsidP="001556F0">
      <w:pPr>
        <w:pStyle w:val="ListNumber"/>
        <w:numPr>
          <w:ilvl w:val="0"/>
          <w:numId w:val="0"/>
        </w:numPr>
        <w:spacing w:line="264" w:lineRule="auto"/>
        <w:ind w:left="360"/>
        <w:rPr>
          <w:rFonts w:cs="Arial"/>
        </w:rPr>
      </w:pPr>
      <w:r>
        <w:rPr>
          <w:rFonts w:cs="Arial"/>
        </w:rPr>
        <w:lastRenderedPageBreak/>
        <w:t xml:space="preserve">Case law should also be monitored on these topics. A recent case, </w:t>
      </w:r>
      <w:r w:rsidRPr="009700E8">
        <w:rPr>
          <w:rFonts w:cs="Arial"/>
          <w:i/>
        </w:rPr>
        <w:t>AWF Prop Co 2 Pty Ltd v Ararat Rural City Council</w:t>
      </w:r>
      <w:r>
        <w:rPr>
          <w:rFonts w:cs="Arial"/>
          <w:i/>
        </w:rPr>
        <w:t xml:space="preserve"> (</w:t>
      </w:r>
      <w:r w:rsidRPr="004760D2">
        <w:rPr>
          <w:rFonts w:cs="Arial"/>
          <w:i/>
        </w:rPr>
        <w:t>judgment date –</w:t>
      </w:r>
      <w:r>
        <w:rPr>
          <w:rFonts w:cs="Arial"/>
          <w:i/>
        </w:rPr>
        <w:t xml:space="preserve"> 16 December 2020)</w:t>
      </w:r>
      <w:r>
        <w:rPr>
          <w:rFonts w:cs="Arial"/>
        </w:rPr>
        <w:t>, in the Supreme Court of Victoria, provides clarity around the valuation methodology for land and capital improved value of land that is occupied by wind farm assets.</w:t>
      </w:r>
    </w:p>
    <w:p w14:paraId="1A3C2621" w14:textId="77777777" w:rsidR="001556F0" w:rsidRPr="00FC45E9" w:rsidRDefault="001556F0" w:rsidP="001556F0">
      <w:pPr>
        <w:pStyle w:val="ListNumber"/>
        <w:numPr>
          <w:ilvl w:val="0"/>
          <w:numId w:val="0"/>
        </w:numPr>
        <w:spacing w:line="264" w:lineRule="auto"/>
        <w:ind w:left="360"/>
        <w:rPr>
          <w:rFonts w:cs="Arial"/>
          <w:b/>
        </w:rPr>
      </w:pPr>
      <w:r w:rsidRPr="00FC45E9">
        <w:rPr>
          <w:rFonts w:cs="Arial"/>
          <w:b/>
        </w:rPr>
        <w:t>Decommissioning</w:t>
      </w:r>
    </w:p>
    <w:p w14:paraId="108F6D66" w14:textId="77777777" w:rsidR="001556F0" w:rsidRPr="00FC45E9" w:rsidRDefault="001556F0" w:rsidP="001556F0">
      <w:pPr>
        <w:pStyle w:val="ListNumber"/>
        <w:numPr>
          <w:ilvl w:val="0"/>
          <w:numId w:val="0"/>
        </w:numPr>
        <w:spacing w:line="264" w:lineRule="auto"/>
        <w:ind w:left="360"/>
        <w:rPr>
          <w:rFonts w:cs="Arial"/>
        </w:rPr>
      </w:pPr>
      <w:r w:rsidRPr="00FC45E9">
        <w:rPr>
          <w:rFonts w:cs="Arial"/>
        </w:rPr>
        <w:t xml:space="preserve">At the end of the </w:t>
      </w:r>
      <w:r>
        <w:rPr>
          <w:rFonts w:cs="Arial"/>
        </w:rPr>
        <w:t>project</w:t>
      </w:r>
      <w:r w:rsidRPr="00FC45E9">
        <w:rPr>
          <w:rFonts w:cs="Arial"/>
        </w:rPr>
        <w:t xml:space="preserve">’s operating life, the clear expectation of all stakeholders is that the wind </w:t>
      </w:r>
      <w:r>
        <w:rPr>
          <w:rFonts w:cs="Arial"/>
        </w:rPr>
        <w:t xml:space="preserve">or solar </w:t>
      </w:r>
      <w:r w:rsidRPr="00FC45E9">
        <w:rPr>
          <w:rFonts w:cs="Arial"/>
        </w:rPr>
        <w:t>farm will be decommissioned and all turbines</w:t>
      </w:r>
      <w:r>
        <w:rPr>
          <w:rFonts w:cs="Arial"/>
        </w:rPr>
        <w:t>, arrays</w:t>
      </w:r>
      <w:r w:rsidRPr="00FC45E9">
        <w:rPr>
          <w:rFonts w:cs="Arial"/>
        </w:rPr>
        <w:t xml:space="preserve"> and other infrastructure will be removed from the property</w:t>
      </w:r>
      <w:r>
        <w:rPr>
          <w:rFonts w:cs="Arial"/>
        </w:rPr>
        <w:t xml:space="preserve">, with </w:t>
      </w:r>
      <w:r w:rsidRPr="00FC45E9">
        <w:rPr>
          <w:rFonts w:cs="Arial"/>
        </w:rPr>
        <w:t xml:space="preserve">the property returned to its original condition </w:t>
      </w:r>
      <w:r>
        <w:rPr>
          <w:rFonts w:cs="Arial"/>
        </w:rPr>
        <w:t xml:space="preserve">– to </w:t>
      </w:r>
      <w:r w:rsidRPr="00FC45E9">
        <w:rPr>
          <w:rFonts w:cs="Arial"/>
        </w:rPr>
        <w:t>the extent that can be done.</w:t>
      </w:r>
    </w:p>
    <w:p w14:paraId="69649860" w14:textId="77777777" w:rsidR="001556F0" w:rsidRPr="00FC45E9" w:rsidRDefault="001556F0" w:rsidP="001556F0">
      <w:pPr>
        <w:pStyle w:val="ListNumber"/>
        <w:numPr>
          <w:ilvl w:val="0"/>
          <w:numId w:val="0"/>
        </w:numPr>
        <w:spacing w:line="264" w:lineRule="auto"/>
        <w:ind w:left="360"/>
        <w:rPr>
          <w:rFonts w:cs="Arial"/>
        </w:rPr>
      </w:pPr>
      <w:r>
        <w:rPr>
          <w:rFonts w:cs="Arial"/>
        </w:rPr>
        <w:t>Most, if not all, planning permits provide that t</w:t>
      </w:r>
      <w:r w:rsidRPr="00FC45E9">
        <w:rPr>
          <w:rFonts w:cs="Arial"/>
        </w:rPr>
        <w:t xml:space="preserve">hese responsibilities to ‘make good’ rest with the </w:t>
      </w:r>
      <w:r>
        <w:rPr>
          <w:rFonts w:cs="Arial"/>
        </w:rPr>
        <w:t xml:space="preserve">project </w:t>
      </w:r>
      <w:r w:rsidRPr="00FC45E9">
        <w:rPr>
          <w:rFonts w:cs="Arial"/>
        </w:rPr>
        <w:t>o</w:t>
      </w:r>
      <w:r>
        <w:rPr>
          <w:rFonts w:cs="Arial"/>
        </w:rPr>
        <w:t>wner (i.e. the tenant)</w:t>
      </w:r>
      <w:r w:rsidRPr="00FC45E9">
        <w:rPr>
          <w:rFonts w:cs="Arial"/>
        </w:rPr>
        <w:t xml:space="preserve">. However, in the event of default </w:t>
      </w:r>
      <w:r>
        <w:rPr>
          <w:rFonts w:cs="Arial"/>
        </w:rPr>
        <w:t xml:space="preserve">or breach of the agreement </w:t>
      </w:r>
      <w:r w:rsidRPr="00FC45E9">
        <w:rPr>
          <w:rFonts w:cs="Arial"/>
        </w:rPr>
        <w:t xml:space="preserve">by the </w:t>
      </w:r>
      <w:r>
        <w:rPr>
          <w:rFonts w:cs="Arial"/>
        </w:rPr>
        <w:t>project owner</w:t>
      </w:r>
      <w:r w:rsidRPr="00FC45E9">
        <w:rPr>
          <w:rFonts w:cs="Arial"/>
        </w:rPr>
        <w:t xml:space="preserve">, the liability for decommissioning ultimately </w:t>
      </w:r>
      <w:r>
        <w:rPr>
          <w:rFonts w:cs="Arial"/>
        </w:rPr>
        <w:t xml:space="preserve">may </w:t>
      </w:r>
      <w:r w:rsidRPr="00FC45E9">
        <w:rPr>
          <w:rFonts w:cs="Arial"/>
        </w:rPr>
        <w:t xml:space="preserve">rest with the landowner. Further, the landowner typically does not have title or ownership of the </w:t>
      </w:r>
      <w:r>
        <w:rPr>
          <w:rFonts w:cs="Arial"/>
        </w:rPr>
        <w:t xml:space="preserve">project’s </w:t>
      </w:r>
      <w:r w:rsidRPr="00FC45E9">
        <w:rPr>
          <w:rFonts w:cs="Arial"/>
        </w:rPr>
        <w:t xml:space="preserve">assets and, as a result, </w:t>
      </w:r>
      <w:r>
        <w:rPr>
          <w:rFonts w:cs="Arial"/>
        </w:rPr>
        <w:t>may be</w:t>
      </w:r>
      <w:r w:rsidRPr="00FC45E9">
        <w:rPr>
          <w:rFonts w:cs="Arial"/>
        </w:rPr>
        <w:t xml:space="preserve"> unable to recover the costs of any decommissioning activities </w:t>
      </w:r>
      <w:r>
        <w:rPr>
          <w:rFonts w:cs="Arial"/>
        </w:rPr>
        <w:t>from</w:t>
      </w:r>
      <w:r w:rsidRPr="00FC45E9">
        <w:rPr>
          <w:rFonts w:cs="Arial"/>
        </w:rPr>
        <w:t xml:space="preserve"> selling the assets remaining on the property. </w:t>
      </w:r>
      <w:r>
        <w:rPr>
          <w:rFonts w:cs="Arial"/>
        </w:rPr>
        <w:t xml:space="preserve">Project </w:t>
      </w:r>
      <w:r w:rsidRPr="00FC45E9">
        <w:rPr>
          <w:rFonts w:cs="Arial"/>
        </w:rPr>
        <w:t xml:space="preserve">operators/owners may also change many times during the life of the </w:t>
      </w:r>
      <w:r>
        <w:rPr>
          <w:rFonts w:cs="Arial"/>
        </w:rPr>
        <w:t>project</w:t>
      </w:r>
      <w:r w:rsidRPr="00FC45E9">
        <w:rPr>
          <w:rFonts w:cs="Arial"/>
        </w:rPr>
        <w:t>.</w:t>
      </w:r>
    </w:p>
    <w:p w14:paraId="53368F2A" w14:textId="77777777" w:rsidR="001556F0" w:rsidRDefault="001556F0" w:rsidP="001556F0">
      <w:pPr>
        <w:pStyle w:val="ListNumber"/>
        <w:numPr>
          <w:ilvl w:val="0"/>
          <w:numId w:val="0"/>
        </w:numPr>
        <w:spacing w:line="264" w:lineRule="auto"/>
        <w:ind w:left="360"/>
        <w:rPr>
          <w:rFonts w:cs="Arial"/>
        </w:rPr>
      </w:pPr>
      <w:r w:rsidRPr="00FC45E9">
        <w:rPr>
          <w:rFonts w:cs="Arial"/>
        </w:rPr>
        <w:t xml:space="preserve">From a landowner’s perspective, it is imperative that any commercial agreement to host </w:t>
      </w:r>
      <w:r>
        <w:rPr>
          <w:rFonts w:cs="Arial"/>
        </w:rPr>
        <w:t xml:space="preserve">assets </w:t>
      </w:r>
      <w:r w:rsidRPr="00FC45E9">
        <w:rPr>
          <w:rFonts w:cs="Arial"/>
        </w:rPr>
        <w:t xml:space="preserve">and </w:t>
      </w:r>
      <w:r>
        <w:rPr>
          <w:rFonts w:cs="Arial"/>
        </w:rPr>
        <w:t xml:space="preserve">the related </w:t>
      </w:r>
      <w:r w:rsidRPr="00FC45E9">
        <w:rPr>
          <w:rFonts w:cs="Arial"/>
        </w:rPr>
        <w:t>infrastructure clearly sets out the responsibilities for decommissioning and restoring the site</w:t>
      </w:r>
      <w:r>
        <w:rPr>
          <w:rFonts w:cs="Arial"/>
        </w:rPr>
        <w:t xml:space="preserve"> and also provides the mechanism for security of the funding to pay for decommissioning.</w:t>
      </w:r>
    </w:p>
    <w:p w14:paraId="6F1F147F" w14:textId="5729E33B" w:rsidR="001556F0" w:rsidRDefault="001556F0" w:rsidP="001556F0">
      <w:pPr>
        <w:pStyle w:val="ListNumber"/>
        <w:numPr>
          <w:ilvl w:val="0"/>
          <w:numId w:val="0"/>
        </w:numPr>
        <w:spacing w:line="264" w:lineRule="auto"/>
        <w:ind w:left="360"/>
        <w:rPr>
          <w:rFonts w:cs="Arial"/>
        </w:rPr>
      </w:pPr>
      <w:r w:rsidRPr="00FC45E9">
        <w:rPr>
          <w:rFonts w:cs="Arial"/>
        </w:rPr>
        <w:t xml:space="preserve">A landowner may </w:t>
      </w:r>
      <w:r>
        <w:rPr>
          <w:rFonts w:cs="Arial"/>
        </w:rPr>
        <w:t xml:space="preserve">therefore </w:t>
      </w:r>
      <w:r w:rsidRPr="00FC45E9">
        <w:rPr>
          <w:rFonts w:cs="Arial"/>
        </w:rPr>
        <w:t xml:space="preserve">also wish to seek ongoing evidence that the </w:t>
      </w:r>
      <w:r>
        <w:rPr>
          <w:rFonts w:cs="Arial"/>
        </w:rPr>
        <w:t xml:space="preserve">project owner </w:t>
      </w:r>
      <w:r w:rsidRPr="00FC45E9">
        <w:rPr>
          <w:rFonts w:cs="Arial"/>
        </w:rPr>
        <w:t>has the capacity to fund the decommissioning activity and that such funds are properly set aside securely for that purpose. Examples that could be considered include bank guarantees, a sinking fund, a trust fund or a deposit held by the landowner.</w:t>
      </w:r>
      <w:r>
        <w:rPr>
          <w:rFonts w:cs="Arial"/>
        </w:rPr>
        <w:t xml:space="preserve"> The Australian Government’s recent </w:t>
      </w:r>
      <w:r w:rsidR="00C07419">
        <w:rPr>
          <w:rFonts w:cs="Arial"/>
        </w:rPr>
        <w:t>discussion paper on a proposed framewor</w:t>
      </w:r>
      <w:r w:rsidR="00B71911">
        <w:rPr>
          <w:rFonts w:cs="Arial"/>
        </w:rPr>
        <w:t>k</w:t>
      </w:r>
      <w:r w:rsidR="00C07419">
        <w:rPr>
          <w:rFonts w:cs="Arial"/>
        </w:rPr>
        <w:t xml:space="preserve"> for regulating offshore renewable energy infrastructure </w:t>
      </w:r>
      <w:r>
        <w:rPr>
          <w:rFonts w:cs="Arial"/>
        </w:rPr>
        <w:t>proposes that developers lodge a decommissioning plan and</w:t>
      </w:r>
      <w:r w:rsidR="00C07419">
        <w:rPr>
          <w:rFonts w:cs="Arial"/>
        </w:rPr>
        <w:t xml:space="preserve"> decommissioning bond</w:t>
      </w:r>
      <w:r>
        <w:rPr>
          <w:rFonts w:cs="Arial"/>
        </w:rPr>
        <w:t xml:space="preserve"> as a licence requirement.</w:t>
      </w:r>
    </w:p>
    <w:p w14:paraId="16624EF7" w14:textId="2823DCFA" w:rsidR="001556F0" w:rsidRDefault="001556F0" w:rsidP="001556F0">
      <w:pPr>
        <w:pStyle w:val="ListNumber"/>
        <w:numPr>
          <w:ilvl w:val="0"/>
          <w:numId w:val="0"/>
        </w:numPr>
        <w:spacing w:line="264" w:lineRule="auto"/>
        <w:ind w:left="360"/>
        <w:rPr>
          <w:rFonts w:cs="Arial"/>
        </w:rPr>
      </w:pPr>
      <w:r w:rsidRPr="002C70C7">
        <w:rPr>
          <w:rFonts w:cs="Arial"/>
        </w:rPr>
        <w:t xml:space="preserve">While there are no documented examples of costs to decommission a contemporary wind turbine </w:t>
      </w:r>
      <w:r>
        <w:rPr>
          <w:rFonts w:cs="Arial"/>
        </w:rPr>
        <w:t xml:space="preserve">or solar farm </w:t>
      </w:r>
      <w:r w:rsidRPr="002C70C7">
        <w:rPr>
          <w:rFonts w:cs="Arial"/>
        </w:rPr>
        <w:t xml:space="preserve">in Australia, some published decommissioning plans have calculated costs that are </w:t>
      </w:r>
      <w:r>
        <w:rPr>
          <w:rFonts w:cs="Arial"/>
        </w:rPr>
        <w:t xml:space="preserve">approximately </w:t>
      </w:r>
      <w:r w:rsidRPr="002C70C7">
        <w:rPr>
          <w:rFonts w:cs="Arial"/>
        </w:rPr>
        <w:t xml:space="preserve">$400,000 per turbine. </w:t>
      </w:r>
      <w:r>
        <w:rPr>
          <w:rFonts w:cs="Arial"/>
        </w:rPr>
        <w:t>This cost could increase for larger turbines and could range up to $600,000</w:t>
      </w:r>
      <w:r w:rsidR="00B71911">
        <w:rPr>
          <w:rFonts w:cs="Arial"/>
        </w:rPr>
        <w:t xml:space="preserve"> per </w:t>
      </w:r>
      <w:r w:rsidR="003E0061">
        <w:rPr>
          <w:rFonts w:cs="Arial"/>
        </w:rPr>
        <w:t>turbine</w:t>
      </w:r>
      <w:r w:rsidR="00783E91">
        <w:rPr>
          <w:rFonts w:cs="Arial"/>
        </w:rPr>
        <w:t xml:space="preserve"> or more</w:t>
      </w:r>
      <w:r w:rsidR="003E0061">
        <w:rPr>
          <w:rFonts w:cs="Arial"/>
        </w:rPr>
        <w:t>.</w:t>
      </w:r>
    </w:p>
    <w:p w14:paraId="547C12E6" w14:textId="77777777" w:rsidR="001556F0" w:rsidRDefault="001556F0" w:rsidP="001556F0">
      <w:pPr>
        <w:pStyle w:val="ListNumber"/>
        <w:numPr>
          <w:ilvl w:val="0"/>
          <w:numId w:val="0"/>
        </w:numPr>
        <w:spacing w:line="264" w:lineRule="auto"/>
        <w:ind w:left="360"/>
        <w:rPr>
          <w:rFonts w:cs="Arial"/>
        </w:rPr>
      </w:pPr>
      <w:r w:rsidRPr="002C70C7">
        <w:rPr>
          <w:rFonts w:cs="Arial"/>
        </w:rPr>
        <w:t>To put these costs into perspective, the fees</w:t>
      </w:r>
      <w:r>
        <w:rPr>
          <w:rFonts w:cs="Arial"/>
        </w:rPr>
        <w:t xml:space="preserve"> earned for hosting the turbine for 25 years could be in the range of $250,000 - $625,000 (depending, typically, on the turbine capacity and when the wind farm commenced operations). It is therefore possible that the costs to decommission a turbine could be equal to or greater than the total income generated for the landowner over the 25 year lease period.</w:t>
      </w:r>
    </w:p>
    <w:p w14:paraId="36EDF219" w14:textId="4E40E495" w:rsidR="001556F0" w:rsidRDefault="001556F0" w:rsidP="001556F0">
      <w:pPr>
        <w:pStyle w:val="ListNumber"/>
        <w:numPr>
          <w:ilvl w:val="0"/>
          <w:numId w:val="0"/>
        </w:numPr>
        <w:spacing w:line="264" w:lineRule="auto"/>
        <w:ind w:left="360"/>
        <w:rPr>
          <w:rFonts w:cs="Arial"/>
        </w:rPr>
      </w:pPr>
      <w:r>
        <w:rPr>
          <w:rFonts w:cs="Arial"/>
        </w:rPr>
        <w:t xml:space="preserve">Some proponents are offering to deposit decommission funding into a trust fund, but typically not </w:t>
      </w:r>
      <w:r w:rsidR="00783E91">
        <w:rPr>
          <w:rFonts w:cs="Arial"/>
        </w:rPr>
        <w:t xml:space="preserve">commencing </w:t>
      </w:r>
      <w:r>
        <w:rPr>
          <w:rFonts w:cs="Arial"/>
        </w:rPr>
        <w:t>until year 20 of the project life. There are a number of risks with the timing of such an approach</w:t>
      </w:r>
      <w:r w:rsidR="00070E1F">
        <w:rPr>
          <w:rFonts w:cs="Arial"/>
        </w:rPr>
        <w:t>. I</w:t>
      </w:r>
      <w:r>
        <w:rPr>
          <w:rFonts w:cs="Arial"/>
        </w:rPr>
        <w:t>t would be much more acceptable</w:t>
      </w:r>
      <w:r w:rsidR="00FE72D1">
        <w:rPr>
          <w:rFonts w:cs="Arial"/>
        </w:rPr>
        <w:t xml:space="preserve">, and </w:t>
      </w:r>
      <w:r w:rsidR="00070E1F">
        <w:rPr>
          <w:rFonts w:cs="Arial"/>
        </w:rPr>
        <w:t xml:space="preserve">at </w:t>
      </w:r>
      <w:r w:rsidR="00FE72D1">
        <w:rPr>
          <w:rFonts w:cs="Arial"/>
        </w:rPr>
        <w:t>less risk</w:t>
      </w:r>
      <w:r w:rsidR="00070E1F">
        <w:rPr>
          <w:rFonts w:cs="Arial"/>
        </w:rPr>
        <w:t xml:space="preserve"> to the landowner</w:t>
      </w:r>
      <w:r w:rsidR="00FE72D1">
        <w:rPr>
          <w:rFonts w:cs="Arial"/>
        </w:rPr>
        <w:t>,</w:t>
      </w:r>
      <w:r>
        <w:rPr>
          <w:rFonts w:cs="Arial"/>
        </w:rPr>
        <w:t xml:space="preserve"> </w:t>
      </w:r>
      <w:r w:rsidR="00070E1F">
        <w:rPr>
          <w:rFonts w:cs="Arial"/>
        </w:rPr>
        <w:t xml:space="preserve">for the developer </w:t>
      </w:r>
      <w:r>
        <w:rPr>
          <w:rFonts w:cs="Arial"/>
        </w:rPr>
        <w:t>to commence funding the decommissioning trust fund from commencement of operations.</w:t>
      </w:r>
    </w:p>
    <w:p w14:paraId="616D7C2D" w14:textId="16BAD3D4" w:rsidR="001556F0" w:rsidRDefault="001556F0" w:rsidP="001556F0">
      <w:pPr>
        <w:pStyle w:val="ListNumber"/>
        <w:numPr>
          <w:ilvl w:val="0"/>
          <w:numId w:val="0"/>
        </w:numPr>
        <w:spacing w:line="264" w:lineRule="auto"/>
        <w:ind w:left="360"/>
        <w:rPr>
          <w:rFonts w:cs="Arial"/>
        </w:rPr>
      </w:pPr>
      <w:r>
        <w:rPr>
          <w:rFonts w:cs="Arial"/>
        </w:rPr>
        <w:t>W</w:t>
      </w:r>
      <w:r w:rsidRPr="00E34265">
        <w:rPr>
          <w:rFonts w:cs="Arial"/>
        </w:rPr>
        <w:t xml:space="preserve">e are </w:t>
      </w:r>
      <w:r>
        <w:rPr>
          <w:rFonts w:cs="Arial"/>
        </w:rPr>
        <w:t xml:space="preserve">about to </w:t>
      </w:r>
      <w:r w:rsidRPr="00E34265">
        <w:rPr>
          <w:rFonts w:cs="Arial"/>
        </w:rPr>
        <w:t>enter a period where, for some of the initial wind farm projects around Australia, decommissioning activities will commence in the next few years</w:t>
      </w:r>
      <w:r>
        <w:rPr>
          <w:rFonts w:cs="Arial"/>
        </w:rPr>
        <w:t>. T</w:t>
      </w:r>
      <w:r w:rsidRPr="00E34265">
        <w:rPr>
          <w:rFonts w:cs="Arial"/>
        </w:rPr>
        <w:t xml:space="preserve">here will likely be increased </w:t>
      </w:r>
      <w:r>
        <w:rPr>
          <w:rFonts w:cs="Arial"/>
        </w:rPr>
        <w:t xml:space="preserve">concerns about this topic, particularly from host landowners. At a minimum, there needs to be clarity surrounding who is responsible for decommissioning, who pays and how those funds </w:t>
      </w:r>
      <w:r w:rsidR="00B71911">
        <w:rPr>
          <w:rFonts w:cs="Arial"/>
        </w:rPr>
        <w:t xml:space="preserve">are </w:t>
      </w:r>
      <w:r>
        <w:rPr>
          <w:rFonts w:cs="Arial"/>
        </w:rPr>
        <w:t>secured to protect the landholder from default.</w:t>
      </w:r>
    </w:p>
    <w:p w14:paraId="4041B50C" w14:textId="77777777" w:rsidR="001556F0" w:rsidRPr="00FB2084" w:rsidRDefault="001556F0" w:rsidP="001556F0">
      <w:pPr>
        <w:pStyle w:val="ListNumber"/>
        <w:numPr>
          <w:ilvl w:val="0"/>
          <w:numId w:val="0"/>
        </w:numPr>
        <w:spacing w:line="264" w:lineRule="auto"/>
        <w:ind w:left="360"/>
        <w:rPr>
          <w:rFonts w:cs="Arial"/>
          <w:b/>
        </w:rPr>
      </w:pPr>
      <w:r w:rsidRPr="00FB2084">
        <w:rPr>
          <w:rFonts w:cs="Arial"/>
          <w:b/>
        </w:rPr>
        <w:t>Powerline Easements</w:t>
      </w:r>
    </w:p>
    <w:p w14:paraId="33CB5A03" w14:textId="77777777" w:rsidR="001556F0" w:rsidRDefault="001556F0" w:rsidP="001556F0">
      <w:pPr>
        <w:pStyle w:val="ListNumber"/>
        <w:numPr>
          <w:ilvl w:val="0"/>
          <w:numId w:val="0"/>
        </w:numPr>
        <w:spacing w:line="264" w:lineRule="auto"/>
        <w:ind w:left="360"/>
        <w:rPr>
          <w:rFonts w:cs="Arial"/>
        </w:rPr>
      </w:pPr>
      <w:r>
        <w:rPr>
          <w:rFonts w:cs="Arial"/>
        </w:rPr>
        <w:t>We received a number of complaints during 2020 from landowners that had agreed to allow an easement on title (or had bought land where the previous owner had agreed) for the purposes of installing a private powerline that would connect the power station to the main power grid.</w:t>
      </w:r>
    </w:p>
    <w:p w14:paraId="1B48F7F7" w14:textId="77777777" w:rsidR="001556F0" w:rsidRDefault="001556F0" w:rsidP="001556F0">
      <w:pPr>
        <w:pStyle w:val="ListNumber"/>
        <w:numPr>
          <w:ilvl w:val="0"/>
          <w:numId w:val="0"/>
        </w:numPr>
        <w:spacing w:line="264" w:lineRule="auto"/>
        <w:ind w:left="360"/>
        <w:rPr>
          <w:rFonts w:cs="Arial"/>
        </w:rPr>
      </w:pPr>
      <w:r>
        <w:rPr>
          <w:rFonts w:cs="Arial"/>
        </w:rPr>
        <w:lastRenderedPageBreak/>
        <w:t>Landowners typically receive a one-off payment from the proponent for allowing the easement, unlike a wind or solar farm host, who receives an annual payment.</w:t>
      </w:r>
    </w:p>
    <w:p w14:paraId="595D6E29" w14:textId="77777777" w:rsidR="001556F0" w:rsidRDefault="001556F0" w:rsidP="001556F0">
      <w:pPr>
        <w:pStyle w:val="ListNumber"/>
        <w:numPr>
          <w:ilvl w:val="0"/>
          <w:numId w:val="0"/>
        </w:numPr>
        <w:spacing w:line="264" w:lineRule="auto"/>
        <w:ind w:left="360"/>
        <w:rPr>
          <w:rFonts w:cs="Arial"/>
        </w:rPr>
      </w:pPr>
      <w:r>
        <w:rPr>
          <w:rFonts w:cs="Arial"/>
        </w:rPr>
        <w:t>If the land is sold, the purchaser ’inherits‘ the easement and the prospect of a powerline being built and operated on the land – and may often be surprised when the powerline contractor arrives at the property to commence works.</w:t>
      </w:r>
    </w:p>
    <w:p w14:paraId="7057F3E8" w14:textId="687CF6DC" w:rsidR="001556F0" w:rsidRDefault="001556F0" w:rsidP="001556F0">
      <w:pPr>
        <w:pStyle w:val="ListNumber"/>
        <w:numPr>
          <w:ilvl w:val="0"/>
          <w:numId w:val="0"/>
        </w:numPr>
        <w:spacing w:line="264" w:lineRule="auto"/>
        <w:ind w:left="360"/>
        <w:rPr>
          <w:rFonts w:cs="Arial"/>
        </w:rPr>
      </w:pPr>
      <w:r>
        <w:rPr>
          <w:rFonts w:cs="Arial"/>
        </w:rPr>
        <w:t>There are a range of emerging issues to address here, including fairness of the easement agreement and easement creation documents, the amount and method of compensation, the need for access agreements if the landholders</w:t>
      </w:r>
      <w:r w:rsidR="003F235E">
        <w:rPr>
          <w:rFonts w:cs="Arial"/>
        </w:rPr>
        <w:t>’</w:t>
      </w:r>
      <w:r>
        <w:rPr>
          <w:rFonts w:cs="Arial"/>
        </w:rPr>
        <w:t xml:space="preserve"> land needs to be traversed to access the easement areas and appropriate disclosures of the easement and any agreements to a purchaser of the land.</w:t>
      </w:r>
    </w:p>
    <w:p w14:paraId="79350363" w14:textId="77777777" w:rsidR="001556F0" w:rsidRPr="00FC45E9" w:rsidRDefault="001556F0" w:rsidP="001556F0">
      <w:pPr>
        <w:pStyle w:val="ListParagraph"/>
        <w:numPr>
          <w:ilvl w:val="1"/>
          <w:numId w:val="8"/>
        </w:numPr>
        <w:spacing w:line="264" w:lineRule="auto"/>
        <w:rPr>
          <w:rFonts w:cs="Arial"/>
          <w:b/>
        </w:rPr>
      </w:pPr>
      <w:r w:rsidRPr="00FC45E9">
        <w:rPr>
          <w:rFonts w:cs="Arial"/>
          <w:b/>
        </w:rPr>
        <w:t>Recommendations</w:t>
      </w:r>
    </w:p>
    <w:p w14:paraId="01CFF3C4"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The developer should ensure that landowner expectations are properly managed from the outset of negotiations and that potential host landowners are made fully aware of the risks of potential reduction in turbines </w:t>
      </w:r>
      <w:r>
        <w:rPr>
          <w:rFonts w:cs="Arial"/>
        </w:rPr>
        <w:t xml:space="preserve">or solar arrays </w:t>
      </w:r>
      <w:r w:rsidRPr="00FC45E9">
        <w:rPr>
          <w:rFonts w:cs="Arial"/>
        </w:rPr>
        <w:t xml:space="preserve">and relocation of </w:t>
      </w:r>
      <w:r>
        <w:rPr>
          <w:rFonts w:cs="Arial"/>
        </w:rPr>
        <w:t>these assets</w:t>
      </w:r>
      <w:r w:rsidRPr="00FC45E9">
        <w:rPr>
          <w:rFonts w:cs="Arial"/>
        </w:rPr>
        <w:t xml:space="preserve"> during the long development process life-cycle. </w:t>
      </w:r>
    </w:p>
    <w:p w14:paraId="21C750FD" w14:textId="77777777" w:rsidR="001556F0" w:rsidRPr="00FC45E9" w:rsidRDefault="001556F0" w:rsidP="001556F0">
      <w:pPr>
        <w:pStyle w:val="ListParagraph"/>
        <w:numPr>
          <w:ilvl w:val="2"/>
          <w:numId w:val="8"/>
        </w:numPr>
        <w:spacing w:line="264" w:lineRule="auto"/>
        <w:ind w:left="1400" w:hanging="680"/>
        <w:rPr>
          <w:rFonts w:cs="Arial"/>
        </w:rPr>
      </w:pPr>
      <w:r>
        <w:rPr>
          <w:rFonts w:cs="Arial"/>
        </w:rPr>
        <w:t>License a</w:t>
      </w:r>
      <w:r w:rsidRPr="00FC45E9">
        <w:rPr>
          <w:rFonts w:cs="Arial"/>
        </w:rPr>
        <w:t xml:space="preserve">greements that enable the developer to have the right to </w:t>
      </w:r>
      <w:r>
        <w:rPr>
          <w:rFonts w:cs="Arial"/>
        </w:rPr>
        <w:t xml:space="preserve">lease </w:t>
      </w:r>
      <w:r w:rsidRPr="00FC45E9">
        <w:rPr>
          <w:rFonts w:cs="Arial"/>
        </w:rPr>
        <w:t>the landowner’s property should have fair and reasonable provisions</w:t>
      </w:r>
      <w:r>
        <w:rPr>
          <w:rFonts w:cs="Arial"/>
        </w:rPr>
        <w:t xml:space="preserve">, including provisions for reasonable payments to be made to the landowner during the term of the agreement and the ability </w:t>
      </w:r>
      <w:r w:rsidRPr="00FC45E9">
        <w:rPr>
          <w:rFonts w:cs="Arial"/>
        </w:rPr>
        <w:t>for the landowner to terminate the agreement if the project has not met expected milestones after a reasonable period of time.</w:t>
      </w:r>
      <w:r>
        <w:rPr>
          <w:rFonts w:cs="Arial"/>
        </w:rPr>
        <w:t xml:space="preserve"> </w:t>
      </w:r>
      <w:r w:rsidRPr="00E34265">
        <w:rPr>
          <w:rFonts w:cs="Arial"/>
        </w:rPr>
        <w:t xml:space="preserve">Prospective milestones set out in the agreement should have clearly stated expected </w:t>
      </w:r>
      <w:r>
        <w:rPr>
          <w:rFonts w:cs="Arial"/>
        </w:rPr>
        <w:t xml:space="preserve">time frames and </w:t>
      </w:r>
      <w:r w:rsidRPr="00E34265">
        <w:rPr>
          <w:rFonts w:cs="Arial"/>
        </w:rPr>
        <w:t xml:space="preserve">dates for </w:t>
      </w:r>
      <w:r>
        <w:rPr>
          <w:rFonts w:cs="Arial"/>
        </w:rPr>
        <w:t xml:space="preserve">those </w:t>
      </w:r>
      <w:r w:rsidRPr="00E34265">
        <w:rPr>
          <w:rFonts w:cs="Arial"/>
        </w:rPr>
        <w:t xml:space="preserve">events </w:t>
      </w:r>
      <w:r>
        <w:rPr>
          <w:rFonts w:cs="Arial"/>
        </w:rPr>
        <w:t xml:space="preserve">– such </w:t>
      </w:r>
      <w:r w:rsidRPr="00E34265">
        <w:rPr>
          <w:rFonts w:cs="Arial"/>
        </w:rPr>
        <w:t xml:space="preserve">as submission of permit application, financial close, commencement of construction works and expiry of </w:t>
      </w:r>
      <w:r>
        <w:rPr>
          <w:rFonts w:cs="Arial"/>
        </w:rPr>
        <w:t xml:space="preserve">planning </w:t>
      </w:r>
      <w:r w:rsidRPr="00E34265">
        <w:rPr>
          <w:rFonts w:cs="Arial"/>
        </w:rPr>
        <w:t>permit.</w:t>
      </w:r>
    </w:p>
    <w:p w14:paraId="767AC8E2"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Where practical, developers should consider discussing the proposed project and negotiating </w:t>
      </w:r>
      <w:r>
        <w:rPr>
          <w:rFonts w:cs="Arial"/>
        </w:rPr>
        <w:t xml:space="preserve">agreements </w:t>
      </w:r>
      <w:r w:rsidRPr="00FC45E9">
        <w:rPr>
          <w:rFonts w:cs="Arial"/>
        </w:rPr>
        <w:t xml:space="preserve">with all potential host landowners together as a group in an inclusive and holistic manner, rather than individual discussions with landowners. </w:t>
      </w:r>
    </w:p>
    <w:p w14:paraId="5F79882D" w14:textId="77777777" w:rsidR="001556F0" w:rsidRPr="00FC45E9" w:rsidRDefault="001556F0" w:rsidP="001556F0">
      <w:pPr>
        <w:pStyle w:val="ListParagraph"/>
        <w:numPr>
          <w:ilvl w:val="2"/>
          <w:numId w:val="8"/>
        </w:numPr>
        <w:spacing w:line="264" w:lineRule="auto"/>
        <w:ind w:left="1400" w:hanging="680"/>
        <w:rPr>
          <w:rFonts w:cs="Arial"/>
        </w:rPr>
      </w:pPr>
      <w:r>
        <w:rPr>
          <w:rFonts w:cs="Arial"/>
        </w:rPr>
        <w:t>A</w:t>
      </w:r>
      <w:r w:rsidRPr="00FC45E9">
        <w:rPr>
          <w:rFonts w:cs="Arial"/>
        </w:rPr>
        <w:t xml:space="preserve"> standard template </w:t>
      </w:r>
      <w:r>
        <w:rPr>
          <w:rFonts w:cs="Arial"/>
        </w:rPr>
        <w:t xml:space="preserve">lease </w:t>
      </w:r>
      <w:r w:rsidRPr="00FC45E9">
        <w:rPr>
          <w:rFonts w:cs="Arial"/>
        </w:rPr>
        <w:t xml:space="preserve">agreement with consistent commercial terms </w:t>
      </w:r>
      <w:r>
        <w:rPr>
          <w:rFonts w:cs="Arial"/>
        </w:rPr>
        <w:t xml:space="preserve">and conditions </w:t>
      </w:r>
      <w:r w:rsidRPr="00FC45E9">
        <w:rPr>
          <w:rFonts w:cs="Arial"/>
        </w:rPr>
        <w:t>should be considered by developers and supported by industry</w:t>
      </w:r>
      <w:r>
        <w:rPr>
          <w:rFonts w:cs="Arial"/>
        </w:rPr>
        <w:t xml:space="preserve"> and the relevant legal association in each state</w:t>
      </w:r>
      <w:r w:rsidRPr="00FC45E9">
        <w:rPr>
          <w:rFonts w:cs="Arial"/>
        </w:rPr>
        <w:t>.</w:t>
      </w:r>
    </w:p>
    <w:p w14:paraId="546A0CC6"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Further to Recommendation 1.2.</w:t>
      </w:r>
      <w:r>
        <w:rPr>
          <w:rFonts w:cs="Arial"/>
        </w:rPr>
        <w:t>3</w:t>
      </w:r>
      <w:r w:rsidRPr="00FC45E9">
        <w:rPr>
          <w:rFonts w:cs="Arial"/>
        </w:rPr>
        <w:t xml:space="preserve">, developers should consider offering some level of </w:t>
      </w:r>
      <w:r>
        <w:rPr>
          <w:rFonts w:cs="Arial"/>
        </w:rPr>
        <w:t xml:space="preserve">payment </w:t>
      </w:r>
      <w:r w:rsidRPr="00FC45E9">
        <w:rPr>
          <w:rFonts w:cs="Arial"/>
        </w:rPr>
        <w:t xml:space="preserve">to all </w:t>
      </w:r>
      <w:r>
        <w:rPr>
          <w:rFonts w:cs="Arial"/>
        </w:rPr>
        <w:t xml:space="preserve">contracted </w:t>
      </w:r>
      <w:r w:rsidRPr="00FC45E9">
        <w:rPr>
          <w:rFonts w:cs="Arial"/>
        </w:rPr>
        <w:t xml:space="preserve">host landowners if the project proceeds, regardless of final allocation of </w:t>
      </w:r>
      <w:r>
        <w:rPr>
          <w:rFonts w:cs="Arial"/>
        </w:rPr>
        <w:t>assets</w:t>
      </w:r>
      <w:r w:rsidRPr="00FC45E9">
        <w:rPr>
          <w:rFonts w:cs="Arial"/>
        </w:rPr>
        <w:t xml:space="preserve"> on individual properties.</w:t>
      </w:r>
    </w:p>
    <w:p w14:paraId="0378ED63" w14:textId="4F3AE10E"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Host land</w:t>
      </w:r>
      <w:r>
        <w:rPr>
          <w:rFonts w:cs="Arial"/>
        </w:rPr>
        <w:t xml:space="preserve">owner (i.e. </w:t>
      </w:r>
      <w:r w:rsidR="00FB1490">
        <w:rPr>
          <w:rFonts w:cs="Arial"/>
        </w:rPr>
        <w:t>‘</w:t>
      </w:r>
      <w:r>
        <w:rPr>
          <w:rFonts w:cs="Arial"/>
        </w:rPr>
        <w:t>lease</w:t>
      </w:r>
      <w:r w:rsidR="00FB1490">
        <w:rPr>
          <w:rFonts w:cs="Arial"/>
        </w:rPr>
        <w:t>’</w:t>
      </w:r>
      <w:r>
        <w:rPr>
          <w:rFonts w:cs="Arial"/>
        </w:rPr>
        <w:t>) agreements should be fair,</w:t>
      </w:r>
      <w:r w:rsidRPr="00FC45E9">
        <w:rPr>
          <w:rFonts w:cs="Arial"/>
        </w:rPr>
        <w:t xml:space="preserve"> reasonable</w:t>
      </w:r>
      <w:r>
        <w:rPr>
          <w:rFonts w:cs="Arial"/>
        </w:rPr>
        <w:t xml:space="preserve"> and</w:t>
      </w:r>
      <w:r w:rsidRPr="00FC45E9">
        <w:rPr>
          <w:rFonts w:cs="Arial"/>
        </w:rPr>
        <w:t xml:space="preserve"> written in plain English</w:t>
      </w:r>
      <w:r>
        <w:rPr>
          <w:rFonts w:cs="Arial"/>
        </w:rPr>
        <w:t>. T</w:t>
      </w:r>
      <w:r w:rsidRPr="00FC45E9">
        <w:rPr>
          <w:rFonts w:cs="Arial"/>
        </w:rPr>
        <w:t xml:space="preserve">he landowner should have access to and obtain appropriately skilled legal and financial advice before entering into any agreement. The New South Wales Government’s </w:t>
      </w:r>
      <w:r w:rsidRPr="00FC45E9">
        <w:rPr>
          <w:rFonts w:cs="Arial"/>
          <w:i/>
        </w:rPr>
        <w:t>Wind Energy Guideline for State Significant Wind Energy Development</w:t>
      </w:r>
      <w:r w:rsidRPr="00FC45E9">
        <w:rPr>
          <w:rFonts w:cs="Arial"/>
        </w:rPr>
        <w:t xml:space="preserve"> (New South Wales Department of Planning, December 2016) provides some discussion on this topic, particu</w:t>
      </w:r>
      <w:r>
        <w:rPr>
          <w:rFonts w:cs="Arial"/>
        </w:rPr>
        <w:t>larly within Attachment B of the</w:t>
      </w:r>
      <w:r w:rsidRPr="00FC45E9">
        <w:rPr>
          <w:rFonts w:cs="Arial"/>
        </w:rPr>
        <w:t xml:space="preserve"> publication. NSW Farmers’ Federation have also produced a </w:t>
      </w:r>
      <w:r>
        <w:rPr>
          <w:rFonts w:cs="Arial"/>
          <w:i/>
        </w:rPr>
        <w:t xml:space="preserve">Renewable Energy </w:t>
      </w:r>
      <w:r w:rsidRPr="00FC45E9">
        <w:rPr>
          <w:rFonts w:cs="Arial"/>
          <w:i/>
        </w:rPr>
        <w:t>Land</w:t>
      </w:r>
      <w:r>
        <w:rPr>
          <w:rFonts w:cs="Arial"/>
          <w:i/>
        </w:rPr>
        <w:t>holder Guide</w:t>
      </w:r>
      <w:r w:rsidRPr="00FC45E9">
        <w:rPr>
          <w:rFonts w:cs="Arial"/>
        </w:rPr>
        <w:t xml:space="preserve"> (GHD Pty Ltd, </w:t>
      </w:r>
      <w:r>
        <w:rPr>
          <w:rFonts w:cs="Arial"/>
        </w:rPr>
        <w:t>updated in 2019</w:t>
      </w:r>
      <w:r w:rsidRPr="00FC45E9">
        <w:rPr>
          <w:rFonts w:cs="Arial"/>
        </w:rPr>
        <w:t xml:space="preserve">) covering a range of relevant topics related to host landowner agreements. Specific areas of agreements requiring clarity in landowner </w:t>
      </w:r>
      <w:r>
        <w:rPr>
          <w:rFonts w:cs="Arial"/>
        </w:rPr>
        <w:t xml:space="preserve">lease </w:t>
      </w:r>
      <w:r w:rsidRPr="00FC45E9">
        <w:rPr>
          <w:rFonts w:cs="Arial"/>
        </w:rPr>
        <w:t xml:space="preserve">agreements </w:t>
      </w:r>
      <w:r>
        <w:rPr>
          <w:rFonts w:cs="Arial"/>
        </w:rPr>
        <w:t xml:space="preserve">may </w:t>
      </w:r>
      <w:r w:rsidRPr="00FC45E9">
        <w:rPr>
          <w:rFonts w:cs="Arial"/>
        </w:rPr>
        <w:t>include:</w:t>
      </w:r>
    </w:p>
    <w:p w14:paraId="5137A031" w14:textId="77777777" w:rsidR="001556F0" w:rsidRPr="00FC45E9" w:rsidRDefault="001556F0" w:rsidP="001556F0">
      <w:pPr>
        <w:pStyle w:val="ListBullet"/>
        <w:spacing w:line="264" w:lineRule="auto"/>
        <w:ind w:left="2529"/>
        <w:rPr>
          <w:rFonts w:cs="Arial"/>
        </w:rPr>
      </w:pPr>
      <w:r w:rsidRPr="00FC45E9">
        <w:rPr>
          <w:rFonts w:cs="Arial"/>
        </w:rPr>
        <w:t>fees payable to the landowner during the project development stage (pre-permit), financial close stage (post-permit), construction, operational and decommissioning stages</w:t>
      </w:r>
    </w:p>
    <w:p w14:paraId="5E095E9A" w14:textId="77777777" w:rsidR="001556F0" w:rsidRPr="00FC45E9" w:rsidRDefault="001556F0" w:rsidP="001556F0">
      <w:pPr>
        <w:pStyle w:val="ListBullet"/>
        <w:spacing w:line="264" w:lineRule="auto"/>
        <w:ind w:left="2529"/>
        <w:rPr>
          <w:rFonts w:cs="Arial"/>
        </w:rPr>
      </w:pPr>
      <w:r w:rsidRPr="00FC45E9">
        <w:rPr>
          <w:rFonts w:cs="Arial"/>
        </w:rPr>
        <w:t>timing of payment of fees and due dates for payments</w:t>
      </w:r>
    </w:p>
    <w:p w14:paraId="287F1BE1" w14:textId="77777777" w:rsidR="001556F0" w:rsidRPr="00FC45E9" w:rsidRDefault="001556F0" w:rsidP="001556F0">
      <w:pPr>
        <w:pStyle w:val="ListBullet"/>
        <w:spacing w:line="264" w:lineRule="auto"/>
        <w:ind w:left="2529"/>
        <w:rPr>
          <w:rFonts w:cs="Arial"/>
        </w:rPr>
      </w:pPr>
      <w:r w:rsidRPr="00FC45E9">
        <w:rPr>
          <w:rFonts w:cs="Arial"/>
        </w:rPr>
        <w:lastRenderedPageBreak/>
        <w:t>escalation</w:t>
      </w:r>
      <w:r>
        <w:rPr>
          <w:rFonts w:cs="Arial"/>
        </w:rPr>
        <w:t xml:space="preserve"> of fees during the agreement, </w:t>
      </w:r>
      <w:r w:rsidRPr="00FC45E9">
        <w:rPr>
          <w:rFonts w:cs="Arial"/>
        </w:rPr>
        <w:t>such as a fixed annual increase or CPI increase</w:t>
      </w:r>
      <w:r>
        <w:rPr>
          <w:rFonts w:cs="Arial"/>
        </w:rPr>
        <w:t>, and method of calculation</w:t>
      </w:r>
    </w:p>
    <w:p w14:paraId="2F5D49BA" w14:textId="77777777" w:rsidR="001556F0" w:rsidRDefault="001556F0" w:rsidP="001556F0">
      <w:pPr>
        <w:pStyle w:val="ListBullet"/>
        <w:spacing w:line="264" w:lineRule="auto"/>
        <w:ind w:left="2529"/>
        <w:rPr>
          <w:rFonts w:cs="Arial"/>
        </w:rPr>
      </w:pPr>
      <w:r w:rsidRPr="00FC45E9">
        <w:rPr>
          <w:rFonts w:cs="Arial"/>
        </w:rPr>
        <w:t>considerations if the project is cancelled or materially delayed</w:t>
      </w:r>
    </w:p>
    <w:p w14:paraId="28E226E2" w14:textId="77777777" w:rsidR="001556F0" w:rsidRPr="00FC45E9" w:rsidRDefault="001556F0" w:rsidP="001556F0">
      <w:pPr>
        <w:pStyle w:val="ListBullet"/>
        <w:spacing w:line="264" w:lineRule="auto"/>
        <w:ind w:left="2529"/>
        <w:rPr>
          <w:rFonts w:cs="Arial"/>
        </w:rPr>
      </w:pPr>
      <w:r>
        <w:rPr>
          <w:rFonts w:cs="Arial"/>
        </w:rPr>
        <w:t>considerations if the project scope materially changes, particularly if the changes result in negative impacts for the landowner</w:t>
      </w:r>
    </w:p>
    <w:p w14:paraId="06FA7C6E" w14:textId="77777777" w:rsidR="001556F0" w:rsidRDefault="001556F0" w:rsidP="001556F0">
      <w:pPr>
        <w:pStyle w:val="ListBullet"/>
        <w:spacing w:line="264" w:lineRule="auto"/>
        <w:ind w:left="2529"/>
        <w:rPr>
          <w:rFonts w:cs="Arial"/>
        </w:rPr>
      </w:pPr>
      <w:r w:rsidRPr="00FC45E9">
        <w:rPr>
          <w:rFonts w:cs="Arial"/>
        </w:rPr>
        <w:t xml:space="preserve">variations to fees in the event of changes to turbine layout, turbine specifications, turbine capacity and number of turbines </w:t>
      </w:r>
      <w:r>
        <w:rPr>
          <w:rFonts w:cs="Arial"/>
        </w:rPr>
        <w:t xml:space="preserve">or solar arrays </w:t>
      </w:r>
      <w:r w:rsidRPr="00FC45E9">
        <w:rPr>
          <w:rFonts w:cs="Arial"/>
        </w:rPr>
        <w:t>to be hosted</w:t>
      </w:r>
    </w:p>
    <w:p w14:paraId="528430A5" w14:textId="77777777" w:rsidR="001556F0" w:rsidRDefault="001556F0" w:rsidP="001556F0">
      <w:pPr>
        <w:pStyle w:val="ListBullet"/>
        <w:spacing w:line="264" w:lineRule="auto"/>
        <w:ind w:left="2529"/>
        <w:rPr>
          <w:rFonts w:cs="Arial"/>
        </w:rPr>
      </w:pPr>
      <w:r>
        <w:rPr>
          <w:rFonts w:cs="Arial"/>
        </w:rPr>
        <w:t>agreed internal road and other infrastructure locations (cabling, construction offices, substations, transmission lines etc.)</w:t>
      </w:r>
    </w:p>
    <w:p w14:paraId="344B1BFC" w14:textId="77777777" w:rsidR="001556F0" w:rsidRPr="00FC45E9" w:rsidRDefault="001556F0" w:rsidP="001556F0">
      <w:pPr>
        <w:pStyle w:val="ListBullet"/>
        <w:spacing w:line="264" w:lineRule="auto"/>
        <w:ind w:left="2529"/>
        <w:rPr>
          <w:rFonts w:cs="Arial"/>
        </w:rPr>
      </w:pPr>
      <w:r>
        <w:rPr>
          <w:rFonts w:cs="Arial"/>
        </w:rPr>
        <w:t>arrangements for use of additional land during construction and major maintenance activities</w:t>
      </w:r>
    </w:p>
    <w:p w14:paraId="407D578E" w14:textId="77777777" w:rsidR="001556F0" w:rsidRDefault="001556F0" w:rsidP="001556F0">
      <w:pPr>
        <w:pStyle w:val="ListBullet"/>
        <w:spacing w:line="264" w:lineRule="auto"/>
        <w:ind w:left="2529"/>
        <w:rPr>
          <w:rFonts w:cs="Arial"/>
        </w:rPr>
      </w:pPr>
      <w:r>
        <w:rPr>
          <w:rFonts w:cs="Arial"/>
        </w:rPr>
        <w:t xml:space="preserve">process for making </w:t>
      </w:r>
      <w:r w:rsidRPr="00FC45E9">
        <w:rPr>
          <w:rFonts w:cs="Arial"/>
        </w:rPr>
        <w:t xml:space="preserve">changes to </w:t>
      </w:r>
      <w:r>
        <w:rPr>
          <w:rFonts w:cs="Arial"/>
        </w:rPr>
        <w:t xml:space="preserve">location and routing </w:t>
      </w:r>
      <w:r w:rsidRPr="00FC45E9">
        <w:rPr>
          <w:rFonts w:cs="Arial"/>
        </w:rPr>
        <w:t>of project infrastructure to the landowner</w:t>
      </w:r>
      <w:r>
        <w:rPr>
          <w:rFonts w:cs="Arial"/>
        </w:rPr>
        <w:t>’</w:t>
      </w:r>
      <w:r w:rsidRPr="00FC45E9">
        <w:rPr>
          <w:rFonts w:cs="Arial"/>
        </w:rPr>
        <w:t>s property (e.g. access roads</w:t>
      </w:r>
      <w:r>
        <w:rPr>
          <w:rFonts w:cs="Arial"/>
        </w:rPr>
        <w:t>, cabling</w:t>
      </w:r>
      <w:r w:rsidRPr="00FC45E9">
        <w:rPr>
          <w:rFonts w:cs="Arial"/>
        </w:rPr>
        <w:t>) and responsibilities for maintenance of such infrastructure</w:t>
      </w:r>
    </w:p>
    <w:p w14:paraId="2394C797" w14:textId="77777777" w:rsidR="001556F0" w:rsidRDefault="001556F0" w:rsidP="001556F0">
      <w:pPr>
        <w:pStyle w:val="ListBullet"/>
        <w:spacing w:line="264" w:lineRule="auto"/>
        <w:ind w:left="2529"/>
        <w:rPr>
          <w:rFonts w:cs="Arial"/>
        </w:rPr>
      </w:pPr>
      <w:r>
        <w:rPr>
          <w:rFonts w:cs="Arial"/>
        </w:rPr>
        <w:t>any creation of easements that may be required</w:t>
      </w:r>
    </w:p>
    <w:p w14:paraId="1DB9C001" w14:textId="77777777" w:rsidR="001556F0" w:rsidRDefault="001556F0" w:rsidP="001556F0">
      <w:pPr>
        <w:pStyle w:val="ListBullet"/>
        <w:spacing w:line="264" w:lineRule="auto"/>
        <w:ind w:left="2529"/>
        <w:rPr>
          <w:rFonts w:cs="Arial"/>
        </w:rPr>
      </w:pPr>
      <w:r>
        <w:rPr>
          <w:rFonts w:cs="Arial"/>
        </w:rPr>
        <w:t>access agreements required for accessing easements via a landowner’s property</w:t>
      </w:r>
    </w:p>
    <w:p w14:paraId="20D8B672" w14:textId="33801DBE" w:rsidR="00FB1490" w:rsidRPr="00FC45E9" w:rsidRDefault="00FB1490" w:rsidP="001556F0">
      <w:pPr>
        <w:pStyle w:val="ListBullet"/>
        <w:spacing w:line="264" w:lineRule="auto"/>
        <w:ind w:left="2529"/>
        <w:rPr>
          <w:rFonts w:cs="Arial"/>
        </w:rPr>
      </w:pPr>
      <w:r>
        <w:rPr>
          <w:rFonts w:cs="Arial"/>
        </w:rPr>
        <w:t>arrangements in relation to removal of ancillary infrastructure and the rehabilitation of disturbed land after the complet</w:t>
      </w:r>
      <w:r w:rsidR="00761B9C">
        <w:rPr>
          <w:rFonts w:cs="Arial"/>
        </w:rPr>
        <w:t>ion of construction works</w:t>
      </w:r>
      <w:r w:rsidR="008613CC">
        <w:rPr>
          <w:rFonts w:cs="Arial"/>
        </w:rPr>
        <w:t>,</w:t>
      </w:r>
      <w:r w:rsidR="00761B9C">
        <w:rPr>
          <w:rFonts w:cs="Arial"/>
        </w:rPr>
        <w:t xml:space="preserve"> such as replacement of </w:t>
      </w:r>
      <w:r>
        <w:rPr>
          <w:rFonts w:cs="Arial"/>
        </w:rPr>
        <w:t>soil</w:t>
      </w:r>
      <w:r w:rsidR="00761B9C">
        <w:rPr>
          <w:rFonts w:cs="Arial"/>
        </w:rPr>
        <w:t>s</w:t>
      </w:r>
      <w:r>
        <w:rPr>
          <w:rFonts w:cs="Arial"/>
        </w:rPr>
        <w:t xml:space="preserve"> </w:t>
      </w:r>
      <w:r w:rsidR="00761B9C">
        <w:rPr>
          <w:rFonts w:cs="Arial"/>
        </w:rPr>
        <w:t>over underground cabling or trenches</w:t>
      </w:r>
    </w:p>
    <w:p w14:paraId="7A079929" w14:textId="77777777" w:rsidR="001556F0" w:rsidRPr="00FC45E9" w:rsidRDefault="001556F0" w:rsidP="001556F0">
      <w:pPr>
        <w:pStyle w:val="ListBullet"/>
        <w:spacing w:line="264" w:lineRule="auto"/>
        <w:ind w:left="2529"/>
        <w:rPr>
          <w:rFonts w:cs="Arial"/>
        </w:rPr>
      </w:pPr>
      <w:r w:rsidRPr="00FC45E9">
        <w:rPr>
          <w:rFonts w:cs="Arial"/>
        </w:rPr>
        <w:t xml:space="preserve">responsibility for </w:t>
      </w:r>
      <w:r>
        <w:rPr>
          <w:rFonts w:cs="Arial"/>
        </w:rPr>
        <w:t xml:space="preserve">costs and </w:t>
      </w:r>
      <w:r w:rsidRPr="00FC45E9">
        <w:rPr>
          <w:rFonts w:cs="Arial"/>
        </w:rPr>
        <w:t xml:space="preserve">payment of additional council rates levied on the landowner as a result of the </w:t>
      </w:r>
      <w:r>
        <w:rPr>
          <w:rFonts w:cs="Arial"/>
        </w:rPr>
        <w:t>project</w:t>
      </w:r>
    </w:p>
    <w:p w14:paraId="108BBFF2" w14:textId="77777777" w:rsidR="001556F0" w:rsidRPr="00FC45E9" w:rsidRDefault="001556F0" w:rsidP="001556F0">
      <w:pPr>
        <w:pStyle w:val="ListBullet"/>
        <w:spacing w:line="264" w:lineRule="auto"/>
        <w:ind w:left="2529"/>
        <w:rPr>
          <w:rFonts w:cs="Arial"/>
        </w:rPr>
      </w:pPr>
      <w:r w:rsidRPr="00FC45E9">
        <w:rPr>
          <w:rFonts w:cs="Arial"/>
        </w:rPr>
        <w:t xml:space="preserve">responsibility for </w:t>
      </w:r>
      <w:r>
        <w:rPr>
          <w:rFonts w:cs="Arial"/>
        </w:rPr>
        <w:t xml:space="preserve">costs and </w:t>
      </w:r>
      <w:r w:rsidRPr="00FC45E9">
        <w:rPr>
          <w:rFonts w:cs="Arial"/>
        </w:rPr>
        <w:t xml:space="preserve">payment of additional land taxes levied on the landowner as a result of the </w:t>
      </w:r>
      <w:r>
        <w:rPr>
          <w:rFonts w:cs="Arial"/>
        </w:rPr>
        <w:t>project</w:t>
      </w:r>
    </w:p>
    <w:p w14:paraId="5C4F58BD" w14:textId="77777777" w:rsidR="001556F0" w:rsidRPr="00FC45E9" w:rsidRDefault="001556F0" w:rsidP="001556F0">
      <w:pPr>
        <w:pStyle w:val="ListBullet"/>
        <w:spacing w:line="264" w:lineRule="auto"/>
        <w:ind w:left="2529"/>
        <w:rPr>
          <w:rFonts w:cs="Arial"/>
        </w:rPr>
      </w:pPr>
      <w:r w:rsidRPr="00FC45E9">
        <w:rPr>
          <w:rFonts w:cs="Arial"/>
        </w:rPr>
        <w:t xml:space="preserve">responsibility for </w:t>
      </w:r>
      <w:r>
        <w:rPr>
          <w:rFonts w:cs="Arial"/>
        </w:rPr>
        <w:t xml:space="preserve">costs and </w:t>
      </w:r>
      <w:r w:rsidRPr="00FC45E9">
        <w:rPr>
          <w:rFonts w:cs="Arial"/>
        </w:rPr>
        <w:t xml:space="preserve">payment of additional emergency services or other levies as a result of the </w:t>
      </w:r>
      <w:r>
        <w:rPr>
          <w:rFonts w:cs="Arial"/>
        </w:rPr>
        <w:t>project</w:t>
      </w:r>
    </w:p>
    <w:p w14:paraId="6B0C42D8" w14:textId="77777777" w:rsidR="001556F0" w:rsidRPr="00FC45E9" w:rsidRDefault="001556F0" w:rsidP="001556F0">
      <w:pPr>
        <w:pStyle w:val="ListBullet"/>
        <w:spacing w:line="264" w:lineRule="auto"/>
        <w:ind w:left="2529"/>
        <w:rPr>
          <w:rFonts w:cs="Arial"/>
        </w:rPr>
      </w:pPr>
      <w:r w:rsidRPr="00FC45E9">
        <w:rPr>
          <w:rFonts w:cs="Arial"/>
        </w:rPr>
        <w:t xml:space="preserve">required insurances to be taken out by the </w:t>
      </w:r>
      <w:r>
        <w:rPr>
          <w:rFonts w:cs="Arial"/>
        </w:rPr>
        <w:t xml:space="preserve">project </w:t>
      </w:r>
      <w:r w:rsidRPr="00FC45E9">
        <w:rPr>
          <w:rFonts w:cs="Arial"/>
        </w:rPr>
        <w:t>operator in respect of the landowner</w:t>
      </w:r>
    </w:p>
    <w:p w14:paraId="506D3FCB" w14:textId="77777777" w:rsidR="001556F0" w:rsidRDefault="001556F0" w:rsidP="001556F0">
      <w:pPr>
        <w:pStyle w:val="ListBullet"/>
        <w:spacing w:line="264" w:lineRule="auto"/>
        <w:ind w:left="2529"/>
        <w:rPr>
          <w:rFonts w:cs="Arial"/>
        </w:rPr>
      </w:pPr>
      <w:r w:rsidRPr="00FC45E9">
        <w:rPr>
          <w:rFonts w:cs="Arial"/>
        </w:rPr>
        <w:t xml:space="preserve">required insurances to be taken out by the landowner in respect of the </w:t>
      </w:r>
      <w:r>
        <w:rPr>
          <w:rFonts w:cs="Arial"/>
        </w:rPr>
        <w:t>project</w:t>
      </w:r>
    </w:p>
    <w:p w14:paraId="0A353B2C" w14:textId="77777777" w:rsidR="001556F0" w:rsidRPr="00FC45E9" w:rsidRDefault="001556F0" w:rsidP="001556F0">
      <w:pPr>
        <w:pStyle w:val="ListBullet"/>
        <w:spacing w:line="264" w:lineRule="auto"/>
        <w:ind w:left="2529"/>
        <w:rPr>
          <w:rFonts w:cs="Arial"/>
        </w:rPr>
      </w:pPr>
      <w:r>
        <w:rPr>
          <w:rFonts w:cs="Arial"/>
        </w:rPr>
        <w:t>additional insurances that may be required to be taken out by neighbours to the project (such as increased liability insurance)</w:t>
      </w:r>
    </w:p>
    <w:p w14:paraId="372BB418" w14:textId="77777777" w:rsidR="001556F0" w:rsidRPr="00FC45E9" w:rsidRDefault="001556F0" w:rsidP="001556F0">
      <w:pPr>
        <w:pStyle w:val="ListBullet"/>
        <w:spacing w:line="264" w:lineRule="auto"/>
        <w:ind w:left="2529"/>
        <w:rPr>
          <w:rFonts w:cs="Arial"/>
        </w:rPr>
      </w:pPr>
      <w:r w:rsidRPr="00FC45E9">
        <w:rPr>
          <w:rFonts w:cs="Arial"/>
        </w:rPr>
        <w:t xml:space="preserve">responsibility for </w:t>
      </w:r>
      <w:r>
        <w:rPr>
          <w:rFonts w:cs="Arial"/>
        </w:rPr>
        <w:t xml:space="preserve">the costs and </w:t>
      </w:r>
      <w:r w:rsidRPr="00FC45E9">
        <w:rPr>
          <w:rFonts w:cs="Arial"/>
        </w:rPr>
        <w:t>payment of the various insurances</w:t>
      </w:r>
    </w:p>
    <w:p w14:paraId="22A8BD89" w14:textId="77777777" w:rsidR="001556F0" w:rsidRPr="00FC45E9" w:rsidRDefault="001556F0" w:rsidP="001556F0">
      <w:pPr>
        <w:pStyle w:val="ListBullet"/>
        <w:spacing w:line="264" w:lineRule="auto"/>
        <w:ind w:left="2529"/>
        <w:rPr>
          <w:rFonts w:cs="Arial"/>
        </w:rPr>
      </w:pPr>
      <w:r w:rsidRPr="00FC45E9">
        <w:rPr>
          <w:rFonts w:cs="Arial"/>
        </w:rPr>
        <w:t>landowner</w:t>
      </w:r>
      <w:r>
        <w:rPr>
          <w:rFonts w:cs="Arial"/>
        </w:rPr>
        <w:t>’</w:t>
      </w:r>
      <w:r w:rsidRPr="00FC45E9">
        <w:rPr>
          <w:rFonts w:cs="Arial"/>
        </w:rPr>
        <w:t xml:space="preserve">s responsibilities in regard to renting out the property and/or residence(s) to a </w:t>
      </w:r>
      <w:r>
        <w:rPr>
          <w:rFonts w:cs="Arial"/>
        </w:rPr>
        <w:t xml:space="preserve">third-party </w:t>
      </w:r>
      <w:r w:rsidRPr="00FC45E9">
        <w:rPr>
          <w:rFonts w:cs="Arial"/>
        </w:rPr>
        <w:t>tenant</w:t>
      </w:r>
    </w:p>
    <w:p w14:paraId="3E7BE8D1" w14:textId="77777777" w:rsidR="001556F0" w:rsidRPr="00FC45E9" w:rsidRDefault="001556F0" w:rsidP="001556F0">
      <w:pPr>
        <w:pStyle w:val="ListBullet"/>
        <w:spacing w:line="264" w:lineRule="auto"/>
        <w:ind w:left="2529"/>
        <w:rPr>
          <w:rFonts w:cs="Arial"/>
        </w:rPr>
      </w:pPr>
      <w:r w:rsidRPr="00FC45E9">
        <w:rPr>
          <w:rFonts w:cs="Arial"/>
        </w:rPr>
        <w:t>sale or transfer of the land by the landowner</w:t>
      </w:r>
    </w:p>
    <w:p w14:paraId="329F6EAC" w14:textId="77777777" w:rsidR="001556F0" w:rsidRPr="00FC45E9" w:rsidRDefault="001556F0" w:rsidP="001556F0">
      <w:pPr>
        <w:pStyle w:val="ListBullet"/>
        <w:spacing w:line="264" w:lineRule="auto"/>
        <w:ind w:left="2529"/>
        <w:rPr>
          <w:rFonts w:cs="Arial"/>
        </w:rPr>
      </w:pPr>
      <w:r w:rsidRPr="00FC45E9">
        <w:rPr>
          <w:rFonts w:cs="Arial"/>
        </w:rPr>
        <w:t>any restrictions on further development on the property</w:t>
      </w:r>
    </w:p>
    <w:p w14:paraId="296580AC" w14:textId="77777777" w:rsidR="001556F0" w:rsidRPr="00FC45E9" w:rsidRDefault="001556F0" w:rsidP="001556F0">
      <w:pPr>
        <w:pStyle w:val="ListBullet"/>
        <w:spacing w:line="264" w:lineRule="auto"/>
        <w:ind w:left="2529"/>
        <w:rPr>
          <w:rFonts w:cs="Arial"/>
        </w:rPr>
      </w:pPr>
      <w:r w:rsidRPr="00FC45E9">
        <w:rPr>
          <w:rFonts w:cs="Arial"/>
        </w:rPr>
        <w:t>provisions in the event of subdivision of the property</w:t>
      </w:r>
    </w:p>
    <w:p w14:paraId="36060533" w14:textId="77777777" w:rsidR="001556F0" w:rsidRPr="00FC45E9" w:rsidRDefault="001556F0" w:rsidP="001556F0">
      <w:pPr>
        <w:pStyle w:val="ListBullet"/>
        <w:spacing w:line="264" w:lineRule="auto"/>
        <w:ind w:left="2529"/>
        <w:rPr>
          <w:rFonts w:cs="Arial"/>
        </w:rPr>
      </w:pPr>
      <w:r w:rsidRPr="00FC45E9">
        <w:rPr>
          <w:rFonts w:cs="Arial"/>
        </w:rPr>
        <w:lastRenderedPageBreak/>
        <w:t>term of the agreement, options for renewal of the agreements and termination provisions</w:t>
      </w:r>
      <w:r>
        <w:rPr>
          <w:rFonts w:cs="Arial"/>
        </w:rPr>
        <w:t xml:space="preserve"> by the parties</w:t>
      </w:r>
    </w:p>
    <w:p w14:paraId="200250A4" w14:textId="77777777" w:rsidR="001556F0" w:rsidRPr="00FC45E9" w:rsidRDefault="001556F0" w:rsidP="001556F0">
      <w:pPr>
        <w:pStyle w:val="ListBullet"/>
        <w:spacing w:line="264" w:lineRule="auto"/>
        <w:ind w:left="2529"/>
        <w:rPr>
          <w:rFonts w:cs="Arial"/>
        </w:rPr>
      </w:pPr>
      <w:r w:rsidRPr="00FC45E9">
        <w:rPr>
          <w:rFonts w:cs="Arial"/>
        </w:rPr>
        <w:t xml:space="preserve">assurance provisions </w:t>
      </w:r>
      <w:r>
        <w:rPr>
          <w:rFonts w:cs="Arial"/>
        </w:rPr>
        <w:t xml:space="preserve">to protect the landowner </w:t>
      </w:r>
      <w:r w:rsidRPr="00FC45E9">
        <w:rPr>
          <w:rFonts w:cs="Arial"/>
        </w:rPr>
        <w:t xml:space="preserve">in the event the </w:t>
      </w:r>
      <w:r>
        <w:rPr>
          <w:rFonts w:cs="Arial"/>
        </w:rPr>
        <w:t xml:space="preserve">project </w:t>
      </w:r>
      <w:r w:rsidRPr="00FC45E9">
        <w:rPr>
          <w:rFonts w:cs="Arial"/>
        </w:rPr>
        <w:t xml:space="preserve">defaults (such as </w:t>
      </w:r>
      <w:r>
        <w:rPr>
          <w:rFonts w:cs="Arial"/>
        </w:rPr>
        <w:t xml:space="preserve">a </w:t>
      </w:r>
      <w:r w:rsidRPr="00FC45E9">
        <w:rPr>
          <w:rFonts w:cs="Arial"/>
        </w:rPr>
        <w:t>deposit or bank guarantee)</w:t>
      </w:r>
    </w:p>
    <w:p w14:paraId="13DC78A0" w14:textId="77777777" w:rsidR="001556F0" w:rsidRPr="00FC45E9" w:rsidRDefault="001556F0" w:rsidP="001556F0">
      <w:pPr>
        <w:pStyle w:val="ListBullet"/>
        <w:spacing w:line="264" w:lineRule="auto"/>
        <w:ind w:left="2529"/>
        <w:rPr>
          <w:rFonts w:cs="Arial"/>
        </w:rPr>
      </w:pPr>
      <w:r w:rsidRPr="00FC45E9">
        <w:rPr>
          <w:rFonts w:cs="Arial"/>
        </w:rPr>
        <w:t>decommissioning provisions, responsibilities of the parties and arrangements to ensure funding is assured and protected</w:t>
      </w:r>
    </w:p>
    <w:p w14:paraId="0C0C4BD3" w14:textId="77777777" w:rsidR="001556F0" w:rsidRPr="00FC45E9" w:rsidRDefault="001556F0" w:rsidP="001556F0">
      <w:pPr>
        <w:pStyle w:val="ListBullet"/>
        <w:spacing w:line="264" w:lineRule="auto"/>
        <w:ind w:left="2529"/>
        <w:rPr>
          <w:rFonts w:cs="Arial"/>
        </w:rPr>
      </w:pPr>
      <w:r w:rsidRPr="00FC45E9">
        <w:rPr>
          <w:rFonts w:cs="Arial"/>
        </w:rPr>
        <w:t>remedies available to the landowner in the event of default by the developer, and</w:t>
      </w:r>
    </w:p>
    <w:p w14:paraId="4EC58BE2" w14:textId="77777777" w:rsidR="001556F0" w:rsidRPr="00FC45E9" w:rsidRDefault="001556F0" w:rsidP="001556F0">
      <w:pPr>
        <w:pStyle w:val="ListBullet"/>
        <w:spacing w:line="264" w:lineRule="auto"/>
        <w:ind w:left="2529"/>
        <w:rPr>
          <w:rFonts w:cs="Arial"/>
        </w:rPr>
      </w:pPr>
      <w:r w:rsidRPr="00FC45E9">
        <w:rPr>
          <w:rFonts w:cs="Arial"/>
        </w:rPr>
        <w:t xml:space="preserve">key contacts at the developer for the raising and escalation of issues and </w:t>
      </w:r>
      <w:r>
        <w:rPr>
          <w:rFonts w:cs="Arial"/>
        </w:rPr>
        <w:t xml:space="preserve">process for handling </w:t>
      </w:r>
      <w:r w:rsidRPr="00FC45E9">
        <w:rPr>
          <w:rFonts w:cs="Arial"/>
        </w:rPr>
        <w:t>potential breaches of agreement.</w:t>
      </w:r>
    </w:p>
    <w:p w14:paraId="0B9439B7" w14:textId="77777777" w:rsidR="001556F0" w:rsidRPr="00FC45E9" w:rsidRDefault="001556F0" w:rsidP="001556F0">
      <w:pPr>
        <w:pStyle w:val="NoSpacing"/>
        <w:spacing w:after="200" w:line="264" w:lineRule="auto"/>
        <w:ind w:left="1440"/>
        <w:rPr>
          <w:rFonts w:ascii="Arial" w:hAnsi="Arial" w:cs="Arial"/>
        </w:rPr>
      </w:pPr>
      <w:r w:rsidRPr="00FC45E9">
        <w:rPr>
          <w:rFonts w:ascii="Arial" w:hAnsi="Arial" w:cs="Arial"/>
        </w:rPr>
        <w:t xml:space="preserve">The above items could be set out in a standard template of a commercial </w:t>
      </w:r>
      <w:r>
        <w:rPr>
          <w:rFonts w:ascii="Arial" w:hAnsi="Arial" w:cs="Arial"/>
        </w:rPr>
        <w:t xml:space="preserve">lease </w:t>
      </w:r>
      <w:r w:rsidRPr="00FC45E9">
        <w:rPr>
          <w:rFonts w:ascii="Arial" w:hAnsi="Arial" w:cs="Arial"/>
        </w:rPr>
        <w:t>agreement that is managed and maintained by an appropriate lega</w:t>
      </w:r>
      <w:r>
        <w:rPr>
          <w:rFonts w:ascii="Arial" w:hAnsi="Arial" w:cs="Arial"/>
        </w:rPr>
        <w:t>l, industry or government body. Finally, landowners should be provided with an opportunity to visit a relevant project that is under construction to experience first-hand what is involved.</w:t>
      </w:r>
    </w:p>
    <w:p w14:paraId="5076E870"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Councils and state jurisdictions should examine and audit current processes in place for the re-rating of properties that host wind </w:t>
      </w:r>
      <w:r>
        <w:rPr>
          <w:rFonts w:cs="Arial"/>
        </w:rPr>
        <w:t xml:space="preserve">and solar projects as well as </w:t>
      </w:r>
      <w:r w:rsidRPr="00FC45E9">
        <w:rPr>
          <w:rFonts w:cs="Arial"/>
        </w:rPr>
        <w:t xml:space="preserve">related infrastructure and </w:t>
      </w:r>
      <w:r>
        <w:rPr>
          <w:rFonts w:cs="Arial"/>
        </w:rPr>
        <w:t xml:space="preserve">clarify </w:t>
      </w:r>
      <w:r w:rsidRPr="00FC45E9">
        <w:rPr>
          <w:rFonts w:cs="Arial"/>
        </w:rPr>
        <w:t>how those properties are valued for the purpose of calculating land taxes</w:t>
      </w:r>
      <w:r>
        <w:rPr>
          <w:rFonts w:cs="Arial"/>
        </w:rPr>
        <w:t xml:space="preserve"> and </w:t>
      </w:r>
      <w:r w:rsidRPr="00FC45E9">
        <w:rPr>
          <w:rFonts w:cs="Arial"/>
        </w:rPr>
        <w:t xml:space="preserve">council rates. A similar activity should be undertaken for the calculation of </w:t>
      </w:r>
      <w:r>
        <w:rPr>
          <w:rFonts w:cs="Arial"/>
        </w:rPr>
        <w:t xml:space="preserve">applicable </w:t>
      </w:r>
      <w:r w:rsidRPr="00FC45E9">
        <w:rPr>
          <w:rFonts w:cs="Arial"/>
        </w:rPr>
        <w:t xml:space="preserve">emergency services </w:t>
      </w:r>
      <w:r>
        <w:rPr>
          <w:rFonts w:cs="Arial"/>
        </w:rPr>
        <w:t>and other levies</w:t>
      </w:r>
      <w:r w:rsidRPr="00FC45E9">
        <w:rPr>
          <w:rFonts w:cs="Arial"/>
        </w:rPr>
        <w:t>. The process and calculations should be transparent to relevant stakeholders and be subject to audit and be auditable.</w:t>
      </w:r>
    </w:p>
    <w:p w14:paraId="7CBFEB0C"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Other landowner agreements (such as agreements for transmission line easements</w:t>
      </w:r>
      <w:r>
        <w:rPr>
          <w:rFonts w:cs="Arial"/>
        </w:rPr>
        <w:t>, easement access</w:t>
      </w:r>
      <w:r w:rsidRPr="00FC45E9">
        <w:rPr>
          <w:rFonts w:cs="Arial"/>
        </w:rPr>
        <w:t xml:space="preserve"> or road access) should also be negotiated and finalised with the landowners in a fair and reasonable manner, with appropriate consultations engaging affected landowners and neighbours in determining the final approach and routes to be taken.</w:t>
      </w:r>
    </w:p>
    <w:p w14:paraId="69A92DCF" w14:textId="77777777" w:rsidR="001556F0" w:rsidRPr="00FC45E9" w:rsidRDefault="001556F0" w:rsidP="001556F0">
      <w:pPr>
        <w:pStyle w:val="ListParagraph"/>
        <w:numPr>
          <w:ilvl w:val="2"/>
          <w:numId w:val="8"/>
        </w:numPr>
        <w:spacing w:line="264" w:lineRule="auto"/>
        <w:ind w:left="1400" w:hanging="680"/>
        <w:rPr>
          <w:rFonts w:cs="Arial"/>
        </w:rPr>
      </w:pPr>
      <w:r>
        <w:rPr>
          <w:rFonts w:cs="Arial"/>
        </w:rPr>
        <w:t>D</w:t>
      </w:r>
      <w:r w:rsidRPr="00FC45E9">
        <w:rPr>
          <w:rFonts w:cs="Arial"/>
        </w:rPr>
        <w:t xml:space="preserve">evelopers may wish to consider other forms of </w:t>
      </w:r>
      <w:r>
        <w:rPr>
          <w:rFonts w:cs="Arial"/>
        </w:rPr>
        <w:t xml:space="preserve">commercial </w:t>
      </w:r>
      <w:r w:rsidRPr="00FC45E9">
        <w:rPr>
          <w:rFonts w:cs="Arial"/>
        </w:rPr>
        <w:t>engagement with landowners (as well as neighbours and community members) that may allow for equity and/or debt participation in the ownership of the project.</w:t>
      </w:r>
    </w:p>
    <w:p w14:paraId="1A4F412F"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The project’s construction plan</w:t>
      </w:r>
      <w:r>
        <w:rPr>
          <w:rFonts w:cs="Arial"/>
        </w:rPr>
        <w:t>, transportation plan</w:t>
      </w:r>
      <w:r w:rsidRPr="00FC45E9">
        <w:rPr>
          <w:rFonts w:cs="Arial"/>
        </w:rPr>
        <w:t xml:space="preserve"> and </w:t>
      </w:r>
      <w:r>
        <w:rPr>
          <w:rFonts w:cs="Arial"/>
        </w:rPr>
        <w:t xml:space="preserve">overall project </w:t>
      </w:r>
      <w:r w:rsidRPr="00FC45E9">
        <w:rPr>
          <w:rFonts w:cs="Arial"/>
        </w:rPr>
        <w:t>design should be developed in close consultation with the landowners and designed so to respect the landowner’s need to be able to continue primary production operations during and following construction</w:t>
      </w:r>
      <w:r>
        <w:rPr>
          <w:rFonts w:cs="Arial"/>
        </w:rPr>
        <w:t xml:space="preserve"> where applicable</w:t>
      </w:r>
      <w:r w:rsidRPr="00FC45E9">
        <w:rPr>
          <w:rFonts w:cs="Arial"/>
        </w:rPr>
        <w:t>. Particular attention should be given to paddock/gate management and the impact of access roads to ongoing farming activities. Key contacts at the developer and/or its contractors should be provided to landowners to allow landowners to raise and escalate issues that arise during construction. Developers should also meet regularly with landowners during construction to discuss and resolve issues a</w:t>
      </w:r>
      <w:r>
        <w:rPr>
          <w:rFonts w:cs="Arial"/>
        </w:rPr>
        <w:t>s well as</w:t>
      </w:r>
      <w:r w:rsidRPr="00FC45E9">
        <w:rPr>
          <w:rFonts w:cs="Arial"/>
        </w:rPr>
        <w:t xml:space="preserve"> keep landowners informed of the project’s status.</w:t>
      </w:r>
    </w:p>
    <w:p w14:paraId="6D845986"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To ensure that professional conduct and standards are consistently adhered to by </w:t>
      </w:r>
      <w:r>
        <w:rPr>
          <w:rFonts w:cs="Arial"/>
        </w:rPr>
        <w:t xml:space="preserve">project prospectors and </w:t>
      </w:r>
      <w:r w:rsidRPr="00FC45E9">
        <w:rPr>
          <w:rFonts w:cs="Arial"/>
        </w:rPr>
        <w:t xml:space="preserve">developers, state governments should </w:t>
      </w:r>
      <w:r>
        <w:rPr>
          <w:rFonts w:cs="Arial"/>
        </w:rPr>
        <w:t>develop mechanisms to promote and motivate best practice behaviour by prospectors – both in terms of preferred site selection for prospecting and the engagement with landowners and community. Some examples include the NSW Government’s ‘Renewable Energy Zone’ (REZ) designations, the Victorian Government’s ‘VRET’ program, ACT’s ‘Reverse Auction’ program and Queensland’s ‘RE400’ program. A further approach would be the acc</w:t>
      </w:r>
      <w:r w:rsidRPr="00FC45E9">
        <w:rPr>
          <w:rFonts w:cs="Arial"/>
        </w:rPr>
        <w:t>redit</w:t>
      </w:r>
      <w:r>
        <w:rPr>
          <w:rFonts w:cs="Arial"/>
        </w:rPr>
        <w:t>at</w:t>
      </w:r>
      <w:r w:rsidRPr="00FC45E9">
        <w:rPr>
          <w:rFonts w:cs="Arial"/>
        </w:rPr>
        <w:t>i</w:t>
      </w:r>
      <w:r>
        <w:rPr>
          <w:rFonts w:cs="Arial"/>
        </w:rPr>
        <w:t>on</w:t>
      </w:r>
      <w:r w:rsidRPr="00FC45E9">
        <w:rPr>
          <w:rFonts w:cs="Arial"/>
        </w:rPr>
        <w:t xml:space="preserve"> </w:t>
      </w:r>
      <w:r>
        <w:rPr>
          <w:rFonts w:cs="Arial"/>
        </w:rPr>
        <w:t xml:space="preserve">of </w:t>
      </w:r>
      <w:r w:rsidRPr="00FC45E9">
        <w:rPr>
          <w:rFonts w:cs="Arial"/>
        </w:rPr>
        <w:t xml:space="preserve">developers </w:t>
      </w:r>
      <w:r>
        <w:rPr>
          <w:rFonts w:cs="Arial"/>
        </w:rPr>
        <w:t>(or adherence to an appropriate code of conduct) this is overseen by an appropriate industry or regulatory body.</w:t>
      </w:r>
      <w:r w:rsidRPr="00FC45E9">
        <w:rPr>
          <w:rFonts w:cs="Arial"/>
        </w:rPr>
        <w:t xml:space="preserve"> </w:t>
      </w:r>
    </w:p>
    <w:p w14:paraId="096B6564" w14:textId="77777777" w:rsidR="001556F0" w:rsidRDefault="001556F0" w:rsidP="001556F0">
      <w:pPr>
        <w:spacing w:line="264" w:lineRule="auto"/>
        <w:rPr>
          <w:rFonts w:cs="Arial"/>
        </w:rPr>
      </w:pPr>
    </w:p>
    <w:p w14:paraId="75A87AE3" w14:textId="77777777" w:rsidR="001556F0" w:rsidRPr="00FC45E9" w:rsidRDefault="001556F0" w:rsidP="001556F0">
      <w:pPr>
        <w:pStyle w:val="Heading2"/>
        <w:numPr>
          <w:ilvl w:val="0"/>
          <w:numId w:val="8"/>
        </w:numPr>
      </w:pPr>
      <w:bookmarkStart w:id="37" w:name="_Toc51224049"/>
      <w:bookmarkStart w:id="38" w:name="_Toc84430830"/>
      <w:r w:rsidRPr="00FC45E9">
        <w:lastRenderedPageBreak/>
        <w:t>Neighbour</w:t>
      </w:r>
      <w:bookmarkEnd w:id="37"/>
      <w:r>
        <w:t xml:space="preserve"> Matters</w:t>
      </w:r>
      <w:bookmarkEnd w:id="38"/>
    </w:p>
    <w:p w14:paraId="5B7F4402" w14:textId="77777777" w:rsidR="001556F0" w:rsidRPr="00FC45E9" w:rsidRDefault="001556F0" w:rsidP="001556F0">
      <w:pPr>
        <w:pStyle w:val="ListParagraph"/>
        <w:numPr>
          <w:ilvl w:val="1"/>
          <w:numId w:val="8"/>
        </w:numPr>
        <w:spacing w:line="264" w:lineRule="auto"/>
        <w:rPr>
          <w:rFonts w:cs="Arial"/>
          <w:b/>
        </w:rPr>
      </w:pPr>
      <w:r w:rsidRPr="00FC45E9">
        <w:rPr>
          <w:rFonts w:cs="Arial"/>
          <w:b/>
        </w:rPr>
        <w:t>Observations</w:t>
      </w:r>
    </w:p>
    <w:p w14:paraId="3C60F025"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Background</w:t>
      </w:r>
    </w:p>
    <w:p w14:paraId="6DE99919"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Most </w:t>
      </w:r>
      <w:r>
        <w:rPr>
          <w:rFonts w:cs="Arial"/>
        </w:rPr>
        <w:t xml:space="preserve">large-scale renewable </w:t>
      </w:r>
      <w:r w:rsidRPr="00FC45E9">
        <w:rPr>
          <w:rFonts w:cs="Arial"/>
        </w:rPr>
        <w:t xml:space="preserve">energy projects will have neighbours. Neighbours are residents or owners of the neighbouring properties </w:t>
      </w:r>
      <w:r>
        <w:rPr>
          <w:rFonts w:cs="Arial"/>
        </w:rPr>
        <w:t>in proximity</w:t>
      </w:r>
      <w:r w:rsidRPr="00FC45E9">
        <w:rPr>
          <w:rFonts w:cs="Arial"/>
        </w:rPr>
        <w:t xml:space="preserve"> to the </w:t>
      </w:r>
      <w:r>
        <w:rPr>
          <w:rFonts w:cs="Arial"/>
        </w:rPr>
        <w:t xml:space="preserve">proposed project, </w:t>
      </w:r>
      <w:r w:rsidRPr="00FC45E9">
        <w:rPr>
          <w:rFonts w:cs="Arial"/>
        </w:rPr>
        <w:t xml:space="preserve">either in adjoining properties or properties </w:t>
      </w:r>
      <w:r>
        <w:rPr>
          <w:rFonts w:cs="Arial"/>
        </w:rPr>
        <w:t xml:space="preserve">very close </w:t>
      </w:r>
      <w:r w:rsidRPr="00FC45E9">
        <w:rPr>
          <w:rFonts w:cs="Arial"/>
        </w:rPr>
        <w:t xml:space="preserve">to the </w:t>
      </w:r>
      <w:r>
        <w:rPr>
          <w:rFonts w:cs="Arial"/>
        </w:rPr>
        <w:t>project</w:t>
      </w:r>
      <w:r w:rsidRPr="00FC45E9">
        <w:rPr>
          <w:rFonts w:cs="Arial"/>
        </w:rPr>
        <w:t xml:space="preserve">. There may also be neighbours that are not in direct proximity to the </w:t>
      </w:r>
      <w:r>
        <w:rPr>
          <w:rFonts w:cs="Arial"/>
        </w:rPr>
        <w:t xml:space="preserve">project </w:t>
      </w:r>
      <w:r w:rsidRPr="00FC45E9">
        <w:rPr>
          <w:rFonts w:cs="Arial"/>
        </w:rPr>
        <w:t xml:space="preserve">that could be affected by other related </w:t>
      </w:r>
      <w:r>
        <w:rPr>
          <w:rFonts w:cs="Arial"/>
        </w:rPr>
        <w:t xml:space="preserve">project </w:t>
      </w:r>
      <w:r w:rsidRPr="00FC45E9">
        <w:rPr>
          <w:rFonts w:cs="Arial"/>
        </w:rPr>
        <w:t>infrastructure, such as high voltage power lines and road</w:t>
      </w:r>
      <w:r>
        <w:rPr>
          <w:rFonts w:cs="Arial"/>
        </w:rPr>
        <w:t>s used for transport</w:t>
      </w:r>
      <w:r w:rsidRPr="00FC45E9">
        <w:rPr>
          <w:rFonts w:cs="Arial"/>
        </w:rPr>
        <w:t xml:space="preserve"> </w:t>
      </w:r>
      <w:r>
        <w:rPr>
          <w:rFonts w:cs="Arial"/>
        </w:rPr>
        <w:t>to and from the project.</w:t>
      </w:r>
    </w:p>
    <w:p w14:paraId="35A3563C"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Neighbours may also include functional facilities, such as an airfield, where a proposed wind farm could have significant impact on the ongoing operation and safety integrity of the facility.</w:t>
      </w:r>
    </w:p>
    <w:p w14:paraId="563002E7"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Neighbours can be </w:t>
      </w:r>
      <w:r>
        <w:rPr>
          <w:rFonts w:cs="Arial"/>
        </w:rPr>
        <w:t xml:space="preserve">materially </w:t>
      </w:r>
      <w:r w:rsidRPr="00FC45E9">
        <w:rPr>
          <w:rFonts w:cs="Arial"/>
        </w:rPr>
        <w:t xml:space="preserve">impacted by the development, construction and operation phases of </w:t>
      </w:r>
      <w:r>
        <w:rPr>
          <w:rFonts w:cs="Arial"/>
        </w:rPr>
        <w:t xml:space="preserve">the project. </w:t>
      </w:r>
      <w:r w:rsidRPr="00FC45E9">
        <w:rPr>
          <w:rFonts w:cs="Arial"/>
        </w:rPr>
        <w:t xml:space="preserve">Impacts can include </w:t>
      </w:r>
      <w:r>
        <w:rPr>
          <w:rFonts w:cs="Arial"/>
        </w:rPr>
        <w:t>dust, disruptions,</w:t>
      </w:r>
      <w:r w:rsidRPr="00FC45E9">
        <w:rPr>
          <w:rFonts w:cs="Arial"/>
        </w:rPr>
        <w:t xml:space="preserve"> </w:t>
      </w:r>
      <w:r>
        <w:rPr>
          <w:rFonts w:cs="Arial"/>
        </w:rPr>
        <w:t xml:space="preserve">road damage, blocked roads, </w:t>
      </w:r>
      <w:r w:rsidRPr="00FC45E9">
        <w:rPr>
          <w:rFonts w:cs="Arial"/>
        </w:rPr>
        <w:t xml:space="preserve">visual amenity, noise, shadow flicker and economic loss – both the </w:t>
      </w:r>
      <w:r>
        <w:rPr>
          <w:rFonts w:cs="Arial"/>
        </w:rPr>
        <w:t>concerns</w:t>
      </w:r>
      <w:r w:rsidRPr="00FC45E9">
        <w:rPr>
          <w:rFonts w:cs="Arial"/>
        </w:rPr>
        <w:t xml:space="preserve"> in anticipation of these impacts as well as actual impacts once the </w:t>
      </w:r>
      <w:r>
        <w:rPr>
          <w:rFonts w:cs="Arial"/>
        </w:rPr>
        <w:t xml:space="preserve">project commences construction or </w:t>
      </w:r>
      <w:r w:rsidRPr="00FC45E9">
        <w:rPr>
          <w:rFonts w:cs="Arial"/>
        </w:rPr>
        <w:t xml:space="preserve">is operating. </w:t>
      </w:r>
    </w:p>
    <w:p w14:paraId="0AEC4039"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Consultation</w:t>
      </w:r>
    </w:p>
    <w:p w14:paraId="24687831"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While developers have generally engaged and consulted </w:t>
      </w:r>
      <w:r>
        <w:rPr>
          <w:rFonts w:cs="Arial"/>
        </w:rPr>
        <w:t xml:space="preserve">well </w:t>
      </w:r>
      <w:r w:rsidRPr="00FC45E9">
        <w:rPr>
          <w:rFonts w:cs="Arial"/>
        </w:rPr>
        <w:t xml:space="preserve">with potential host landowners, developers have not always understood the importance of consulting and working with neighbours in proximity to a project. </w:t>
      </w:r>
      <w:r>
        <w:rPr>
          <w:rFonts w:cs="Arial"/>
        </w:rPr>
        <w:t xml:space="preserve">Typical </w:t>
      </w:r>
      <w:r w:rsidRPr="00FC45E9">
        <w:rPr>
          <w:rFonts w:cs="Arial"/>
        </w:rPr>
        <w:t>complaint</w:t>
      </w:r>
      <w:r>
        <w:rPr>
          <w:rFonts w:cs="Arial"/>
        </w:rPr>
        <w:t>s that</w:t>
      </w:r>
      <w:r w:rsidRPr="00FC45E9">
        <w:rPr>
          <w:rFonts w:cs="Arial"/>
        </w:rPr>
        <w:t xml:space="preserve"> </w:t>
      </w:r>
      <w:r>
        <w:rPr>
          <w:rFonts w:cs="Arial"/>
        </w:rPr>
        <w:t xml:space="preserve">the Office </w:t>
      </w:r>
      <w:r w:rsidRPr="00FC45E9">
        <w:rPr>
          <w:rFonts w:cs="Arial"/>
        </w:rPr>
        <w:t>ha</w:t>
      </w:r>
      <w:r>
        <w:rPr>
          <w:rFonts w:cs="Arial"/>
        </w:rPr>
        <w:t>s</w:t>
      </w:r>
      <w:r w:rsidRPr="00FC45E9">
        <w:rPr>
          <w:rFonts w:cs="Arial"/>
        </w:rPr>
        <w:t xml:space="preserve"> received from </w:t>
      </w:r>
      <w:r>
        <w:rPr>
          <w:rFonts w:cs="Arial"/>
        </w:rPr>
        <w:t>project n</w:t>
      </w:r>
      <w:r w:rsidRPr="00FC45E9">
        <w:rPr>
          <w:rFonts w:cs="Arial"/>
        </w:rPr>
        <w:t>eighbours is that they were not consulted by the developer</w:t>
      </w:r>
      <w:r>
        <w:rPr>
          <w:rFonts w:cs="Arial"/>
        </w:rPr>
        <w:t xml:space="preserve"> and only heard about the project from third parties</w:t>
      </w:r>
      <w:r w:rsidRPr="00FC45E9">
        <w:rPr>
          <w:rFonts w:cs="Arial"/>
        </w:rPr>
        <w:t xml:space="preserve">. Often there is limited evidence to </w:t>
      </w:r>
      <w:r>
        <w:rPr>
          <w:rFonts w:cs="Arial"/>
        </w:rPr>
        <w:t xml:space="preserve">verify </w:t>
      </w:r>
      <w:r w:rsidRPr="00FC45E9">
        <w:rPr>
          <w:rFonts w:cs="Arial"/>
        </w:rPr>
        <w:t xml:space="preserve">the </w:t>
      </w:r>
      <w:r>
        <w:rPr>
          <w:rFonts w:cs="Arial"/>
        </w:rPr>
        <w:t xml:space="preserve">degree and </w:t>
      </w:r>
      <w:r w:rsidRPr="00FC45E9">
        <w:rPr>
          <w:rFonts w:cs="Arial"/>
        </w:rPr>
        <w:t>level of consultation and interactions between the developer and neighbours</w:t>
      </w:r>
      <w:r>
        <w:rPr>
          <w:rFonts w:cs="Arial"/>
        </w:rPr>
        <w:t xml:space="preserve"> to the project</w:t>
      </w:r>
      <w:r w:rsidRPr="00FC45E9">
        <w:rPr>
          <w:rFonts w:cs="Arial"/>
        </w:rPr>
        <w:t>.</w:t>
      </w:r>
    </w:p>
    <w:p w14:paraId="56D7AD17"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Consultation may include a wide range of topics, such as:</w:t>
      </w:r>
    </w:p>
    <w:p w14:paraId="2B183B86" w14:textId="77777777" w:rsidR="001556F0" w:rsidRDefault="001556F0" w:rsidP="001556F0">
      <w:pPr>
        <w:pStyle w:val="ListBullet"/>
        <w:numPr>
          <w:ilvl w:val="0"/>
          <w:numId w:val="10"/>
        </w:numPr>
        <w:spacing w:line="264" w:lineRule="auto"/>
        <w:rPr>
          <w:rFonts w:cs="Arial"/>
        </w:rPr>
      </w:pPr>
      <w:r w:rsidRPr="00FC45E9">
        <w:rPr>
          <w:rFonts w:cs="Arial"/>
        </w:rPr>
        <w:t xml:space="preserve">consulting with neighbours on the </w:t>
      </w:r>
      <w:r>
        <w:rPr>
          <w:rFonts w:cs="Arial"/>
        </w:rPr>
        <w:t>project</w:t>
      </w:r>
      <w:r w:rsidRPr="00FC45E9">
        <w:rPr>
          <w:rFonts w:cs="Arial"/>
        </w:rPr>
        <w:t xml:space="preserve">’s design and layout, especially during the early scoping and design stages, </w:t>
      </w:r>
      <w:r>
        <w:rPr>
          <w:rFonts w:cs="Arial"/>
        </w:rPr>
        <w:t xml:space="preserve">so to </w:t>
      </w:r>
      <w:r w:rsidRPr="00FC45E9">
        <w:rPr>
          <w:rFonts w:cs="Arial"/>
        </w:rPr>
        <w:t>enable a fact-based discussion about landscape/amenity impacts</w:t>
      </w:r>
    </w:p>
    <w:p w14:paraId="5BB05A4C" w14:textId="77777777" w:rsidR="001556F0" w:rsidRPr="00FC45E9" w:rsidRDefault="001556F0" w:rsidP="001556F0">
      <w:pPr>
        <w:pStyle w:val="ListBullet"/>
        <w:numPr>
          <w:ilvl w:val="0"/>
          <w:numId w:val="10"/>
        </w:numPr>
        <w:spacing w:line="264" w:lineRule="auto"/>
        <w:rPr>
          <w:rFonts w:cs="Arial"/>
        </w:rPr>
      </w:pPr>
      <w:r>
        <w:rPr>
          <w:rFonts w:cs="Arial"/>
        </w:rPr>
        <w:t>consulting with neighbours to explain the planning process and opportunities for neighbours to engage in that process</w:t>
      </w:r>
    </w:p>
    <w:p w14:paraId="1784EE8D" w14:textId="77777777" w:rsidR="001556F0" w:rsidRPr="00FC45E9" w:rsidRDefault="001556F0" w:rsidP="001556F0">
      <w:pPr>
        <w:pStyle w:val="ListBullet"/>
        <w:numPr>
          <w:ilvl w:val="0"/>
          <w:numId w:val="10"/>
        </w:numPr>
        <w:spacing w:line="264" w:lineRule="auto"/>
        <w:rPr>
          <w:rFonts w:cs="Arial"/>
        </w:rPr>
      </w:pPr>
      <w:r w:rsidRPr="00FC45E9">
        <w:rPr>
          <w:rFonts w:cs="Arial"/>
        </w:rPr>
        <w:t xml:space="preserve">consulting with neighbours on the process and oversight of </w:t>
      </w:r>
      <w:r>
        <w:rPr>
          <w:rFonts w:cs="Arial"/>
        </w:rPr>
        <w:t xml:space="preserve">specific </w:t>
      </w:r>
      <w:r w:rsidRPr="00FC45E9">
        <w:rPr>
          <w:rFonts w:cs="Arial"/>
        </w:rPr>
        <w:t>activities</w:t>
      </w:r>
      <w:r>
        <w:rPr>
          <w:rFonts w:cs="Arial"/>
        </w:rPr>
        <w:t>,</w:t>
      </w:r>
      <w:r w:rsidRPr="00FC45E9">
        <w:rPr>
          <w:rFonts w:cs="Arial"/>
        </w:rPr>
        <w:t xml:space="preserve"> such as predictive noise assessments, post construction noise testing, environment, aviation, </w:t>
      </w:r>
      <w:r>
        <w:rPr>
          <w:rFonts w:cs="Arial"/>
        </w:rPr>
        <w:t xml:space="preserve">transport management plan, </w:t>
      </w:r>
      <w:r w:rsidRPr="00FC45E9">
        <w:rPr>
          <w:rFonts w:cs="Arial"/>
        </w:rPr>
        <w:t>shadow flicker and visual amenity assessments</w:t>
      </w:r>
    </w:p>
    <w:p w14:paraId="61C06200" w14:textId="77777777" w:rsidR="001556F0" w:rsidRPr="00FC45E9" w:rsidRDefault="001556F0" w:rsidP="001556F0">
      <w:pPr>
        <w:pStyle w:val="ListBullet"/>
        <w:numPr>
          <w:ilvl w:val="0"/>
          <w:numId w:val="10"/>
        </w:numPr>
        <w:spacing w:line="264" w:lineRule="auto"/>
        <w:rPr>
          <w:rFonts w:cs="Arial"/>
        </w:rPr>
      </w:pPr>
      <w:r w:rsidRPr="00FC45E9">
        <w:rPr>
          <w:rFonts w:cs="Arial"/>
        </w:rPr>
        <w:t xml:space="preserve">advising and consulting on subsequent proposed changes to the </w:t>
      </w:r>
      <w:r>
        <w:rPr>
          <w:rFonts w:cs="Arial"/>
        </w:rPr>
        <w:t xml:space="preserve">project’s </w:t>
      </w:r>
      <w:r w:rsidRPr="00FC45E9">
        <w:rPr>
          <w:rFonts w:cs="Arial"/>
        </w:rPr>
        <w:t xml:space="preserve">design, layout and </w:t>
      </w:r>
      <w:r>
        <w:rPr>
          <w:rFonts w:cs="Arial"/>
        </w:rPr>
        <w:t xml:space="preserve">equipment </w:t>
      </w:r>
      <w:r w:rsidRPr="00FC45E9">
        <w:rPr>
          <w:rFonts w:cs="Arial"/>
        </w:rPr>
        <w:t>selection</w:t>
      </w:r>
    </w:p>
    <w:p w14:paraId="2C7C7E7B" w14:textId="77777777" w:rsidR="001556F0" w:rsidRPr="00FC45E9" w:rsidRDefault="001556F0" w:rsidP="001556F0">
      <w:pPr>
        <w:pStyle w:val="ListBullet"/>
        <w:numPr>
          <w:ilvl w:val="0"/>
          <w:numId w:val="10"/>
        </w:numPr>
        <w:spacing w:line="264" w:lineRule="auto"/>
        <w:rPr>
          <w:rFonts w:cs="Arial"/>
        </w:rPr>
      </w:pPr>
      <w:r w:rsidRPr="00FC45E9">
        <w:rPr>
          <w:rFonts w:cs="Arial"/>
        </w:rPr>
        <w:t xml:space="preserve">ensuring background and operating noise testing </w:t>
      </w:r>
      <w:r>
        <w:rPr>
          <w:rFonts w:cs="Arial"/>
        </w:rPr>
        <w:t xml:space="preserve">(for wind farms) </w:t>
      </w:r>
      <w:r w:rsidRPr="00FC45E9">
        <w:rPr>
          <w:rFonts w:cs="Arial"/>
        </w:rPr>
        <w:t>is properly undertaken and results are provided in a timely fashion and appropriate format to neighbours</w:t>
      </w:r>
    </w:p>
    <w:p w14:paraId="3F0CFE6A" w14:textId="77777777" w:rsidR="001556F0" w:rsidRPr="00FC45E9" w:rsidRDefault="001556F0" w:rsidP="001556F0">
      <w:pPr>
        <w:pStyle w:val="ListBullet"/>
        <w:numPr>
          <w:ilvl w:val="0"/>
          <w:numId w:val="10"/>
        </w:numPr>
        <w:spacing w:line="264" w:lineRule="auto"/>
        <w:rPr>
          <w:rFonts w:cs="Arial"/>
        </w:rPr>
      </w:pPr>
      <w:r w:rsidRPr="00FC45E9">
        <w:rPr>
          <w:rFonts w:cs="Arial"/>
        </w:rPr>
        <w:t>providing factual information to address questions and concerns raised by neighbours, and</w:t>
      </w:r>
    </w:p>
    <w:p w14:paraId="7088F827" w14:textId="77777777" w:rsidR="001556F0" w:rsidRDefault="001556F0" w:rsidP="001556F0">
      <w:pPr>
        <w:pStyle w:val="ListBullet"/>
        <w:numPr>
          <w:ilvl w:val="0"/>
          <w:numId w:val="10"/>
        </w:numPr>
        <w:spacing w:line="264" w:lineRule="auto"/>
        <w:rPr>
          <w:rFonts w:cs="Arial"/>
        </w:rPr>
      </w:pPr>
      <w:r w:rsidRPr="00FC45E9">
        <w:rPr>
          <w:rFonts w:cs="Arial"/>
        </w:rPr>
        <w:t xml:space="preserve">facilitating site visits for neighbours to existing operating </w:t>
      </w:r>
      <w:r>
        <w:rPr>
          <w:rFonts w:cs="Arial"/>
        </w:rPr>
        <w:t xml:space="preserve">projects </w:t>
      </w:r>
      <w:r w:rsidRPr="00FC45E9">
        <w:rPr>
          <w:rFonts w:cs="Arial"/>
        </w:rPr>
        <w:t xml:space="preserve">to allow the neighbour to experience a </w:t>
      </w:r>
      <w:r>
        <w:rPr>
          <w:rFonts w:cs="Arial"/>
        </w:rPr>
        <w:t xml:space="preserve">completed project </w:t>
      </w:r>
      <w:r w:rsidRPr="00FC45E9">
        <w:rPr>
          <w:rFonts w:cs="Arial"/>
        </w:rPr>
        <w:t xml:space="preserve">farm first-hand. </w:t>
      </w:r>
    </w:p>
    <w:p w14:paraId="51A4F397" w14:textId="77777777" w:rsidR="001556F0" w:rsidRPr="00FC45E9" w:rsidRDefault="001556F0" w:rsidP="001556F0">
      <w:pPr>
        <w:pStyle w:val="ListBullet"/>
        <w:numPr>
          <w:ilvl w:val="0"/>
          <w:numId w:val="10"/>
        </w:numPr>
        <w:spacing w:line="264" w:lineRule="auto"/>
        <w:rPr>
          <w:rFonts w:cs="Arial"/>
        </w:rPr>
      </w:pPr>
      <w:r>
        <w:rPr>
          <w:rFonts w:cs="Arial"/>
        </w:rPr>
        <w:t>a</w:t>
      </w:r>
      <w:r w:rsidRPr="00FC45E9">
        <w:rPr>
          <w:rFonts w:cs="Arial"/>
        </w:rPr>
        <w:t xml:space="preserve">lternately, </w:t>
      </w:r>
      <w:r>
        <w:rPr>
          <w:rFonts w:cs="Arial"/>
        </w:rPr>
        <w:t xml:space="preserve">devices such as </w:t>
      </w:r>
      <w:r w:rsidRPr="00FC45E9">
        <w:rPr>
          <w:rFonts w:cs="Arial"/>
        </w:rPr>
        <w:t>wind farm noise simulators are available to enable neighbours and other stakeholders the opportunity to experience noise outputs of a wind farm in a wide range of scenarios.</w:t>
      </w:r>
    </w:p>
    <w:p w14:paraId="4021D8C6"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lastRenderedPageBreak/>
        <w:t>Lack of effective consultation with neighbours can lead to a range of material issues for a project, including conspicuous opposition to the project</w:t>
      </w:r>
      <w:r>
        <w:rPr>
          <w:rFonts w:cs="Arial"/>
        </w:rPr>
        <w:t xml:space="preserve"> (and any modifications to the proposed project)</w:t>
      </w:r>
      <w:r w:rsidRPr="00FC45E9">
        <w:rPr>
          <w:rFonts w:cs="Arial"/>
        </w:rPr>
        <w:t xml:space="preserve">, formal objections that may lead to planning/approval delays and appeals, </w:t>
      </w:r>
      <w:r>
        <w:rPr>
          <w:rFonts w:cs="Arial"/>
        </w:rPr>
        <w:t xml:space="preserve">legal actions against the project or planning authority, </w:t>
      </w:r>
      <w:r w:rsidRPr="00FC45E9">
        <w:rPr>
          <w:rFonts w:cs="Arial"/>
        </w:rPr>
        <w:t>the project (or elements of the project) not being approved as well as widespread negative media coverage about the project and the industry more broadly.</w:t>
      </w:r>
    </w:p>
    <w:p w14:paraId="6D85F380"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Neighbour Agreements</w:t>
      </w:r>
    </w:p>
    <w:p w14:paraId="46DB71F5"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In addition to more effective consultation with neighbours throughout the life-cycle of a </w:t>
      </w:r>
      <w:r>
        <w:rPr>
          <w:rFonts w:cs="Arial"/>
        </w:rPr>
        <w:t>project</w:t>
      </w:r>
      <w:r w:rsidRPr="00FC45E9">
        <w:rPr>
          <w:rFonts w:cs="Arial"/>
        </w:rPr>
        <w:t xml:space="preserve">’s development, some developers have introduced the concept of ‘neighbour agreements’. These agreements can provide a commercial arrangement between the </w:t>
      </w:r>
      <w:r>
        <w:rPr>
          <w:rFonts w:cs="Arial"/>
        </w:rPr>
        <w:t xml:space="preserve">project </w:t>
      </w:r>
      <w:r w:rsidRPr="00FC45E9">
        <w:rPr>
          <w:rFonts w:cs="Arial"/>
        </w:rPr>
        <w:t xml:space="preserve">and neighbour that recognises the possible impacts of the </w:t>
      </w:r>
      <w:r>
        <w:rPr>
          <w:rFonts w:cs="Arial"/>
        </w:rPr>
        <w:t>project o</w:t>
      </w:r>
      <w:r w:rsidRPr="00FC45E9">
        <w:rPr>
          <w:rFonts w:cs="Arial"/>
        </w:rPr>
        <w:t>n the neighbour and to gain the neighbour’s support.</w:t>
      </w:r>
    </w:p>
    <w:p w14:paraId="6BAF929A"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Agreements may also be mandatory to gain a permit approval in the event the neighbour is at a risk of experiencing impacts from the </w:t>
      </w:r>
      <w:r>
        <w:rPr>
          <w:rFonts w:cs="Arial"/>
        </w:rPr>
        <w:t xml:space="preserve">project that </w:t>
      </w:r>
      <w:r w:rsidRPr="00FC45E9">
        <w:rPr>
          <w:rFonts w:cs="Arial"/>
        </w:rPr>
        <w:t>exce</w:t>
      </w:r>
      <w:r>
        <w:rPr>
          <w:rFonts w:cs="Arial"/>
        </w:rPr>
        <w:t>ed</w:t>
      </w:r>
      <w:r w:rsidRPr="00FC45E9">
        <w:rPr>
          <w:rFonts w:cs="Arial"/>
        </w:rPr>
        <w:t xml:space="preserve"> permit/standards limits or </w:t>
      </w:r>
      <w:r>
        <w:rPr>
          <w:rFonts w:cs="Arial"/>
        </w:rPr>
        <w:t xml:space="preserve">if they </w:t>
      </w:r>
      <w:r w:rsidRPr="00FC45E9">
        <w:rPr>
          <w:rFonts w:cs="Arial"/>
        </w:rPr>
        <w:t xml:space="preserve">reside within a default setback distance zone. </w:t>
      </w:r>
    </w:p>
    <w:p w14:paraId="49980C8A"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The content of a neighbour agreement is typically confidential to the parties, but may include one or more of the following:</w:t>
      </w:r>
      <w:r>
        <w:rPr>
          <w:rFonts w:cs="Arial"/>
        </w:rPr>
        <w:t xml:space="preserve"> </w:t>
      </w:r>
    </w:p>
    <w:p w14:paraId="6925E7DE" w14:textId="77777777" w:rsidR="001556F0" w:rsidRPr="00FC45E9" w:rsidRDefault="001556F0" w:rsidP="001556F0">
      <w:pPr>
        <w:pStyle w:val="ListParagraph"/>
        <w:numPr>
          <w:ilvl w:val="0"/>
          <w:numId w:val="9"/>
        </w:numPr>
        <w:spacing w:line="264" w:lineRule="auto"/>
        <w:rPr>
          <w:rFonts w:cs="Arial"/>
        </w:rPr>
      </w:pPr>
      <w:r w:rsidRPr="00FC45E9">
        <w:rPr>
          <w:rFonts w:cs="Arial"/>
        </w:rPr>
        <w:t xml:space="preserve">annual payments to the neighbour for the life of the </w:t>
      </w:r>
      <w:r>
        <w:rPr>
          <w:rFonts w:cs="Arial"/>
        </w:rPr>
        <w:t>project</w:t>
      </w:r>
      <w:r w:rsidRPr="00FC45E9">
        <w:rPr>
          <w:rFonts w:cs="Arial"/>
        </w:rPr>
        <w:t xml:space="preserve"> (including payments during the development, construction and operating phases of the </w:t>
      </w:r>
      <w:r>
        <w:rPr>
          <w:rFonts w:cs="Arial"/>
        </w:rPr>
        <w:t>project</w:t>
      </w:r>
      <w:r w:rsidRPr="00FC45E9">
        <w:rPr>
          <w:rFonts w:cs="Arial"/>
        </w:rPr>
        <w:t>)</w:t>
      </w:r>
    </w:p>
    <w:p w14:paraId="6E3D1267" w14:textId="77777777" w:rsidR="001556F0" w:rsidRPr="00FC45E9" w:rsidRDefault="001556F0" w:rsidP="001556F0">
      <w:pPr>
        <w:pStyle w:val="ListParagraph"/>
        <w:numPr>
          <w:ilvl w:val="0"/>
          <w:numId w:val="9"/>
        </w:numPr>
        <w:spacing w:line="264" w:lineRule="auto"/>
        <w:rPr>
          <w:rFonts w:cs="Arial"/>
        </w:rPr>
      </w:pPr>
      <w:r w:rsidRPr="00FC45E9">
        <w:rPr>
          <w:rFonts w:cs="Arial"/>
        </w:rPr>
        <w:t>a one-time payment at the commencement of the agreement</w:t>
      </w:r>
    </w:p>
    <w:p w14:paraId="37F7E2B1" w14:textId="77777777" w:rsidR="001556F0" w:rsidRPr="00FC45E9" w:rsidRDefault="001556F0" w:rsidP="001556F0">
      <w:pPr>
        <w:pStyle w:val="ListParagraph"/>
        <w:numPr>
          <w:ilvl w:val="0"/>
          <w:numId w:val="9"/>
        </w:numPr>
        <w:spacing w:line="264" w:lineRule="auto"/>
        <w:rPr>
          <w:rFonts w:cs="Arial"/>
        </w:rPr>
      </w:pPr>
      <w:r w:rsidRPr="00FC45E9">
        <w:rPr>
          <w:rFonts w:cs="Arial"/>
        </w:rPr>
        <w:t>reimbursement of reasonable legal fees incurred by the neighbour for the review of the agreement</w:t>
      </w:r>
    </w:p>
    <w:p w14:paraId="3BC08215" w14:textId="77777777" w:rsidR="001556F0" w:rsidRDefault="001556F0" w:rsidP="001556F0">
      <w:pPr>
        <w:pStyle w:val="ListParagraph"/>
        <w:numPr>
          <w:ilvl w:val="0"/>
          <w:numId w:val="9"/>
        </w:numPr>
        <w:spacing w:line="264" w:lineRule="auto"/>
        <w:rPr>
          <w:rFonts w:cs="Arial"/>
        </w:rPr>
      </w:pPr>
      <w:r w:rsidRPr="00FC45E9">
        <w:rPr>
          <w:rFonts w:cs="Arial"/>
        </w:rPr>
        <w:t>reimbursement for, or provision of, items such as visual screening, insulation, double-glazing, air-conditioning, energy efficiency programs, solar panels, electricity consumption</w:t>
      </w:r>
      <w:r>
        <w:rPr>
          <w:rFonts w:cs="Arial"/>
        </w:rPr>
        <w:t>, increased insurance premiums</w:t>
      </w:r>
    </w:p>
    <w:p w14:paraId="634B3B0A" w14:textId="77777777" w:rsidR="001556F0" w:rsidRPr="00FC45E9" w:rsidRDefault="001556F0" w:rsidP="001556F0">
      <w:pPr>
        <w:pStyle w:val="ListParagraph"/>
        <w:numPr>
          <w:ilvl w:val="0"/>
          <w:numId w:val="9"/>
        </w:numPr>
        <w:spacing w:line="264" w:lineRule="auto"/>
        <w:rPr>
          <w:rFonts w:cs="Arial"/>
        </w:rPr>
      </w:pPr>
      <w:r>
        <w:rPr>
          <w:rFonts w:cs="Arial"/>
        </w:rPr>
        <w:t>reimbursement for any increased insurance premiums levied to the neighbour as a result of any increases to the sums insured for public liability due to the presence of the wind or solar farm</w:t>
      </w:r>
    </w:p>
    <w:p w14:paraId="5824DF8C" w14:textId="77777777" w:rsidR="001556F0" w:rsidRPr="00FC45E9" w:rsidRDefault="001556F0" w:rsidP="001556F0">
      <w:pPr>
        <w:pStyle w:val="ListParagraph"/>
        <w:numPr>
          <w:ilvl w:val="0"/>
          <w:numId w:val="9"/>
        </w:numPr>
        <w:spacing w:line="264" w:lineRule="auto"/>
        <w:rPr>
          <w:rFonts w:cs="Arial"/>
        </w:rPr>
      </w:pPr>
      <w:r w:rsidRPr="00FC45E9">
        <w:rPr>
          <w:rFonts w:cs="Arial"/>
        </w:rPr>
        <w:t xml:space="preserve">an option for the neighbour to request that the developer acquire </w:t>
      </w:r>
      <w:r>
        <w:rPr>
          <w:rFonts w:cs="Arial"/>
        </w:rPr>
        <w:t>the neighbour’s</w:t>
      </w:r>
      <w:r w:rsidRPr="00FC45E9">
        <w:rPr>
          <w:rFonts w:cs="Arial"/>
        </w:rPr>
        <w:t xml:space="preserve"> property</w:t>
      </w:r>
      <w:r>
        <w:rPr>
          <w:rFonts w:cs="Arial"/>
        </w:rPr>
        <w:t>, and</w:t>
      </w:r>
    </w:p>
    <w:p w14:paraId="19A0F3CD" w14:textId="77777777" w:rsidR="001556F0" w:rsidRPr="00FC45E9" w:rsidRDefault="001556F0" w:rsidP="001556F0">
      <w:pPr>
        <w:pStyle w:val="ListParagraph"/>
        <w:numPr>
          <w:ilvl w:val="0"/>
          <w:numId w:val="9"/>
        </w:numPr>
        <w:spacing w:line="264" w:lineRule="auto"/>
        <w:rPr>
          <w:rFonts w:cs="Arial"/>
        </w:rPr>
      </w:pPr>
      <w:r w:rsidRPr="00FC45E9">
        <w:rPr>
          <w:rFonts w:cs="Arial"/>
        </w:rPr>
        <w:t>ability for a neighbour to terminate an agreement without penalty.</w:t>
      </w:r>
    </w:p>
    <w:p w14:paraId="4EB5AF34" w14:textId="77777777" w:rsidR="001556F0" w:rsidRPr="00FC45E9" w:rsidRDefault="001556F0" w:rsidP="001556F0">
      <w:pPr>
        <w:pStyle w:val="ListParagraph"/>
        <w:numPr>
          <w:ilvl w:val="0"/>
          <w:numId w:val="0"/>
        </w:numPr>
        <w:spacing w:line="264" w:lineRule="auto"/>
        <w:ind w:left="360"/>
        <w:rPr>
          <w:rFonts w:cs="Arial"/>
        </w:rPr>
      </w:pPr>
      <w:r>
        <w:rPr>
          <w:rFonts w:cs="Arial"/>
        </w:rPr>
        <w:t>Most</w:t>
      </w:r>
      <w:r w:rsidRPr="00FC45E9">
        <w:rPr>
          <w:rFonts w:cs="Arial"/>
        </w:rPr>
        <w:t xml:space="preserve"> neighbour agreements are voluntary and it is up to the developer to propose and negotiate such an agreement with the neighbour. Some developers have </w:t>
      </w:r>
      <w:r>
        <w:rPr>
          <w:rFonts w:cs="Arial"/>
        </w:rPr>
        <w:t xml:space="preserve">designed </w:t>
      </w:r>
      <w:r w:rsidRPr="00FC45E9">
        <w:rPr>
          <w:rFonts w:cs="Arial"/>
        </w:rPr>
        <w:t xml:space="preserve">neighbour agreement payments based </w:t>
      </w:r>
      <w:r>
        <w:rPr>
          <w:rFonts w:cs="Arial"/>
        </w:rPr>
        <w:t xml:space="preserve">on </w:t>
      </w:r>
      <w:r w:rsidRPr="00FC45E9">
        <w:rPr>
          <w:rFonts w:cs="Arial"/>
        </w:rPr>
        <w:t>a formula of distance from a residence to the turbine(s) and the number of turbines located within that distance.</w:t>
      </w:r>
      <w:r>
        <w:rPr>
          <w:rFonts w:cs="Arial"/>
        </w:rPr>
        <w:t xml:space="preserve"> </w:t>
      </w:r>
    </w:p>
    <w:p w14:paraId="2B0F2C6B"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The Office has observed some proposed neighbour agreements </w:t>
      </w:r>
      <w:r>
        <w:rPr>
          <w:rFonts w:cs="Arial"/>
        </w:rPr>
        <w:t xml:space="preserve">that </w:t>
      </w:r>
      <w:r w:rsidRPr="00FC45E9">
        <w:rPr>
          <w:rFonts w:cs="Arial"/>
        </w:rPr>
        <w:t xml:space="preserve">contain clauses </w:t>
      </w:r>
      <w:r>
        <w:rPr>
          <w:rFonts w:cs="Arial"/>
        </w:rPr>
        <w:t>which</w:t>
      </w:r>
      <w:r w:rsidRPr="00FC45E9">
        <w:rPr>
          <w:rFonts w:cs="Arial"/>
        </w:rPr>
        <w:t xml:space="preserve"> may not be fair and reasonable to the neighbour. Such clauses observed include the right for the </w:t>
      </w:r>
      <w:r>
        <w:rPr>
          <w:rFonts w:cs="Arial"/>
        </w:rPr>
        <w:t xml:space="preserve">project </w:t>
      </w:r>
      <w:r w:rsidRPr="00FC45E9">
        <w:rPr>
          <w:rFonts w:cs="Arial"/>
        </w:rPr>
        <w:t xml:space="preserve">not to conform to the permit conditions that would normally apply to the neighbour (including noise levels and shadow flicker), the ability for the </w:t>
      </w:r>
      <w:r>
        <w:rPr>
          <w:rFonts w:cs="Arial"/>
        </w:rPr>
        <w:t xml:space="preserve">developer </w:t>
      </w:r>
      <w:r w:rsidRPr="00FC45E9">
        <w:rPr>
          <w:rFonts w:cs="Arial"/>
        </w:rPr>
        <w:t xml:space="preserve">to terminate the agreement while the </w:t>
      </w:r>
      <w:r>
        <w:rPr>
          <w:rFonts w:cs="Arial"/>
        </w:rPr>
        <w:t xml:space="preserve">project </w:t>
      </w:r>
      <w:r w:rsidRPr="00FC45E9">
        <w:rPr>
          <w:rFonts w:cs="Arial"/>
        </w:rPr>
        <w:t>is still operating</w:t>
      </w:r>
      <w:r>
        <w:rPr>
          <w:rFonts w:cs="Arial"/>
        </w:rPr>
        <w:t xml:space="preserve"> – either </w:t>
      </w:r>
      <w:r w:rsidRPr="00FC45E9">
        <w:rPr>
          <w:rFonts w:cs="Arial"/>
        </w:rPr>
        <w:t xml:space="preserve">without cause or with questionable cause </w:t>
      </w:r>
      <w:r>
        <w:rPr>
          <w:rFonts w:cs="Arial"/>
        </w:rPr>
        <w:t xml:space="preserve">– as </w:t>
      </w:r>
      <w:r w:rsidRPr="00FC45E9">
        <w:rPr>
          <w:rFonts w:cs="Arial"/>
        </w:rPr>
        <w:t>well as clauses that could be construed to restrict the neighbour’s right to make a complaint.</w:t>
      </w:r>
    </w:p>
    <w:p w14:paraId="0027C623"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Further, some neighbour agreements seek to impose stringent planning restrictions on the neighbour for any </w:t>
      </w:r>
      <w:r>
        <w:rPr>
          <w:rFonts w:cs="Arial"/>
        </w:rPr>
        <w:t>new</w:t>
      </w:r>
      <w:r w:rsidRPr="00FC45E9">
        <w:rPr>
          <w:rFonts w:cs="Arial"/>
        </w:rPr>
        <w:t xml:space="preserve"> development or construction on the neighbour’s property. </w:t>
      </w:r>
      <w:r>
        <w:rPr>
          <w:rFonts w:cs="Arial"/>
        </w:rPr>
        <w:t>The Commissioner’s</w:t>
      </w:r>
      <w:r w:rsidRPr="00FC45E9">
        <w:rPr>
          <w:rFonts w:cs="Arial"/>
        </w:rPr>
        <w:t xml:space="preserve"> view is that these clauses are unnecessary and the neighbour should simply be required to comply with the planning rules and laws of the jurisdiction.</w:t>
      </w:r>
    </w:p>
    <w:p w14:paraId="10E8E836"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lastRenderedPageBreak/>
        <w:t>Inclusion of perceived unfair clauses by the developer can significantly impair the ability to negotiate a fair and reasonable agreement</w:t>
      </w:r>
      <w:r>
        <w:rPr>
          <w:rFonts w:cs="Arial"/>
        </w:rPr>
        <w:t xml:space="preserve">, </w:t>
      </w:r>
      <w:r w:rsidRPr="00FC45E9">
        <w:rPr>
          <w:rFonts w:cs="Arial"/>
        </w:rPr>
        <w:t>creat</w:t>
      </w:r>
      <w:r>
        <w:rPr>
          <w:rFonts w:cs="Arial"/>
        </w:rPr>
        <w:t>ing</w:t>
      </w:r>
      <w:r w:rsidRPr="00FC45E9">
        <w:rPr>
          <w:rFonts w:cs="Arial"/>
        </w:rPr>
        <w:t xml:space="preserve"> distrust and anxiety amongst neighbours towards the </w:t>
      </w:r>
      <w:r>
        <w:rPr>
          <w:rFonts w:cs="Arial"/>
        </w:rPr>
        <w:t>p</w:t>
      </w:r>
      <w:r w:rsidRPr="00FC45E9">
        <w:rPr>
          <w:rFonts w:cs="Arial"/>
        </w:rPr>
        <w:t>roponent.</w:t>
      </w:r>
    </w:p>
    <w:p w14:paraId="52211BA3"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Similar to host landowner agreements, all parties may benefit from a standard template agreement for ‘neighbour agreements’ that is established and maintained by an appropriate body and available for use by industry.</w:t>
      </w:r>
    </w:p>
    <w:p w14:paraId="5B2E1103"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 xml:space="preserve">Visual </w:t>
      </w:r>
      <w:r>
        <w:rPr>
          <w:rFonts w:cs="Arial"/>
          <w:b/>
        </w:rPr>
        <w:t xml:space="preserve">Impacts and </w:t>
      </w:r>
      <w:r w:rsidRPr="00FC45E9">
        <w:rPr>
          <w:rFonts w:cs="Arial"/>
          <w:b/>
        </w:rPr>
        <w:t>Screening</w:t>
      </w:r>
    </w:p>
    <w:p w14:paraId="114F997A" w14:textId="77777777" w:rsidR="001556F0" w:rsidRDefault="001556F0" w:rsidP="001556F0">
      <w:pPr>
        <w:pStyle w:val="ListParagraph"/>
        <w:numPr>
          <w:ilvl w:val="0"/>
          <w:numId w:val="0"/>
        </w:numPr>
        <w:spacing w:line="264" w:lineRule="auto"/>
        <w:ind w:left="360"/>
        <w:rPr>
          <w:rFonts w:cs="Arial"/>
        </w:rPr>
      </w:pPr>
      <w:r>
        <w:rPr>
          <w:rFonts w:cs="Arial"/>
        </w:rPr>
        <w:t>With the height and span of wind turbines ever increasing, so have the concerns about visual impacts such as impairment of views and shadow flicker.</w:t>
      </w:r>
    </w:p>
    <w:p w14:paraId="35BF9AB0" w14:textId="77777777" w:rsidR="001556F0" w:rsidRDefault="001556F0" w:rsidP="001556F0">
      <w:pPr>
        <w:pStyle w:val="ListParagraph"/>
        <w:numPr>
          <w:ilvl w:val="0"/>
          <w:numId w:val="0"/>
        </w:numPr>
        <w:spacing w:line="264" w:lineRule="auto"/>
        <w:ind w:left="360"/>
        <w:rPr>
          <w:rFonts w:cs="Arial"/>
        </w:rPr>
      </w:pPr>
      <w:r>
        <w:rPr>
          <w:rFonts w:cs="Arial"/>
        </w:rPr>
        <w:t>These impacts are commonly assessed during the planning process. However, due to the heightened concerns held by neighbours on these impacts, it is an area that may require special attention and focus by the developer to ensure that quality assessments are undertaken and there is a high degree of consultation and communication with affected land owners.</w:t>
      </w:r>
    </w:p>
    <w:p w14:paraId="129E22B7"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Screening of the visual impact</w:t>
      </w:r>
      <w:r>
        <w:rPr>
          <w:rFonts w:cs="Arial"/>
        </w:rPr>
        <w:t>s caused by</w:t>
      </w:r>
      <w:r w:rsidRPr="00FC45E9">
        <w:rPr>
          <w:rFonts w:cs="Arial"/>
        </w:rPr>
        <w:t xml:space="preserve"> the wind </w:t>
      </w:r>
      <w:r>
        <w:rPr>
          <w:rFonts w:cs="Arial"/>
        </w:rPr>
        <w:t xml:space="preserve">or solar </w:t>
      </w:r>
      <w:r w:rsidRPr="00FC45E9">
        <w:rPr>
          <w:rFonts w:cs="Arial"/>
        </w:rPr>
        <w:t xml:space="preserve">farm by planting trees is </w:t>
      </w:r>
      <w:r>
        <w:rPr>
          <w:rFonts w:cs="Arial"/>
        </w:rPr>
        <w:t xml:space="preserve">commonly </w:t>
      </w:r>
      <w:r w:rsidRPr="00FC45E9">
        <w:rPr>
          <w:rFonts w:cs="Arial"/>
        </w:rPr>
        <w:t xml:space="preserve">proposed by developers to </w:t>
      </w:r>
      <w:r>
        <w:rPr>
          <w:rFonts w:cs="Arial"/>
        </w:rPr>
        <w:t xml:space="preserve">reduce </w:t>
      </w:r>
      <w:r w:rsidRPr="00FC45E9">
        <w:rPr>
          <w:rFonts w:cs="Arial"/>
        </w:rPr>
        <w:t>neighbour</w:t>
      </w:r>
      <w:r>
        <w:rPr>
          <w:rFonts w:cs="Arial"/>
        </w:rPr>
        <w:t xml:space="preserve"> impact</w:t>
      </w:r>
      <w:r w:rsidRPr="00FC45E9">
        <w:rPr>
          <w:rFonts w:cs="Arial"/>
        </w:rPr>
        <w:t>s and may also be a mandatory requirement of the permit. A</w:t>
      </w:r>
      <w:r>
        <w:rPr>
          <w:rFonts w:cs="Arial"/>
        </w:rPr>
        <w:t>n often cited</w:t>
      </w:r>
      <w:r w:rsidRPr="00FC45E9">
        <w:rPr>
          <w:rFonts w:cs="Arial"/>
        </w:rPr>
        <w:t xml:space="preserve"> issue is the </w:t>
      </w:r>
      <w:r>
        <w:rPr>
          <w:rFonts w:cs="Arial"/>
        </w:rPr>
        <w:t xml:space="preserve">predicted </w:t>
      </w:r>
      <w:r w:rsidRPr="00FC45E9">
        <w:rPr>
          <w:rFonts w:cs="Arial"/>
        </w:rPr>
        <w:t xml:space="preserve">length of time for a newly planted tree to grow to provide sufficient screening, bringing into question the effectiveness of such mitigation. It should be noted that Appendix 2 of the New South Wales Government’s </w:t>
      </w:r>
      <w:r w:rsidRPr="0093447D">
        <w:rPr>
          <w:rFonts w:cs="Arial"/>
          <w:i/>
        </w:rPr>
        <w:t>Wind Energy:</w:t>
      </w:r>
      <w:r>
        <w:rPr>
          <w:rFonts w:cs="Arial"/>
        </w:rPr>
        <w:t xml:space="preserve"> </w:t>
      </w:r>
      <w:r w:rsidRPr="00FC45E9">
        <w:rPr>
          <w:rFonts w:cs="Arial"/>
          <w:i/>
        </w:rPr>
        <w:t>Visual Assessment Bulletin</w:t>
      </w:r>
      <w:r w:rsidRPr="00FC45E9">
        <w:rPr>
          <w:rFonts w:cs="Arial"/>
        </w:rPr>
        <w:t xml:space="preserve"> (NSW Department of Planning, 2016) outlines a range of potential mitigation measures that may be applied.</w:t>
      </w:r>
    </w:p>
    <w:p w14:paraId="57A6729D"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Further, the process of conducting visual screening assessments and designing and implementing the program </w:t>
      </w:r>
      <w:r>
        <w:rPr>
          <w:rFonts w:cs="Arial"/>
        </w:rPr>
        <w:t xml:space="preserve">and solutions </w:t>
      </w:r>
      <w:r w:rsidRPr="00FC45E9">
        <w:rPr>
          <w:rFonts w:cs="Arial"/>
        </w:rPr>
        <w:t xml:space="preserve">can be a significant task and results </w:t>
      </w:r>
      <w:r>
        <w:rPr>
          <w:rFonts w:cs="Arial"/>
        </w:rPr>
        <w:t xml:space="preserve">of the program </w:t>
      </w:r>
      <w:r w:rsidRPr="00FC45E9">
        <w:rPr>
          <w:rFonts w:cs="Arial"/>
        </w:rPr>
        <w:t xml:space="preserve">may not meet perceived expectations. </w:t>
      </w:r>
    </w:p>
    <w:p w14:paraId="2787CA5A"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An alternative approach is to provide the neighbour with the option of taking a cash payment in lieu of the screening program, thereby empowering the neighbour to decide how best to apply the funds to address the situation.</w:t>
      </w:r>
      <w:r w:rsidRPr="00724C41">
        <w:t xml:space="preserve"> </w:t>
      </w:r>
      <w:r w:rsidRPr="00E34265">
        <w:t xml:space="preserve">This approach can also alleviate potential difficulties within a community, for instance if some residents have already, proactively, planted trees of their own accord and may now not be eligible </w:t>
      </w:r>
      <w:r>
        <w:t>or require scr</w:t>
      </w:r>
      <w:r w:rsidRPr="00E34265">
        <w:t>eening assistance.</w:t>
      </w:r>
    </w:p>
    <w:p w14:paraId="1F6AA5F4" w14:textId="77777777" w:rsidR="001556F0" w:rsidRPr="00FC45E9" w:rsidRDefault="001556F0" w:rsidP="001556F0">
      <w:pPr>
        <w:pStyle w:val="ListParagraph"/>
        <w:numPr>
          <w:ilvl w:val="1"/>
          <w:numId w:val="8"/>
        </w:numPr>
        <w:spacing w:line="264" w:lineRule="auto"/>
        <w:rPr>
          <w:rFonts w:cs="Arial"/>
          <w:b/>
        </w:rPr>
      </w:pPr>
      <w:r w:rsidRPr="00FC45E9">
        <w:rPr>
          <w:rFonts w:cs="Arial"/>
          <w:b/>
        </w:rPr>
        <w:t>Recommendations</w:t>
      </w:r>
    </w:p>
    <w:p w14:paraId="596D5183"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Developers of projects should, where practical, proactively identify all potential neighbours at the commencement of the development activity and implement an effective, ongoing consultation program with all contactable neighbours throughout the project’s development. While it may vary by project and geography, neighbours affected may include residents and landowners in a proximity range of 0 km to 5 km from potential </w:t>
      </w:r>
      <w:r>
        <w:rPr>
          <w:rFonts w:cs="Arial"/>
        </w:rPr>
        <w:t xml:space="preserve">project asset </w:t>
      </w:r>
      <w:r w:rsidRPr="00FC45E9">
        <w:rPr>
          <w:rFonts w:cs="Arial"/>
        </w:rPr>
        <w:t>locations</w:t>
      </w:r>
      <w:r>
        <w:rPr>
          <w:rFonts w:cs="Arial"/>
        </w:rPr>
        <w:t>,</w:t>
      </w:r>
      <w:r w:rsidRPr="00FC45E9">
        <w:rPr>
          <w:rFonts w:cs="Arial"/>
        </w:rPr>
        <w:t xml:space="preserve"> as well as residents in close proximity to other </w:t>
      </w:r>
      <w:r>
        <w:rPr>
          <w:rFonts w:cs="Arial"/>
        </w:rPr>
        <w:t xml:space="preserve">project </w:t>
      </w:r>
      <w:r w:rsidRPr="00FC45E9">
        <w:rPr>
          <w:rFonts w:cs="Arial"/>
        </w:rPr>
        <w:t>related infrastructure, such as power transmission or supply infrastructure. This indicative distance range for consultation may need</w:t>
      </w:r>
      <w:r>
        <w:rPr>
          <w:rFonts w:cs="Arial"/>
        </w:rPr>
        <w:t xml:space="preserve"> to</w:t>
      </w:r>
      <w:r w:rsidRPr="00FC45E9">
        <w:rPr>
          <w:rFonts w:cs="Arial"/>
        </w:rPr>
        <w:t xml:space="preserve"> be greater in situations where, for instance, </w:t>
      </w:r>
      <w:r>
        <w:rPr>
          <w:rFonts w:cs="Arial"/>
        </w:rPr>
        <w:t xml:space="preserve">wind </w:t>
      </w:r>
      <w:r w:rsidRPr="00FC45E9">
        <w:rPr>
          <w:rFonts w:cs="Arial"/>
        </w:rPr>
        <w:t>turbines are proposed to be erected on an elevated ridge.</w:t>
      </w:r>
    </w:p>
    <w:p w14:paraId="51DD008E"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Key stakeholders </w:t>
      </w:r>
      <w:r>
        <w:rPr>
          <w:rFonts w:cs="Arial"/>
        </w:rPr>
        <w:t xml:space="preserve">in the development of a </w:t>
      </w:r>
      <w:r w:rsidRPr="00FC45E9">
        <w:rPr>
          <w:rFonts w:cs="Arial"/>
        </w:rPr>
        <w:t>project (for example, project buyers, planning authorities, investors, debt providers, local councils, regulators) should seek and consider evidence of neighbour identification and effective neighbour consultations as part of any due diligence and approval criteria.</w:t>
      </w:r>
    </w:p>
    <w:p w14:paraId="266B2BFE" w14:textId="185D263D"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Developers should consider the merits and use of appropriate neighbour agreements as a potential component of its overall neighbour and community consultations and project strategy. If utilised, neighbour agreements should be negotiable, fair and reasonable, written in plain English and the neighbour should have access to and obtain appropriate legal and </w:t>
      </w:r>
      <w:r w:rsidRPr="00FC45E9">
        <w:rPr>
          <w:rFonts w:cs="Arial"/>
        </w:rPr>
        <w:lastRenderedPageBreak/>
        <w:t xml:space="preserve">financial advice before entering into any agreement. Standard agreements should not restrict the neighbour from being able to raise issues and concerns about the </w:t>
      </w:r>
      <w:r>
        <w:rPr>
          <w:rFonts w:cs="Arial"/>
        </w:rPr>
        <w:t>project</w:t>
      </w:r>
      <w:r w:rsidRPr="00FC45E9">
        <w:rPr>
          <w:rFonts w:cs="Arial"/>
        </w:rPr>
        <w:t xml:space="preserve">, including subsequent proposed changes to the </w:t>
      </w:r>
      <w:r>
        <w:rPr>
          <w:rFonts w:cs="Arial"/>
        </w:rPr>
        <w:t>project</w:t>
      </w:r>
      <w:r w:rsidRPr="00FC45E9">
        <w:rPr>
          <w:rFonts w:cs="Arial"/>
        </w:rPr>
        <w:t xml:space="preserve"> design. Neighbours should be able to make complaints about the </w:t>
      </w:r>
      <w:r>
        <w:rPr>
          <w:rFonts w:cs="Arial"/>
        </w:rPr>
        <w:t xml:space="preserve">project </w:t>
      </w:r>
      <w:r w:rsidRPr="00FC45E9">
        <w:rPr>
          <w:rFonts w:cs="Arial"/>
        </w:rPr>
        <w:t xml:space="preserve">and not be subjected to conditions that exceed normal planning standards and permit requirements. There may be existing operating </w:t>
      </w:r>
      <w:r>
        <w:rPr>
          <w:rFonts w:cs="Arial"/>
        </w:rPr>
        <w:t xml:space="preserve">projects </w:t>
      </w:r>
      <w:r w:rsidRPr="00FC45E9">
        <w:rPr>
          <w:rFonts w:cs="Arial"/>
        </w:rPr>
        <w:t>where a retrospective neighbour agreement should be considered. Developers may, alternately, opt for a broader community support model that benefits a wider group of community members that may not include specific neighbour agreements.</w:t>
      </w:r>
    </w:p>
    <w:p w14:paraId="78837208"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Screening solutions proposed by developers should be realistic and effective. If trees are proposed, trees should be planted in a timely fashion and well maintained to provide effective visual screening within a reasonable timeframe. Other screening solutions, such as structures or shutter blinds, should also be considered when proposing and negotiating a visual screening agreement. Neighbours may also prefer a cash payment option in lieu of the developer designing and installing the screening solution.</w:t>
      </w:r>
    </w:p>
    <w:p w14:paraId="65BA970A"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The developer should recognise that some neighbours may have been potential host landowners for the </w:t>
      </w:r>
      <w:r>
        <w:rPr>
          <w:rFonts w:cs="Arial"/>
        </w:rPr>
        <w:t>proj</w:t>
      </w:r>
      <w:r w:rsidRPr="00FC45E9">
        <w:rPr>
          <w:rFonts w:cs="Arial"/>
        </w:rPr>
        <w:t xml:space="preserve">ect’s </w:t>
      </w:r>
      <w:r>
        <w:rPr>
          <w:rFonts w:cs="Arial"/>
        </w:rPr>
        <w:t xml:space="preserve">initial </w:t>
      </w:r>
      <w:r w:rsidRPr="00FC45E9">
        <w:rPr>
          <w:rFonts w:cs="Arial"/>
        </w:rPr>
        <w:t xml:space="preserve">design and should take the time to understand the neighbour’s history of involvement with the project. Developers should document all conversations and interactions with neighbours and maintain such records in an appropriate system for future reference. </w:t>
      </w:r>
      <w:r w:rsidRPr="00E34265">
        <w:rPr>
          <w:rFonts w:cs="Arial"/>
        </w:rPr>
        <w:t xml:space="preserve">Equally, neighbours who have been approached by developers to offer an agreement should </w:t>
      </w:r>
      <w:r>
        <w:rPr>
          <w:rFonts w:cs="Arial"/>
        </w:rPr>
        <w:t xml:space="preserve">also </w:t>
      </w:r>
      <w:r w:rsidRPr="00E34265">
        <w:rPr>
          <w:rFonts w:cs="Arial"/>
        </w:rPr>
        <w:t>ensure that they have documented all offers and agreements presented to them.</w:t>
      </w:r>
      <w:r>
        <w:rPr>
          <w:rFonts w:cs="Arial"/>
        </w:rPr>
        <w:t xml:space="preserve"> </w:t>
      </w:r>
    </w:p>
    <w:p w14:paraId="42413778"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Neighbours should be appropriately represented in any project</w:t>
      </w:r>
      <w:r>
        <w:rPr>
          <w:rFonts w:cs="Arial"/>
        </w:rPr>
        <w:t>-</w:t>
      </w:r>
      <w:r w:rsidRPr="00FC45E9">
        <w:rPr>
          <w:rFonts w:cs="Arial"/>
        </w:rPr>
        <w:t>related committees, such as Community Consultative Committees and Community Engagement Fund Committees, to help ensure that neighbours have a voice</w:t>
      </w:r>
      <w:r>
        <w:rPr>
          <w:rFonts w:cs="Arial"/>
        </w:rPr>
        <w:t>,</w:t>
      </w:r>
      <w:r w:rsidRPr="00FC45E9">
        <w:rPr>
          <w:rFonts w:cs="Arial"/>
        </w:rPr>
        <w:t xml:space="preserve"> as well as the opportunity to be positively engaged with the many and various aspects of the project across the community.</w:t>
      </w:r>
    </w:p>
    <w:p w14:paraId="5AF9D274" w14:textId="77777777" w:rsidR="001556F0" w:rsidRPr="00FC45E9" w:rsidRDefault="001556F0" w:rsidP="001556F0">
      <w:pPr>
        <w:pStyle w:val="ListParagraph"/>
        <w:numPr>
          <w:ilvl w:val="0"/>
          <w:numId w:val="0"/>
        </w:numPr>
        <w:spacing w:line="264" w:lineRule="auto"/>
        <w:ind w:left="1400"/>
        <w:rPr>
          <w:rFonts w:cs="Arial"/>
        </w:rPr>
      </w:pPr>
    </w:p>
    <w:p w14:paraId="3D0BA081" w14:textId="77777777" w:rsidR="001556F0" w:rsidRPr="00FC45E9" w:rsidRDefault="001556F0" w:rsidP="001556F0">
      <w:pPr>
        <w:pStyle w:val="Heading2"/>
        <w:numPr>
          <w:ilvl w:val="0"/>
          <w:numId w:val="8"/>
        </w:numPr>
      </w:pPr>
      <w:bookmarkStart w:id="39" w:name="_Toc51224050"/>
      <w:bookmarkStart w:id="40" w:name="_Toc84430831"/>
      <w:r w:rsidRPr="00FC45E9">
        <w:t>Community Engagement</w:t>
      </w:r>
      <w:bookmarkEnd w:id="39"/>
      <w:bookmarkEnd w:id="40"/>
    </w:p>
    <w:p w14:paraId="02195214" w14:textId="77777777" w:rsidR="001556F0" w:rsidRPr="00FC45E9" w:rsidRDefault="001556F0" w:rsidP="001556F0">
      <w:pPr>
        <w:pStyle w:val="ListParagraph"/>
        <w:numPr>
          <w:ilvl w:val="1"/>
          <w:numId w:val="8"/>
        </w:numPr>
        <w:spacing w:line="264" w:lineRule="auto"/>
        <w:rPr>
          <w:rFonts w:cs="Arial"/>
          <w:b/>
        </w:rPr>
      </w:pPr>
      <w:r w:rsidRPr="00FC45E9">
        <w:rPr>
          <w:rFonts w:cs="Arial"/>
          <w:b/>
        </w:rPr>
        <w:t>Observations</w:t>
      </w:r>
    </w:p>
    <w:p w14:paraId="206E7B3F"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Background</w:t>
      </w:r>
    </w:p>
    <w:p w14:paraId="497AD949"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Effective community consultation and engagement is essential for </w:t>
      </w:r>
      <w:r>
        <w:rPr>
          <w:rFonts w:cs="Arial"/>
        </w:rPr>
        <w:t xml:space="preserve">large-scale renewable energy </w:t>
      </w:r>
      <w:r w:rsidRPr="00FC45E9">
        <w:rPr>
          <w:rFonts w:cs="Arial"/>
        </w:rPr>
        <w:t xml:space="preserve">projects to gain widespread support and earn the ‘social license’ to operate within the community. To be effective in community engagement, it is vital to actually ‘engage the community’ and involve the community wherever possible in the design and execution of programs related to the </w:t>
      </w:r>
      <w:r>
        <w:rPr>
          <w:rFonts w:cs="Arial"/>
        </w:rPr>
        <w:t>project</w:t>
      </w:r>
      <w:r w:rsidRPr="00FC45E9">
        <w:rPr>
          <w:rFonts w:cs="Arial"/>
        </w:rPr>
        <w:t>.</w:t>
      </w:r>
    </w:p>
    <w:p w14:paraId="08EE953F" w14:textId="4890AACE" w:rsidR="001556F0" w:rsidRPr="00FC45E9" w:rsidRDefault="001556F0" w:rsidP="001556F0">
      <w:pPr>
        <w:pStyle w:val="ListParagraph"/>
        <w:numPr>
          <w:ilvl w:val="0"/>
          <w:numId w:val="0"/>
        </w:numPr>
        <w:spacing w:line="264" w:lineRule="auto"/>
        <w:ind w:left="360"/>
        <w:rPr>
          <w:rFonts w:cs="Arial"/>
        </w:rPr>
      </w:pPr>
      <w:r>
        <w:rPr>
          <w:rFonts w:cs="Arial"/>
        </w:rPr>
        <w:t>Conversely, poor or no community engagement can allow misinformation and community opposition to a project to gain momentum – which can ultimately lead to projects not proceeding as a result of planning objections through to endless delays from lengthy and costly legal actions against the project.</w:t>
      </w:r>
    </w:p>
    <w:p w14:paraId="43E04F8E"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The level of community engagement by developers </w:t>
      </w:r>
      <w:r>
        <w:rPr>
          <w:rFonts w:cs="Arial"/>
        </w:rPr>
        <w:t>can vary</w:t>
      </w:r>
      <w:r w:rsidRPr="00FC45E9">
        <w:rPr>
          <w:rFonts w:cs="Arial"/>
        </w:rPr>
        <w:t xml:space="preserve"> widely across projects observed to date. A key observation is that init</w:t>
      </w:r>
      <w:r>
        <w:rPr>
          <w:rFonts w:cs="Arial"/>
        </w:rPr>
        <w:t xml:space="preserve">iating </w:t>
      </w:r>
      <w:r w:rsidRPr="00FC45E9">
        <w:rPr>
          <w:rFonts w:cs="Arial"/>
        </w:rPr>
        <w:t>project developers</w:t>
      </w:r>
      <w:r>
        <w:rPr>
          <w:rFonts w:cs="Arial"/>
        </w:rPr>
        <w:t xml:space="preserve"> (who secure the landholders and permits, then </w:t>
      </w:r>
      <w:r w:rsidRPr="00FC45E9">
        <w:rPr>
          <w:rFonts w:cs="Arial"/>
        </w:rPr>
        <w:t>‘on-sell’ the project to a long-term developer or operator</w:t>
      </w:r>
      <w:r>
        <w:rPr>
          <w:rFonts w:cs="Arial"/>
        </w:rPr>
        <w:t>)</w:t>
      </w:r>
      <w:r w:rsidRPr="00FC45E9">
        <w:rPr>
          <w:rFonts w:cs="Arial"/>
        </w:rPr>
        <w:t xml:space="preserve"> may not invest </w:t>
      </w:r>
      <w:r>
        <w:rPr>
          <w:rFonts w:cs="Arial"/>
        </w:rPr>
        <w:t xml:space="preserve">appropriate </w:t>
      </w:r>
      <w:r w:rsidRPr="00FC45E9">
        <w:rPr>
          <w:rFonts w:cs="Arial"/>
        </w:rPr>
        <w:t>time and resources in</w:t>
      </w:r>
      <w:r>
        <w:rPr>
          <w:rFonts w:cs="Arial"/>
        </w:rPr>
        <w:t>to</w:t>
      </w:r>
      <w:r w:rsidRPr="00FC45E9">
        <w:rPr>
          <w:rFonts w:cs="Arial"/>
        </w:rPr>
        <w:t xml:space="preserve"> community engagement or neighbour relations to be effective. These </w:t>
      </w:r>
      <w:r>
        <w:rPr>
          <w:rFonts w:cs="Arial"/>
        </w:rPr>
        <w:t xml:space="preserve">more </w:t>
      </w:r>
      <w:r w:rsidRPr="00FC45E9">
        <w:rPr>
          <w:rFonts w:cs="Arial"/>
        </w:rPr>
        <w:t>limited efforts can result in lower levels of community support and more divided communities, compared with projects where the project developers appropriately focus on effective community engagement from the very start of the development activity.</w:t>
      </w:r>
    </w:p>
    <w:p w14:paraId="0F58C0DF" w14:textId="77777777" w:rsidR="001556F0" w:rsidRDefault="001556F0" w:rsidP="001556F0">
      <w:pPr>
        <w:pStyle w:val="ListParagraph"/>
        <w:numPr>
          <w:ilvl w:val="0"/>
          <w:numId w:val="0"/>
        </w:numPr>
        <w:spacing w:line="264" w:lineRule="auto"/>
        <w:ind w:left="360"/>
        <w:rPr>
          <w:rFonts w:cs="Arial"/>
        </w:rPr>
      </w:pPr>
    </w:p>
    <w:p w14:paraId="5AEBED06" w14:textId="77777777" w:rsidR="001556F0" w:rsidRDefault="001556F0" w:rsidP="001556F0">
      <w:pPr>
        <w:pStyle w:val="ListParagraph"/>
        <w:numPr>
          <w:ilvl w:val="0"/>
          <w:numId w:val="0"/>
        </w:numPr>
        <w:spacing w:line="264" w:lineRule="auto"/>
        <w:ind w:left="360"/>
        <w:rPr>
          <w:rFonts w:cs="Arial"/>
        </w:rPr>
      </w:pPr>
    </w:p>
    <w:p w14:paraId="27F0D9FF"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lastRenderedPageBreak/>
        <w:t>Community Committees</w:t>
      </w:r>
    </w:p>
    <w:p w14:paraId="5DE7C4CE" w14:textId="16477B50" w:rsidR="001556F0" w:rsidRPr="00FC45E9" w:rsidRDefault="001556F0" w:rsidP="001556F0">
      <w:pPr>
        <w:pStyle w:val="ListParagraph"/>
        <w:numPr>
          <w:ilvl w:val="0"/>
          <w:numId w:val="0"/>
        </w:numPr>
        <w:spacing w:line="264" w:lineRule="auto"/>
        <w:ind w:left="360"/>
        <w:rPr>
          <w:rFonts w:cs="Arial"/>
        </w:rPr>
      </w:pPr>
      <w:r w:rsidRPr="00FC45E9">
        <w:rPr>
          <w:rFonts w:cs="Arial"/>
        </w:rPr>
        <w:t>In some jurisdictions, such as New South Wales, the planning guideline framework has provided for an early and continuing focus</w:t>
      </w:r>
      <w:r>
        <w:rPr>
          <w:rFonts w:cs="Arial"/>
        </w:rPr>
        <w:t xml:space="preserve"> on</w:t>
      </w:r>
      <w:r w:rsidRPr="00FC45E9">
        <w:rPr>
          <w:rFonts w:cs="Arial"/>
        </w:rPr>
        <w:t xml:space="preserve"> community engagement, including the establishment of a Community Consultative Committee (CCC) that is maintained throughout the life of the project. Further, feed-in tariff arrangements </w:t>
      </w:r>
      <w:r w:rsidR="003E0061">
        <w:rPr>
          <w:rFonts w:cs="Arial"/>
        </w:rPr>
        <w:t xml:space="preserve">such as those </w:t>
      </w:r>
      <w:r w:rsidRPr="00FC45E9">
        <w:rPr>
          <w:rFonts w:cs="Arial"/>
        </w:rPr>
        <w:t>established by the ACT and Victorian Governments, place a significant weighting on selecting developers</w:t>
      </w:r>
      <w:r>
        <w:rPr>
          <w:rFonts w:cs="Arial"/>
        </w:rPr>
        <w:t xml:space="preserve"> and </w:t>
      </w:r>
      <w:r w:rsidRPr="00FC45E9">
        <w:rPr>
          <w:rFonts w:cs="Arial"/>
        </w:rPr>
        <w:t>projects that have proposed and demonstrated effective community engagement programs</w:t>
      </w:r>
      <w:r>
        <w:rPr>
          <w:rFonts w:cs="Arial"/>
        </w:rPr>
        <w:t>,</w:t>
      </w:r>
      <w:r w:rsidRPr="00FC45E9">
        <w:rPr>
          <w:rFonts w:cs="Arial"/>
        </w:rPr>
        <w:t xml:space="preserve"> subscrib</w:t>
      </w:r>
      <w:r>
        <w:rPr>
          <w:rFonts w:cs="Arial"/>
        </w:rPr>
        <w:t>ing</w:t>
      </w:r>
      <w:r w:rsidRPr="00FC45E9">
        <w:rPr>
          <w:rFonts w:cs="Arial"/>
        </w:rPr>
        <w:t xml:space="preserve"> to community engagement as a high priority.</w:t>
      </w:r>
    </w:p>
    <w:p w14:paraId="1F760361"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Many projects also establish Community Engagement Funds, funded by the developer, to </w:t>
      </w:r>
      <w:r>
        <w:rPr>
          <w:rFonts w:cs="Arial"/>
        </w:rPr>
        <w:t>support</w:t>
      </w:r>
      <w:r w:rsidRPr="00FC45E9">
        <w:rPr>
          <w:rFonts w:cs="Arial"/>
        </w:rPr>
        <w:t xml:space="preserve"> a wide range of initiatives that benefit the local community. In some cases, such funds are a condition of the permit approval, but largely these are voluntary arrangements proposed by the developer.</w:t>
      </w:r>
    </w:p>
    <w:p w14:paraId="0D6C7356" w14:textId="77777777" w:rsidR="001556F0" w:rsidRPr="00FC45E9" w:rsidRDefault="001556F0" w:rsidP="001556F0">
      <w:pPr>
        <w:pStyle w:val="ListParagraph"/>
        <w:numPr>
          <w:ilvl w:val="0"/>
          <w:numId w:val="0"/>
        </w:numPr>
        <w:spacing w:line="264" w:lineRule="auto"/>
        <w:ind w:left="360"/>
        <w:rPr>
          <w:rFonts w:cs="Arial"/>
        </w:rPr>
      </w:pPr>
      <w:r>
        <w:rPr>
          <w:rFonts w:cs="Arial"/>
        </w:rPr>
        <w:t xml:space="preserve">Committees such as CCC’s appear to be most effective when there is an independent chair and an appropriate balance in the committee membership, with chair and committee appointments being made by an independent body where practical. Committees can play a vital role in the provision of factual information about the project, identifying and resolving issues that arise that require multi-stakeholder cooperation to resolve and dispensing with inaccurate perceptions about the project and related events. </w:t>
      </w:r>
    </w:p>
    <w:p w14:paraId="14916E94"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Communications</w:t>
      </w:r>
    </w:p>
    <w:p w14:paraId="2A4BF06B"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The quality of and information provided by </w:t>
      </w:r>
      <w:r>
        <w:rPr>
          <w:rFonts w:cs="Arial"/>
        </w:rPr>
        <w:t>project</w:t>
      </w:r>
      <w:r w:rsidRPr="00FC45E9">
        <w:rPr>
          <w:rFonts w:cs="Arial"/>
        </w:rPr>
        <w:t xml:space="preserve"> websites vary from project and/or developer. </w:t>
      </w:r>
      <w:r>
        <w:rPr>
          <w:rFonts w:cs="Arial"/>
        </w:rPr>
        <w:br/>
      </w:r>
      <w:r w:rsidRPr="00FC45E9">
        <w:rPr>
          <w:rFonts w:cs="Arial"/>
        </w:rPr>
        <w:t xml:space="preserve">In general, there is more work to be done by developers to provide up-to-date websites with clear transparency of information about the developer, the project, </w:t>
      </w:r>
      <w:r>
        <w:rPr>
          <w:rFonts w:cs="Arial"/>
        </w:rPr>
        <w:t xml:space="preserve">current news, </w:t>
      </w:r>
      <w:r w:rsidRPr="00FC45E9">
        <w:rPr>
          <w:rFonts w:cs="Arial"/>
        </w:rPr>
        <w:t xml:space="preserve">how and who to contact </w:t>
      </w:r>
      <w:r>
        <w:rPr>
          <w:rFonts w:cs="Arial"/>
        </w:rPr>
        <w:t>in the organisation</w:t>
      </w:r>
      <w:r w:rsidRPr="00FC45E9">
        <w:rPr>
          <w:rFonts w:cs="Arial"/>
        </w:rPr>
        <w:t>, how to make a complaint and access the complaint process procedure</w:t>
      </w:r>
      <w:r>
        <w:rPr>
          <w:rFonts w:cs="Arial"/>
        </w:rPr>
        <w:t xml:space="preserve"> – along</w:t>
      </w:r>
      <w:r w:rsidRPr="00FC45E9">
        <w:rPr>
          <w:rFonts w:cs="Arial"/>
        </w:rPr>
        <w:t xml:space="preserve"> with access to all relevant project documents. </w:t>
      </w:r>
      <w:r>
        <w:rPr>
          <w:rFonts w:cs="Arial"/>
        </w:rPr>
        <w:t>While most projects and developers now maintain effective project websites, s</w:t>
      </w:r>
      <w:r w:rsidRPr="00FC45E9">
        <w:rPr>
          <w:rFonts w:cs="Arial"/>
        </w:rPr>
        <w:t xml:space="preserve">ome project websites </w:t>
      </w:r>
      <w:r>
        <w:rPr>
          <w:rFonts w:cs="Arial"/>
        </w:rPr>
        <w:t xml:space="preserve">remain </w:t>
      </w:r>
      <w:r w:rsidRPr="00FC45E9">
        <w:rPr>
          <w:rFonts w:cs="Arial"/>
        </w:rPr>
        <w:t>difficult to find</w:t>
      </w:r>
      <w:r>
        <w:rPr>
          <w:rFonts w:cs="Arial"/>
        </w:rPr>
        <w:t xml:space="preserve">, are out of date </w:t>
      </w:r>
      <w:r w:rsidRPr="00FC45E9">
        <w:rPr>
          <w:rFonts w:cs="Arial"/>
        </w:rPr>
        <w:t xml:space="preserve">or </w:t>
      </w:r>
      <w:r>
        <w:rPr>
          <w:rFonts w:cs="Arial"/>
        </w:rPr>
        <w:t>lack sufficient information and easy navigation</w:t>
      </w:r>
      <w:r w:rsidRPr="00FC45E9">
        <w:rPr>
          <w:rFonts w:cs="Arial"/>
        </w:rPr>
        <w:t>.</w:t>
      </w:r>
    </w:p>
    <w:p w14:paraId="3E530BBE" w14:textId="377CD661" w:rsidR="001556F0" w:rsidRPr="00FC45E9" w:rsidRDefault="001556F0" w:rsidP="001556F0">
      <w:pPr>
        <w:pStyle w:val="ListParagraph"/>
        <w:numPr>
          <w:ilvl w:val="0"/>
          <w:numId w:val="0"/>
        </w:numPr>
        <w:spacing w:line="264" w:lineRule="auto"/>
        <w:ind w:left="360"/>
        <w:rPr>
          <w:rFonts w:cs="Arial"/>
        </w:rPr>
      </w:pPr>
      <w:r>
        <w:rPr>
          <w:rFonts w:cs="Arial"/>
        </w:rPr>
        <w:t xml:space="preserve">Media relations and using media, such as local newspapers, to convey factual information and updates about the project can be an extremely effective way to communicate with the broader community.  Conversely, poor media relations and/or attracting the attention of mainstream and national media that </w:t>
      </w:r>
      <w:r w:rsidR="00FE72D1">
        <w:rPr>
          <w:rFonts w:cs="Arial"/>
        </w:rPr>
        <w:t>report</w:t>
      </w:r>
      <w:r w:rsidR="005958C3" w:rsidRPr="00FE72D1">
        <w:rPr>
          <w:rFonts w:cs="Arial"/>
        </w:rPr>
        <w:t xml:space="preserve"> </w:t>
      </w:r>
      <w:r w:rsidRPr="00FE72D1">
        <w:rPr>
          <w:rFonts w:cs="Arial"/>
        </w:rPr>
        <w:t>negativ</w:t>
      </w:r>
      <w:r w:rsidR="00FE72D1">
        <w:rPr>
          <w:rFonts w:cs="Arial"/>
        </w:rPr>
        <w:t>ely</w:t>
      </w:r>
      <w:r>
        <w:rPr>
          <w:rFonts w:cs="Arial"/>
        </w:rPr>
        <w:t xml:space="preserve"> </w:t>
      </w:r>
      <w:r w:rsidR="00FE72D1">
        <w:rPr>
          <w:rFonts w:cs="Arial"/>
        </w:rPr>
        <w:t>about</w:t>
      </w:r>
      <w:r>
        <w:rPr>
          <w:rFonts w:cs="Arial"/>
        </w:rPr>
        <w:t xml:space="preserve"> the project, can </w:t>
      </w:r>
      <w:r w:rsidR="003E0061">
        <w:rPr>
          <w:rFonts w:cs="Arial"/>
        </w:rPr>
        <w:t>be hugely detrimental</w:t>
      </w:r>
      <w:r>
        <w:rPr>
          <w:rFonts w:cs="Arial"/>
        </w:rPr>
        <w:t>.</w:t>
      </w:r>
    </w:p>
    <w:p w14:paraId="12F64DD2"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Coordination</w:t>
      </w:r>
    </w:p>
    <w:p w14:paraId="0E1423F2" w14:textId="77777777" w:rsidR="001556F0" w:rsidRDefault="001556F0" w:rsidP="001556F0">
      <w:pPr>
        <w:spacing w:line="264" w:lineRule="auto"/>
        <w:ind w:left="369" w:hanging="9"/>
        <w:rPr>
          <w:rFonts w:cs="Arial"/>
        </w:rPr>
      </w:pPr>
      <w:r w:rsidRPr="00FC45E9">
        <w:rPr>
          <w:rFonts w:cs="Arial"/>
        </w:rPr>
        <w:t xml:space="preserve">Some regions of Australia are experiencing increased clustering of proposed and approved </w:t>
      </w:r>
      <w:r>
        <w:rPr>
          <w:rFonts w:cs="Arial"/>
        </w:rPr>
        <w:t xml:space="preserve">projects, </w:t>
      </w:r>
      <w:r w:rsidRPr="00FC45E9">
        <w:rPr>
          <w:rFonts w:cs="Arial"/>
        </w:rPr>
        <w:t xml:space="preserve">which may result in multiple </w:t>
      </w:r>
      <w:r>
        <w:rPr>
          <w:rFonts w:cs="Arial"/>
        </w:rPr>
        <w:t>projects infiltrating and ’</w:t>
      </w:r>
      <w:r w:rsidRPr="00FC45E9">
        <w:rPr>
          <w:rFonts w:cs="Arial"/>
        </w:rPr>
        <w:t>surrounding</w:t>
      </w:r>
      <w:r>
        <w:rPr>
          <w:rFonts w:cs="Arial"/>
        </w:rPr>
        <w:t>’</w:t>
      </w:r>
      <w:r w:rsidRPr="00FC45E9">
        <w:rPr>
          <w:rFonts w:cs="Arial"/>
        </w:rPr>
        <w:t xml:space="preserve"> communities. </w:t>
      </w:r>
      <w:r>
        <w:rPr>
          <w:rFonts w:cs="Arial"/>
        </w:rPr>
        <w:t>The concept of Renewable Energy Zones, while largely beneficial to opening new areas for projects, may also have this unintended consequence.</w:t>
      </w:r>
    </w:p>
    <w:p w14:paraId="35B3A64C" w14:textId="77777777" w:rsidR="001556F0" w:rsidRPr="00FC45E9" w:rsidRDefault="001556F0" w:rsidP="001556F0">
      <w:pPr>
        <w:spacing w:line="264" w:lineRule="auto"/>
        <w:ind w:left="369" w:hanging="9"/>
        <w:rPr>
          <w:rFonts w:cs="Arial"/>
        </w:rPr>
      </w:pPr>
      <w:r w:rsidRPr="00FC45E9">
        <w:rPr>
          <w:rFonts w:cs="Arial"/>
        </w:rPr>
        <w:t xml:space="preserve">As a result, there is both the need and opportunity for individual project developers to communicate more effectively with each other and better coordinate engagement with the </w:t>
      </w:r>
      <w:r>
        <w:rPr>
          <w:rFonts w:cs="Arial"/>
        </w:rPr>
        <w:t xml:space="preserve">broader </w:t>
      </w:r>
      <w:r w:rsidRPr="00FC45E9">
        <w:rPr>
          <w:rFonts w:cs="Arial"/>
        </w:rPr>
        <w:t>affected community. Th</w:t>
      </w:r>
      <w:r>
        <w:rPr>
          <w:rFonts w:cs="Arial"/>
        </w:rPr>
        <w:t xml:space="preserve">ese activities </w:t>
      </w:r>
      <w:r w:rsidRPr="00FC45E9">
        <w:rPr>
          <w:rFonts w:cs="Arial"/>
        </w:rPr>
        <w:t xml:space="preserve">could range from combined </w:t>
      </w:r>
      <w:r>
        <w:rPr>
          <w:rFonts w:cs="Arial"/>
        </w:rPr>
        <w:t xml:space="preserve">community engagement and communications </w:t>
      </w:r>
      <w:r w:rsidRPr="00FC45E9">
        <w:rPr>
          <w:rFonts w:cs="Arial"/>
        </w:rPr>
        <w:t xml:space="preserve">initiatives by developers through to coordination of construction programs to minimise cumulative impacts on residents and townships. </w:t>
      </w:r>
    </w:p>
    <w:p w14:paraId="47FF91F8" w14:textId="77777777" w:rsidR="001556F0" w:rsidRPr="00FC45E9" w:rsidRDefault="001556F0" w:rsidP="001556F0">
      <w:pPr>
        <w:spacing w:line="264" w:lineRule="auto"/>
        <w:ind w:left="369" w:hanging="9"/>
        <w:rPr>
          <w:rFonts w:cs="Arial"/>
        </w:rPr>
      </w:pPr>
      <w:r w:rsidRPr="00FC45E9">
        <w:rPr>
          <w:rFonts w:cs="Arial"/>
        </w:rPr>
        <w:t xml:space="preserve">Developers should also be aware of other key infrastructure projects that may be taking place </w:t>
      </w:r>
      <w:r>
        <w:rPr>
          <w:rFonts w:cs="Arial"/>
        </w:rPr>
        <w:t>with</w:t>
      </w:r>
      <w:r w:rsidRPr="00FC45E9">
        <w:rPr>
          <w:rFonts w:cs="Arial"/>
        </w:rPr>
        <w:t xml:space="preserve">in </w:t>
      </w:r>
      <w:r>
        <w:rPr>
          <w:rFonts w:cs="Arial"/>
        </w:rPr>
        <w:t xml:space="preserve">the </w:t>
      </w:r>
      <w:r w:rsidRPr="00FC45E9">
        <w:rPr>
          <w:rFonts w:cs="Arial"/>
        </w:rPr>
        <w:t xml:space="preserve">region and ensure that project </w:t>
      </w:r>
      <w:r>
        <w:rPr>
          <w:rFonts w:cs="Arial"/>
        </w:rPr>
        <w:t xml:space="preserve">activities and </w:t>
      </w:r>
      <w:r w:rsidRPr="00FC45E9">
        <w:rPr>
          <w:rFonts w:cs="Arial"/>
        </w:rPr>
        <w:t>schedules are planned and coordinated to minimise impacts to communities.</w:t>
      </w:r>
    </w:p>
    <w:p w14:paraId="328FA133" w14:textId="77777777" w:rsidR="001556F0" w:rsidRPr="00FC45E9" w:rsidRDefault="001556F0" w:rsidP="001556F0">
      <w:pPr>
        <w:spacing w:line="264" w:lineRule="auto"/>
        <w:ind w:left="369" w:hanging="9"/>
        <w:rPr>
          <w:rFonts w:cs="Arial"/>
          <w:b/>
        </w:rPr>
      </w:pPr>
      <w:r w:rsidRPr="00FC45E9">
        <w:rPr>
          <w:rFonts w:cs="Arial"/>
          <w:b/>
        </w:rPr>
        <w:t>Guidelines</w:t>
      </w:r>
    </w:p>
    <w:p w14:paraId="4B27EDA7" w14:textId="77777777" w:rsidR="001556F0" w:rsidRDefault="001556F0" w:rsidP="001556F0">
      <w:pPr>
        <w:pStyle w:val="ListParagraph"/>
        <w:numPr>
          <w:ilvl w:val="0"/>
          <w:numId w:val="0"/>
        </w:numPr>
        <w:spacing w:line="264" w:lineRule="auto"/>
        <w:ind w:left="360"/>
        <w:rPr>
          <w:rFonts w:cs="Arial"/>
        </w:rPr>
      </w:pPr>
      <w:r>
        <w:rPr>
          <w:rFonts w:cs="Arial"/>
        </w:rPr>
        <w:t>Several</w:t>
      </w:r>
      <w:r w:rsidRPr="00FC45E9">
        <w:rPr>
          <w:rFonts w:cs="Arial"/>
        </w:rPr>
        <w:t xml:space="preserve"> community engagement publications </w:t>
      </w:r>
      <w:r>
        <w:rPr>
          <w:rFonts w:cs="Arial"/>
        </w:rPr>
        <w:t>have been</w:t>
      </w:r>
      <w:r w:rsidRPr="00FC45E9">
        <w:rPr>
          <w:rFonts w:cs="Arial"/>
        </w:rPr>
        <w:t xml:space="preserve"> issued or updated</w:t>
      </w:r>
      <w:r>
        <w:rPr>
          <w:rFonts w:cs="Arial"/>
        </w:rPr>
        <w:t xml:space="preserve"> in recent times</w:t>
      </w:r>
      <w:r w:rsidRPr="00FC45E9">
        <w:rPr>
          <w:rFonts w:cs="Arial"/>
        </w:rPr>
        <w:t xml:space="preserve">, including publications by the Clean Energy Council and the Victorian Government. These </w:t>
      </w:r>
      <w:r>
        <w:rPr>
          <w:rFonts w:cs="Arial"/>
        </w:rPr>
        <w:t xml:space="preserve">guidelines </w:t>
      </w:r>
      <w:r w:rsidRPr="00FC45E9">
        <w:rPr>
          <w:rFonts w:cs="Arial"/>
        </w:rPr>
        <w:t xml:space="preserve">are very useful resources to assist developers </w:t>
      </w:r>
      <w:r>
        <w:rPr>
          <w:rFonts w:cs="Arial"/>
        </w:rPr>
        <w:t xml:space="preserve">plan, </w:t>
      </w:r>
      <w:r w:rsidRPr="00FC45E9">
        <w:rPr>
          <w:rFonts w:cs="Arial"/>
        </w:rPr>
        <w:t xml:space="preserve">prepare and execute effective engagement programs. </w:t>
      </w:r>
    </w:p>
    <w:p w14:paraId="55D50E7C"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lastRenderedPageBreak/>
        <w:t>Community engagement plans are now also required in some planning permits as a prerequisite condition.</w:t>
      </w:r>
      <w:r>
        <w:rPr>
          <w:rFonts w:cs="Arial"/>
        </w:rPr>
        <w:t xml:space="preserve"> Other stakeholders may also mandate the requirement for a well-designed and executed community engagement plan.</w:t>
      </w:r>
    </w:p>
    <w:p w14:paraId="69999DAF"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Overall, there continues to be a wide range of opportunities for developers to further broaden and improve </w:t>
      </w:r>
      <w:r>
        <w:rPr>
          <w:rFonts w:cs="Arial"/>
        </w:rPr>
        <w:t xml:space="preserve">their </w:t>
      </w:r>
      <w:r w:rsidRPr="00FC45E9">
        <w:rPr>
          <w:rFonts w:cs="Arial"/>
        </w:rPr>
        <w:t>community engagement</w:t>
      </w:r>
      <w:r>
        <w:rPr>
          <w:rFonts w:cs="Arial"/>
        </w:rPr>
        <w:t>.</w:t>
      </w:r>
      <w:r w:rsidRPr="00FC45E9">
        <w:rPr>
          <w:rFonts w:cs="Arial"/>
        </w:rPr>
        <w:t xml:space="preserve"> </w:t>
      </w:r>
      <w:r>
        <w:rPr>
          <w:rFonts w:cs="Arial"/>
        </w:rPr>
        <w:t>S</w:t>
      </w:r>
      <w:r w:rsidRPr="00FC45E9">
        <w:rPr>
          <w:rFonts w:cs="Arial"/>
        </w:rPr>
        <w:t xml:space="preserve">uggestions gained from </w:t>
      </w:r>
      <w:r>
        <w:rPr>
          <w:rFonts w:cs="Arial"/>
        </w:rPr>
        <w:t xml:space="preserve">our </w:t>
      </w:r>
      <w:r w:rsidRPr="00FC45E9">
        <w:rPr>
          <w:rFonts w:cs="Arial"/>
        </w:rPr>
        <w:t>observations of various practices across the industry are listed below.</w:t>
      </w:r>
    </w:p>
    <w:p w14:paraId="45433F54" w14:textId="77777777" w:rsidR="001556F0" w:rsidRPr="00FC45E9" w:rsidRDefault="001556F0" w:rsidP="001556F0">
      <w:pPr>
        <w:pStyle w:val="ListParagraph"/>
        <w:numPr>
          <w:ilvl w:val="1"/>
          <w:numId w:val="8"/>
        </w:numPr>
        <w:spacing w:line="264" w:lineRule="auto"/>
        <w:rPr>
          <w:rFonts w:cs="Arial"/>
          <w:b/>
        </w:rPr>
      </w:pPr>
      <w:r w:rsidRPr="00FC45E9">
        <w:rPr>
          <w:rFonts w:cs="Arial"/>
          <w:b/>
        </w:rPr>
        <w:t>Recommendations</w:t>
      </w:r>
    </w:p>
    <w:p w14:paraId="3FE163EA"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The developer should ideally commence and invest early in community engagement – well before the commencement of the permit approval phase. An acquirer of a project still in development should conduct detailed due diligence on the extent and effectiveness of community engagement activities undertaken by the </w:t>
      </w:r>
      <w:r>
        <w:rPr>
          <w:rFonts w:cs="Arial"/>
        </w:rPr>
        <w:t xml:space="preserve">existing </w:t>
      </w:r>
      <w:r w:rsidRPr="00FC45E9">
        <w:rPr>
          <w:rFonts w:cs="Arial"/>
        </w:rPr>
        <w:t>developer</w:t>
      </w:r>
      <w:r>
        <w:rPr>
          <w:rFonts w:cs="Arial"/>
        </w:rPr>
        <w:t>,</w:t>
      </w:r>
      <w:r w:rsidRPr="00FC45E9">
        <w:rPr>
          <w:rFonts w:cs="Arial"/>
        </w:rPr>
        <w:t xml:space="preserve"> prior to finalising purchase of the project</w:t>
      </w:r>
      <w:r>
        <w:rPr>
          <w:rFonts w:cs="Arial"/>
        </w:rPr>
        <w:t>,</w:t>
      </w:r>
      <w:r w:rsidRPr="00FC45E9">
        <w:rPr>
          <w:rFonts w:cs="Arial"/>
        </w:rPr>
        <w:t xml:space="preserve"> and be prepared to make the necessary investments in community engagement going forward.</w:t>
      </w:r>
    </w:p>
    <w:p w14:paraId="44C2DF26"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The developer should proactively identify and establish effective working relationships with key community stakeholders, including stakeholders that may be opposed to the project</w:t>
      </w:r>
      <w:r>
        <w:rPr>
          <w:rFonts w:cs="Arial"/>
        </w:rPr>
        <w:t xml:space="preserve"> (including organised groups that are opposed to the project).</w:t>
      </w:r>
    </w:p>
    <w:p w14:paraId="02F7982A"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The developer should, in consultation with the responsible authority and the community, consider establishing a CCC (or equivalent) with an appropriate charter and membership (noting that in some jurisdictions, a CCC may be mandated). The CCC Chair should, where practical, be a respected and representative member of the community at large as well as independent of any direct impact or beneficiary of the proposed </w:t>
      </w:r>
      <w:r>
        <w:rPr>
          <w:rFonts w:cs="Arial"/>
        </w:rPr>
        <w:t>project</w:t>
      </w:r>
      <w:r w:rsidRPr="00FC45E9">
        <w:rPr>
          <w:rFonts w:cs="Arial"/>
        </w:rPr>
        <w:t>. Ideally, the CCC should meet monthly during critical stages of the project’s development, approval, construction, post-construction testing and initial operations.</w:t>
      </w:r>
    </w:p>
    <w:p w14:paraId="6F953130"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Many developers provide a range of information and education opportunities for community members to better understand the benefits and impacts of wind </w:t>
      </w:r>
      <w:r>
        <w:rPr>
          <w:rFonts w:cs="Arial"/>
        </w:rPr>
        <w:t xml:space="preserve">or solar </w:t>
      </w:r>
      <w:r w:rsidRPr="00FC45E9">
        <w:rPr>
          <w:rFonts w:cs="Arial"/>
        </w:rPr>
        <w:t>farms as well as address any questions and concerns raised. Initiatives to consider include:</w:t>
      </w:r>
    </w:p>
    <w:p w14:paraId="498CE58A" w14:textId="77777777" w:rsidR="001556F0" w:rsidRPr="00FC45E9" w:rsidRDefault="001556F0" w:rsidP="001556F0">
      <w:pPr>
        <w:pStyle w:val="ListBullet"/>
        <w:numPr>
          <w:ilvl w:val="0"/>
          <w:numId w:val="11"/>
        </w:numPr>
        <w:spacing w:line="264" w:lineRule="auto"/>
        <w:ind w:hanging="720"/>
        <w:rPr>
          <w:rFonts w:cs="Arial"/>
        </w:rPr>
      </w:pPr>
      <w:r w:rsidRPr="00FC45E9">
        <w:rPr>
          <w:rFonts w:cs="Arial"/>
        </w:rPr>
        <w:t xml:space="preserve">establishing a ‘shop front’ in the community town centre that provides project/permit information, a map and model of the project, information about wind </w:t>
      </w:r>
      <w:r>
        <w:rPr>
          <w:rFonts w:cs="Arial"/>
        </w:rPr>
        <w:t xml:space="preserve">and solar </w:t>
      </w:r>
      <w:r w:rsidRPr="00FC45E9">
        <w:rPr>
          <w:rFonts w:cs="Arial"/>
        </w:rPr>
        <w:t>farms and an ability to address questions or concerns raised by community members</w:t>
      </w:r>
    </w:p>
    <w:p w14:paraId="3D4ECDA7" w14:textId="77777777" w:rsidR="001556F0" w:rsidRPr="00FC45E9" w:rsidRDefault="001556F0" w:rsidP="001556F0">
      <w:pPr>
        <w:pStyle w:val="ListBullet"/>
        <w:numPr>
          <w:ilvl w:val="0"/>
          <w:numId w:val="11"/>
        </w:numPr>
        <w:spacing w:line="264" w:lineRule="auto"/>
        <w:ind w:hanging="720"/>
        <w:rPr>
          <w:rFonts w:cs="Arial"/>
        </w:rPr>
      </w:pPr>
      <w:r w:rsidRPr="00FC45E9">
        <w:rPr>
          <w:rFonts w:cs="Arial"/>
        </w:rPr>
        <w:t>providing an informal channel for community members to ask questions</w:t>
      </w:r>
      <w:r>
        <w:rPr>
          <w:rFonts w:cs="Arial"/>
        </w:rPr>
        <w:t>, for example, by utilising a social media platform,</w:t>
      </w:r>
      <w:r w:rsidRPr="00FC45E9">
        <w:rPr>
          <w:rFonts w:cs="Arial"/>
        </w:rPr>
        <w:t xml:space="preserve"> and provide feedback about the project, and be able to do so anonymously</w:t>
      </w:r>
      <w:r>
        <w:rPr>
          <w:rFonts w:cs="Arial"/>
        </w:rPr>
        <w:t>,</w:t>
      </w:r>
      <w:r w:rsidRPr="00FC45E9">
        <w:rPr>
          <w:rFonts w:cs="Arial"/>
        </w:rPr>
        <w:t xml:space="preserve"> if required </w:t>
      </w:r>
    </w:p>
    <w:p w14:paraId="13345670" w14:textId="77777777" w:rsidR="001556F0" w:rsidRPr="00FC45E9" w:rsidRDefault="001556F0" w:rsidP="001556F0">
      <w:pPr>
        <w:pStyle w:val="ListParagraph"/>
        <w:numPr>
          <w:ilvl w:val="0"/>
          <w:numId w:val="11"/>
        </w:numPr>
        <w:spacing w:line="264" w:lineRule="auto"/>
        <w:ind w:hanging="720"/>
        <w:rPr>
          <w:rFonts w:cs="Arial"/>
        </w:rPr>
      </w:pPr>
      <w:r w:rsidRPr="00FC45E9">
        <w:rPr>
          <w:rFonts w:cs="Arial"/>
        </w:rPr>
        <w:t xml:space="preserve">providing opportunities for community members to visit operating </w:t>
      </w:r>
      <w:r>
        <w:rPr>
          <w:rFonts w:cs="Arial"/>
        </w:rPr>
        <w:t>projects and/or projects under construction</w:t>
      </w:r>
    </w:p>
    <w:p w14:paraId="59E4C733" w14:textId="77777777" w:rsidR="001556F0" w:rsidRPr="00FC45E9" w:rsidRDefault="001556F0" w:rsidP="001556F0">
      <w:pPr>
        <w:pStyle w:val="ListParagraph"/>
        <w:numPr>
          <w:ilvl w:val="0"/>
          <w:numId w:val="11"/>
        </w:numPr>
        <w:spacing w:line="264" w:lineRule="auto"/>
        <w:ind w:hanging="720"/>
        <w:rPr>
          <w:rFonts w:cs="Arial"/>
        </w:rPr>
      </w:pPr>
      <w:r w:rsidRPr="00FC45E9">
        <w:rPr>
          <w:rFonts w:cs="Arial"/>
        </w:rPr>
        <w:t>providing access to a wind farm noise simulator to demonstrate wind farm noise to community members</w:t>
      </w:r>
      <w:r>
        <w:rPr>
          <w:rFonts w:cs="Arial"/>
        </w:rPr>
        <w:t>,</w:t>
      </w:r>
      <w:r w:rsidRPr="00FC45E9">
        <w:rPr>
          <w:rFonts w:cs="Arial"/>
        </w:rPr>
        <w:t xml:space="preserve"> enabl</w:t>
      </w:r>
      <w:r>
        <w:rPr>
          <w:rFonts w:cs="Arial"/>
        </w:rPr>
        <w:t xml:space="preserve">ing participants </w:t>
      </w:r>
      <w:r w:rsidRPr="00FC45E9">
        <w:rPr>
          <w:rFonts w:cs="Arial"/>
        </w:rPr>
        <w:t>to experience simulated noise scenarios</w:t>
      </w:r>
    </w:p>
    <w:p w14:paraId="38BAD86D" w14:textId="77777777" w:rsidR="001556F0" w:rsidRPr="00FC45E9" w:rsidRDefault="001556F0" w:rsidP="001556F0">
      <w:pPr>
        <w:pStyle w:val="ListParagraph"/>
        <w:numPr>
          <w:ilvl w:val="0"/>
          <w:numId w:val="11"/>
        </w:numPr>
        <w:spacing w:line="264" w:lineRule="auto"/>
        <w:ind w:hanging="720"/>
        <w:rPr>
          <w:rFonts w:cs="Arial"/>
        </w:rPr>
      </w:pPr>
      <w:r w:rsidRPr="00FC45E9">
        <w:rPr>
          <w:rFonts w:cs="Arial"/>
        </w:rPr>
        <w:t>maintaining an easily found, up-to-date project website with full transparency on contacts, complaint process, project details, the project’s current status along with planning permit details and documentation</w:t>
      </w:r>
    </w:p>
    <w:p w14:paraId="730DB2D3" w14:textId="77777777" w:rsidR="001556F0" w:rsidRPr="00FC45E9" w:rsidRDefault="001556F0" w:rsidP="001556F0">
      <w:pPr>
        <w:pStyle w:val="ListParagraph"/>
        <w:numPr>
          <w:ilvl w:val="0"/>
          <w:numId w:val="11"/>
        </w:numPr>
        <w:spacing w:line="264" w:lineRule="auto"/>
        <w:ind w:hanging="720"/>
        <w:rPr>
          <w:rFonts w:cs="Arial"/>
        </w:rPr>
      </w:pPr>
      <w:r w:rsidRPr="00FC45E9">
        <w:rPr>
          <w:rFonts w:cs="Arial"/>
        </w:rPr>
        <w:t>briefing local members (</w:t>
      </w:r>
      <w:r>
        <w:rPr>
          <w:rFonts w:cs="Arial"/>
        </w:rPr>
        <w:t>f</w:t>
      </w:r>
      <w:r w:rsidRPr="00FC45E9">
        <w:rPr>
          <w:rFonts w:cs="Arial"/>
        </w:rPr>
        <w:t xml:space="preserve">ederal, </w:t>
      </w:r>
      <w:r>
        <w:rPr>
          <w:rFonts w:cs="Arial"/>
        </w:rPr>
        <w:t>s</w:t>
      </w:r>
      <w:r w:rsidRPr="00FC45E9">
        <w:rPr>
          <w:rFonts w:cs="Arial"/>
        </w:rPr>
        <w:t xml:space="preserve">tate and </w:t>
      </w:r>
      <w:r>
        <w:rPr>
          <w:rFonts w:cs="Arial"/>
        </w:rPr>
        <w:t>l</w:t>
      </w:r>
      <w:r w:rsidRPr="00FC45E9">
        <w:rPr>
          <w:rFonts w:cs="Arial"/>
        </w:rPr>
        <w:t xml:space="preserve">ocal </w:t>
      </w:r>
      <w:r>
        <w:rPr>
          <w:rFonts w:cs="Arial"/>
        </w:rPr>
        <w:t>g</w:t>
      </w:r>
      <w:r w:rsidRPr="00FC45E9">
        <w:rPr>
          <w:rFonts w:cs="Arial"/>
        </w:rPr>
        <w:t>overnment) on the project and providing them with timely updates and information</w:t>
      </w:r>
    </w:p>
    <w:p w14:paraId="6F9231B3" w14:textId="77777777" w:rsidR="001556F0" w:rsidRPr="00FC45E9" w:rsidRDefault="001556F0" w:rsidP="001556F0">
      <w:pPr>
        <w:pStyle w:val="ListParagraph"/>
        <w:numPr>
          <w:ilvl w:val="0"/>
          <w:numId w:val="11"/>
        </w:numPr>
        <w:spacing w:line="264" w:lineRule="auto"/>
        <w:ind w:hanging="720"/>
        <w:rPr>
          <w:rFonts w:cs="Arial"/>
        </w:rPr>
      </w:pPr>
      <w:r w:rsidRPr="00FC45E9">
        <w:rPr>
          <w:rFonts w:cs="Arial"/>
        </w:rPr>
        <w:t xml:space="preserve">developing effective relationships with local media and providing the media with factual information to assist their reporting of the project and any </w:t>
      </w:r>
      <w:r>
        <w:rPr>
          <w:rFonts w:cs="Arial"/>
        </w:rPr>
        <w:t xml:space="preserve">perceived or real </w:t>
      </w:r>
      <w:r w:rsidRPr="00FC45E9">
        <w:rPr>
          <w:rFonts w:cs="Arial"/>
        </w:rPr>
        <w:t>impacts</w:t>
      </w:r>
    </w:p>
    <w:p w14:paraId="56899357" w14:textId="77777777" w:rsidR="001556F0" w:rsidRDefault="001556F0" w:rsidP="001556F0">
      <w:pPr>
        <w:pStyle w:val="ListParagraph"/>
        <w:numPr>
          <w:ilvl w:val="0"/>
          <w:numId w:val="11"/>
        </w:numPr>
        <w:spacing w:line="264" w:lineRule="auto"/>
        <w:ind w:hanging="720"/>
        <w:rPr>
          <w:rFonts w:cs="Arial"/>
        </w:rPr>
      </w:pPr>
      <w:r w:rsidRPr="00FC45E9">
        <w:rPr>
          <w:rFonts w:cs="Arial"/>
        </w:rPr>
        <w:lastRenderedPageBreak/>
        <w:t>providing information sessions about the project</w:t>
      </w:r>
      <w:r>
        <w:rPr>
          <w:rFonts w:cs="Arial"/>
        </w:rPr>
        <w:t>,</w:t>
      </w:r>
      <w:r w:rsidRPr="00FC45E9">
        <w:rPr>
          <w:rFonts w:cs="Arial"/>
        </w:rPr>
        <w:t xml:space="preserve"> </w:t>
      </w:r>
      <w:r>
        <w:rPr>
          <w:rFonts w:cs="Arial"/>
        </w:rPr>
        <w:t>as well as</w:t>
      </w:r>
      <w:r w:rsidRPr="00FC45E9">
        <w:rPr>
          <w:rFonts w:cs="Arial"/>
        </w:rPr>
        <w:t xml:space="preserve"> </w:t>
      </w:r>
      <w:r>
        <w:rPr>
          <w:rFonts w:cs="Arial"/>
        </w:rPr>
        <w:t xml:space="preserve">about </w:t>
      </w:r>
      <w:r w:rsidRPr="00FC45E9">
        <w:rPr>
          <w:rFonts w:cs="Arial"/>
        </w:rPr>
        <w:t>wind</w:t>
      </w:r>
      <w:r>
        <w:rPr>
          <w:rFonts w:cs="Arial"/>
        </w:rPr>
        <w:t xml:space="preserve"> farms</w:t>
      </w:r>
      <w:r w:rsidRPr="00FC45E9">
        <w:rPr>
          <w:rFonts w:cs="Arial"/>
        </w:rPr>
        <w:t xml:space="preserve"> </w:t>
      </w:r>
      <w:r>
        <w:rPr>
          <w:rFonts w:cs="Arial"/>
        </w:rPr>
        <w:t xml:space="preserve">and/or solar </w:t>
      </w:r>
      <w:r w:rsidRPr="00FC45E9">
        <w:rPr>
          <w:rFonts w:cs="Arial"/>
        </w:rPr>
        <w:t xml:space="preserve">farms more generally, at convenient locations for community members, including presentations from key stakeholders, </w:t>
      </w:r>
      <w:r>
        <w:rPr>
          <w:rFonts w:cs="Arial"/>
        </w:rPr>
        <w:t xml:space="preserve">to compliment </w:t>
      </w:r>
      <w:r w:rsidRPr="00FC45E9">
        <w:rPr>
          <w:rFonts w:cs="Arial"/>
        </w:rPr>
        <w:t>regular project newsletters and updates</w:t>
      </w:r>
    </w:p>
    <w:p w14:paraId="76E65F6C" w14:textId="77777777" w:rsidR="001556F0" w:rsidRPr="00FC45E9" w:rsidRDefault="001556F0" w:rsidP="001556F0">
      <w:pPr>
        <w:pStyle w:val="ListParagraph"/>
        <w:numPr>
          <w:ilvl w:val="0"/>
          <w:numId w:val="11"/>
        </w:numPr>
        <w:spacing w:line="264" w:lineRule="auto"/>
        <w:ind w:hanging="720"/>
        <w:rPr>
          <w:rFonts w:cs="Arial"/>
        </w:rPr>
      </w:pPr>
      <w:r>
        <w:rPr>
          <w:rFonts w:cs="Arial"/>
        </w:rPr>
        <w:t>ensuring transparency for employment and contractor opportunities that arise from the project’s construction and operational phases</w:t>
      </w:r>
    </w:p>
    <w:p w14:paraId="7EE7A4DF" w14:textId="77777777" w:rsidR="001556F0" w:rsidRDefault="001556F0" w:rsidP="001556F0">
      <w:pPr>
        <w:pStyle w:val="ListParagraph"/>
        <w:numPr>
          <w:ilvl w:val="0"/>
          <w:numId w:val="11"/>
        </w:numPr>
        <w:spacing w:line="264" w:lineRule="auto"/>
        <w:ind w:hanging="720"/>
        <w:rPr>
          <w:rFonts w:cs="Arial"/>
        </w:rPr>
      </w:pPr>
      <w:r w:rsidRPr="00FC45E9">
        <w:rPr>
          <w:rFonts w:cs="Arial"/>
        </w:rPr>
        <w:t>publishing the minutes, where applicable, of CCC (or equivalent) meetings and allowing observers to attend CCC meetings</w:t>
      </w:r>
      <w:r>
        <w:rPr>
          <w:rFonts w:cs="Arial"/>
        </w:rPr>
        <w:t>, and</w:t>
      </w:r>
    </w:p>
    <w:p w14:paraId="17ACFBEC" w14:textId="77777777" w:rsidR="001556F0" w:rsidRPr="00FC45E9" w:rsidRDefault="001556F0" w:rsidP="001556F0">
      <w:pPr>
        <w:pStyle w:val="ListParagraph"/>
        <w:numPr>
          <w:ilvl w:val="0"/>
          <w:numId w:val="11"/>
        </w:numPr>
        <w:spacing w:line="264" w:lineRule="auto"/>
        <w:ind w:hanging="720"/>
        <w:rPr>
          <w:rFonts w:cs="Arial"/>
        </w:rPr>
      </w:pPr>
      <w:r>
        <w:rPr>
          <w:rFonts w:cs="Arial"/>
        </w:rPr>
        <w:t>understanding and assessing the impacts on local accommodation and catering during construction. Opportunities may exist for developers to construct accommodation which may, in turn, be utilised for long-term accommodation for people in need of housing arrangements. It is also essential that contractors pay invoices and accounts on time that may be rendered for accommodation and meals/catering consumed by construction workers.</w:t>
      </w:r>
    </w:p>
    <w:p w14:paraId="6249386A"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The developer should establish a formal complaints/enquiry process, including a system to record and manage complaints, as well as provide a transparent register of complaints/enquiries information (note: actual complainant details can be masked for privacy). The complaints process should ideally commence at the initial stage of the development activity</w:t>
      </w:r>
      <w:r>
        <w:rPr>
          <w:rFonts w:cs="Arial"/>
        </w:rPr>
        <w:t>,</w:t>
      </w:r>
      <w:r w:rsidRPr="00FC45E9">
        <w:rPr>
          <w:rFonts w:cs="Arial"/>
        </w:rPr>
        <w:t xml:space="preserve"> to allow community members</w:t>
      </w:r>
      <w:r>
        <w:rPr>
          <w:rFonts w:cs="Arial"/>
        </w:rPr>
        <w:t xml:space="preserve"> to</w:t>
      </w:r>
      <w:r w:rsidRPr="00FC45E9">
        <w:rPr>
          <w:rFonts w:cs="Arial"/>
        </w:rPr>
        <w:t xml:space="preserve"> formally raise concerns and have those concerns addressed in a timely, consistent</w:t>
      </w:r>
      <w:r>
        <w:rPr>
          <w:rFonts w:cs="Arial"/>
        </w:rPr>
        <w:t xml:space="preserve"> </w:t>
      </w:r>
      <w:r w:rsidRPr="00FC45E9">
        <w:rPr>
          <w:rFonts w:cs="Arial"/>
        </w:rPr>
        <w:t>and transparent manner</w:t>
      </w:r>
      <w:r>
        <w:rPr>
          <w:rFonts w:cs="Arial"/>
        </w:rPr>
        <w:t>, and continue on throughout the life of the project.</w:t>
      </w:r>
    </w:p>
    <w:p w14:paraId="2E0636BE"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The developer (and CCC if it exists) should consult widely and communicate effectively and extensively on the proposed construction and related transport plan. The developer should also ensure appropriate restoration and ‘make-good’ actions are in place to remedy damage that may occur and seek, where practical, to leave local infrastructure in the same or better condition than prior to the construction. The developer should also proactively provide communications during construction using all forms of relevant channels, such as text messaging, to advise community members </w:t>
      </w:r>
      <w:r>
        <w:rPr>
          <w:rFonts w:cs="Arial"/>
        </w:rPr>
        <w:t xml:space="preserve">in advance </w:t>
      </w:r>
      <w:r w:rsidRPr="00FC45E9">
        <w:rPr>
          <w:rFonts w:cs="Arial"/>
        </w:rPr>
        <w:t>of impactful activities. Where more than one construction project is occurring in the same area, collaboration should occur between the projects to proactively identify and resolve issues, such as constrained supplies such as gravel, tradespeople, accommodation</w:t>
      </w:r>
      <w:r>
        <w:rPr>
          <w:rFonts w:cs="Arial"/>
        </w:rPr>
        <w:t>, meals</w:t>
      </w:r>
      <w:r w:rsidRPr="00FC45E9">
        <w:rPr>
          <w:rFonts w:cs="Arial"/>
        </w:rPr>
        <w:t xml:space="preserve"> as well as road access issues.</w:t>
      </w:r>
    </w:p>
    <w:p w14:paraId="3F6ED0A5"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Further to Recommendation 3.2.6, the developer may wish to seek out opportunities to help facilitate improvements to other related community/local infrastructure. Initiatives could include improving mobile phone coverage, utilising the ‘imported’ project workforce to help upgrade local facilities (such as parks, playgrounds) and other practical activities which could benefit the overall community for years to come.</w:t>
      </w:r>
    </w:p>
    <w:p w14:paraId="19471792"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Local council(s) should proactively engage with the project and community, clearly communicating the council’s </w:t>
      </w:r>
      <w:r>
        <w:rPr>
          <w:rFonts w:cs="Arial"/>
        </w:rPr>
        <w:t xml:space="preserve">level of </w:t>
      </w:r>
      <w:r w:rsidRPr="00FC45E9">
        <w:rPr>
          <w:rFonts w:cs="Arial"/>
        </w:rPr>
        <w:t>support for the project as well as its role in facilitating and promoting effective community consultation</w:t>
      </w:r>
      <w:r>
        <w:rPr>
          <w:rFonts w:cs="Arial"/>
        </w:rPr>
        <w:t xml:space="preserve"> and project compliance</w:t>
      </w:r>
      <w:r w:rsidRPr="00FC45E9">
        <w:rPr>
          <w:rFonts w:cs="Arial"/>
        </w:rPr>
        <w:t xml:space="preserve">. Council should participate in any CCC or equivalent. If there are multiple </w:t>
      </w:r>
      <w:r>
        <w:rPr>
          <w:rFonts w:cs="Arial"/>
        </w:rPr>
        <w:t>large-scale infrastructure projects located within a c</w:t>
      </w:r>
      <w:r w:rsidRPr="00FC45E9">
        <w:rPr>
          <w:rFonts w:cs="Arial"/>
        </w:rPr>
        <w:t>ouncil’s jurisdiction, it w</w:t>
      </w:r>
      <w:r>
        <w:rPr>
          <w:rFonts w:cs="Arial"/>
        </w:rPr>
        <w:t>ould be advisable to appoint a c</w:t>
      </w:r>
      <w:r w:rsidRPr="00FC45E9">
        <w:rPr>
          <w:rFonts w:cs="Arial"/>
        </w:rPr>
        <w:t>ouncil liaison resource</w:t>
      </w:r>
      <w:r>
        <w:rPr>
          <w:rFonts w:cs="Arial"/>
        </w:rPr>
        <w:t>(s)</w:t>
      </w:r>
      <w:r w:rsidRPr="00FC45E9">
        <w:rPr>
          <w:rFonts w:cs="Arial"/>
        </w:rPr>
        <w:t xml:space="preserve"> to coordinate relations and issue resolution between </w:t>
      </w:r>
      <w:r>
        <w:rPr>
          <w:rFonts w:cs="Arial"/>
        </w:rPr>
        <w:t xml:space="preserve">council, </w:t>
      </w:r>
      <w:r w:rsidRPr="00FC45E9">
        <w:rPr>
          <w:rFonts w:cs="Arial"/>
        </w:rPr>
        <w:t>community</w:t>
      </w:r>
      <w:r>
        <w:rPr>
          <w:rFonts w:cs="Arial"/>
        </w:rPr>
        <w:t xml:space="preserve"> members</w:t>
      </w:r>
      <w:r w:rsidRPr="00FC45E9">
        <w:rPr>
          <w:rFonts w:cs="Arial"/>
        </w:rPr>
        <w:t xml:space="preserve"> and developers.</w:t>
      </w:r>
    </w:p>
    <w:p w14:paraId="575FF668"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Where possible, the developer should engage staff locally (or </w:t>
      </w:r>
      <w:r>
        <w:rPr>
          <w:rFonts w:cs="Arial"/>
        </w:rPr>
        <w:t>re</w:t>
      </w:r>
      <w:r w:rsidRPr="00FC45E9">
        <w:rPr>
          <w:rFonts w:cs="Arial"/>
        </w:rPr>
        <w:t xml:space="preserve">locate them locally) to lead community engagement activities and respond to community concerns and complaints. </w:t>
      </w:r>
      <w:r>
        <w:rPr>
          <w:rFonts w:cs="Arial"/>
        </w:rPr>
        <w:br/>
      </w:r>
      <w:r w:rsidRPr="00FC45E9">
        <w:rPr>
          <w:rFonts w:cs="Arial"/>
        </w:rPr>
        <w:t>The developer should also seek to hire local tradespeople</w:t>
      </w:r>
      <w:r>
        <w:rPr>
          <w:rFonts w:cs="Arial"/>
        </w:rPr>
        <w:t>,</w:t>
      </w:r>
      <w:r w:rsidRPr="00FC45E9">
        <w:rPr>
          <w:rFonts w:cs="Arial"/>
        </w:rPr>
        <w:t xml:space="preserve"> contractor staff </w:t>
      </w:r>
      <w:r>
        <w:rPr>
          <w:rFonts w:cs="Arial"/>
        </w:rPr>
        <w:t xml:space="preserve">and suppliers </w:t>
      </w:r>
      <w:r w:rsidRPr="00FC45E9">
        <w:rPr>
          <w:rFonts w:cs="Arial"/>
        </w:rPr>
        <w:t>where practical.</w:t>
      </w:r>
    </w:p>
    <w:p w14:paraId="177CE0BB"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lastRenderedPageBreak/>
        <w:t xml:space="preserve">Once a </w:t>
      </w:r>
      <w:r>
        <w:rPr>
          <w:rFonts w:cs="Arial"/>
        </w:rPr>
        <w:t>project</w:t>
      </w:r>
      <w:r w:rsidRPr="00FC45E9">
        <w:rPr>
          <w:rFonts w:cs="Arial"/>
        </w:rPr>
        <w:t xml:space="preserve"> is in operation, the developer should continue to proactively provide information and updates about the </w:t>
      </w:r>
      <w:r>
        <w:rPr>
          <w:rFonts w:cs="Arial"/>
        </w:rPr>
        <w:t>project</w:t>
      </w:r>
      <w:r w:rsidRPr="00FC45E9">
        <w:rPr>
          <w:rFonts w:cs="Arial"/>
        </w:rPr>
        <w:t xml:space="preserve"> a</w:t>
      </w:r>
      <w:r>
        <w:rPr>
          <w:rFonts w:cs="Arial"/>
        </w:rPr>
        <w:t>s well as</w:t>
      </w:r>
      <w:r w:rsidRPr="00FC45E9">
        <w:rPr>
          <w:rFonts w:cs="Arial"/>
        </w:rPr>
        <w:t xml:space="preserve"> provide opportunities for the community to visit the </w:t>
      </w:r>
      <w:r>
        <w:rPr>
          <w:rFonts w:cs="Arial"/>
        </w:rPr>
        <w:t xml:space="preserve">project </w:t>
      </w:r>
      <w:r w:rsidRPr="00FC45E9">
        <w:rPr>
          <w:rFonts w:cs="Arial"/>
        </w:rPr>
        <w:t>site (such as an ‘open day’).</w:t>
      </w:r>
    </w:p>
    <w:p w14:paraId="2CC61D75" w14:textId="77777777" w:rsidR="001556F0" w:rsidRDefault="001556F0" w:rsidP="001556F0">
      <w:pPr>
        <w:pStyle w:val="ListParagraph"/>
        <w:numPr>
          <w:ilvl w:val="2"/>
          <w:numId w:val="8"/>
        </w:numPr>
        <w:spacing w:line="264" w:lineRule="auto"/>
        <w:ind w:hanging="720"/>
        <w:rPr>
          <w:rFonts w:cs="Arial"/>
        </w:rPr>
      </w:pPr>
      <w:r w:rsidRPr="00FC45E9">
        <w:rPr>
          <w:rFonts w:cs="Arial"/>
        </w:rPr>
        <w:t xml:space="preserve">The developer should consider establishing and maintaining a community engagement fund and ensure there is appropriate community involvement in the governance and management of the fund. In some jurisdictions, such a fund is mandated. The fund should allow for appropriate opportunities for community originated submissions to obtain funding for project proposals. Prioritisation of funded projects that may be of benefit to those community members more directly affected by the presence of the </w:t>
      </w:r>
      <w:r>
        <w:rPr>
          <w:rFonts w:cs="Arial"/>
        </w:rPr>
        <w:t xml:space="preserve">project </w:t>
      </w:r>
      <w:r w:rsidRPr="00FC45E9">
        <w:rPr>
          <w:rFonts w:cs="Arial"/>
        </w:rPr>
        <w:t>should be encouraged.</w:t>
      </w:r>
      <w:r>
        <w:rPr>
          <w:rFonts w:cs="Arial"/>
        </w:rPr>
        <w:t xml:space="preserve"> </w:t>
      </w:r>
      <w:r w:rsidRPr="00FC45E9">
        <w:rPr>
          <w:rFonts w:cs="Arial"/>
        </w:rPr>
        <w:t xml:space="preserve">The community </w:t>
      </w:r>
      <w:r>
        <w:rPr>
          <w:rFonts w:cs="Arial"/>
        </w:rPr>
        <w:t xml:space="preserve">fund </w:t>
      </w:r>
      <w:r w:rsidRPr="00FC45E9">
        <w:rPr>
          <w:rFonts w:cs="Arial"/>
        </w:rPr>
        <w:t xml:space="preserve">should clearly include and benefit community members that live in proximity to the wind </w:t>
      </w:r>
      <w:r>
        <w:rPr>
          <w:rFonts w:cs="Arial"/>
        </w:rPr>
        <w:t xml:space="preserve">or solar </w:t>
      </w:r>
      <w:r w:rsidRPr="00FC45E9">
        <w:rPr>
          <w:rFonts w:cs="Arial"/>
        </w:rPr>
        <w:t>farm rather than only supporting projects related to a regional centre.</w:t>
      </w:r>
      <w:r>
        <w:rPr>
          <w:rFonts w:cs="Arial"/>
        </w:rPr>
        <w:t xml:space="preserve"> </w:t>
      </w:r>
    </w:p>
    <w:p w14:paraId="4764DBD5" w14:textId="77777777" w:rsidR="001556F0" w:rsidRPr="00FC45E9" w:rsidRDefault="001556F0" w:rsidP="001556F0">
      <w:pPr>
        <w:pStyle w:val="ListParagraph"/>
        <w:numPr>
          <w:ilvl w:val="2"/>
          <w:numId w:val="8"/>
        </w:numPr>
        <w:spacing w:line="264" w:lineRule="auto"/>
        <w:ind w:hanging="720"/>
        <w:rPr>
          <w:rFonts w:cs="Arial"/>
        </w:rPr>
      </w:pPr>
      <w:r w:rsidRPr="00E34265">
        <w:t>Developers may wish to consider providing offers for community members to become shareholders in the project, which can provide a practical sense of ownership within the community. Developers may also decide</w:t>
      </w:r>
      <w:r>
        <w:t xml:space="preserve"> to</w:t>
      </w:r>
      <w:r w:rsidRPr="00E34265">
        <w:t xml:space="preserve"> offer </w:t>
      </w:r>
      <w:r>
        <w:t xml:space="preserve">beneficial arrangements to community members such as reduced/subsidised </w:t>
      </w:r>
      <w:r w:rsidRPr="00E34265">
        <w:t xml:space="preserve">electricity </w:t>
      </w:r>
      <w:r>
        <w:t>bills</w:t>
      </w:r>
      <w:r w:rsidRPr="00E34265">
        <w:t>, gift cards</w:t>
      </w:r>
      <w:r>
        <w:t xml:space="preserve"> for use at local vendors</w:t>
      </w:r>
      <w:r w:rsidRPr="00E34265">
        <w:t xml:space="preserve"> or other </w:t>
      </w:r>
      <w:r>
        <w:t xml:space="preserve">practical </w:t>
      </w:r>
      <w:r w:rsidRPr="00E34265">
        <w:t>benefits to the local residents within the immediate community.</w:t>
      </w:r>
    </w:p>
    <w:p w14:paraId="03525B6A"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Stakeholders to the project, including the responsible authority, council, bankers, investors and regulators, should seek relevant evidence of both the project’s community engagement plan and outcomes from the plan’s execution as input to decisions or </w:t>
      </w:r>
      <w:r>
        <w:rPr>
          <w:rFonts w:cs="Arial"/>
        </w:rPr>
        <w:t>requirements</w:t>
      </w:r>
      <w:r w:rsidRPr="00FC45E9">
        <w:rPr>
          <w:rFonts w:cs="Arial"/>
        </w:rPr>
        <w:t xml:space="preserve"> </w:t>
      </w:r>
      <w:r>
        <w:rPr>
          <w:rFonts w:cs="Arial"/>
        </w:rPr>
        <w:t xml:space="preserve">that </w:t>
      </w:r>
      <w:r w:rsidRPr="00FC45E9">
        <w:rPr>
          <w:rFonts w:cs="Arial"/>
        </w:rPr>
        <w:t>the stakeholder may wish to place on the project and developer.</w:t>
      </w:r>
    </w:p>
    <w:p w14:paraId="0989AD9B"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Industry bodies, such as the Clean Energy Council (CEC) and the </w:t>
      </w:r>
      <w:r>
        <w:rPr>
          <w:rFonts w:cs="Arial"/>
        </w:rPr>
        <w:t xml:space="preserve">Renewable Energy </w:t>
      </w:r>
      <w:r w:rsidRPr="00FC45E9">
        <w:rPr>
          <w:rFonts w:cs="Arial"/>
        </w:rPr>
        <w:t>Alliance (</w:t>
      </w:r>
      <w:r>
        <w:rPr>
          <w:rFonts w:cs="Arial"/>
        </w:rPr>
        <w:t>REA</w:t>
      </w:r>
      <w:r w:rsidRPr="00FC45E9">
        <w:rPr>
          <w:rFonts w:cs="Arial"/>
        </w:rPr>
        <w:t xml:space="preserve">), should continue to promote effective community engagement and publicly recognise </w:t>
      </w:r>
      <w:r>
        <w:rPr>
          <w:rFonts w:cs="Arial"/>
        </w:rPr>
        <w:t>individuals and organisations</w:t>
      </w:r>
      <w:r w:rsidRPr="00FC45E9">
        <w:rPr>
          <w:rFonts w:cs="Arial"/>
        </w:rPr>
        <w:t xml:space="preserve"> achieving excellence in positive community engagement outcomes. Appropriate priority should </w:t>
      </w:r>
      <w:r>
        <w:rPr>
          <w:rFonts w:cs="Arial"/>
        </w:rPr>
        <w:t xml:space="preserve">continue to </w:t>
      </w:r>
      <w:r w:rsidRPr="00FC45E9">
        <w:rPr>
          <w:rFonts w:cs="Arial"/>
        </w:rPr>
        <w:t xml:space="preserve">be given to this topic when designing industry forum </w:t>
      </w:r>
      <w:r>
        <w:rPr>
          <w:rFonts w:cs="Arial"/>
        </w:rPr>
        <w:t>programs</w:t>
      </w:r>
      <w:r w:rsidRPr="00FC45E9">
        <w:rPr>
          <w:rFonts w:cs="Arial"/>
        </w:rPr>
        <w:t xml:space="preserve">. </w:t>
      </w:r>
    </w:p>
    <w:p w14:paraId="01D5BA5A" w14:textId="77777777" w:rsidR="001556F0" w:rsidRPr="00FC45E9" w:rsidRDefault="001556F0" w:rsidP="001556F0">
      <w:pPr>
        <w:pStyle w:val="ListParagraph"/>
        <w:numPr>
          <w:ilvl w:val="2"/>
          <w:numId w:val="8"/>
        </w:numPr>
        <w:spacing w:line="264" w:lineRule="auto"/>
        <w:ind w:hanging="720"/>
        <w:rPr>
          <w:rFonts w:cs="Arial"/>
        </w:rPr>
      </w:pPr>
      <w:r w:rsidRPr="00FC45E9">
        <w:rPr>
          <w:rFonts w:cs="Arial"/>
        </w:rPr>
        <w:t xml:space="preserve">State governments can continue to play a key role by prioritising the promotion of effective community engagement in projects. Examples include initiatives such as community engagement plans as a key selection criterion for eligibility to be awarded state government ‘feed-in tariff’ </w:t>
      </w:r>
      <w:r>
        <w:rPr>
          <w:rFonts w:cs="Arial"/>
        </w:rPr>
        <w:t xml:space="preserve">programs </w:t>
      </w:r>
      <w:r w:rsidRPr="00FC45E9">
        <w:rPr>
          <w:rFonts w:cs="Arial"/>
        </w:rPr>
        <w:t>as well as utilising formal permit conditions to mandate preparation</w:t>
      </w:r>
      <w:r>
        <w:rPr>
          <w:rFonts w:cs="Arial"/>
        </w:rPr>
        <w:t>,</w:t>
      </w:r>
      <w:r w:rsidRPr="00FC45E9">
        <w:rPr>
          <w:rFonts w:cs="Arial"/>
        </w:rPr>
        <w:t xml:space="preserve"> endorsement </w:t>
      </w:r>
      <w:r>
        <w:rPr>
          <w:rFonts w:cs="Arial"/>
        </w:rPr>
        <w:t xml:space="preserve">and execution </w:t>
      </w:r>
      <w:r w:rsidRPr="00FC45E9">
        <w:rPr>
          <w:rFonts w:cs="Arial"/>
        </w:rPr>
        <w:t>of the plan.</w:t>
      </w:r>
    </w:p>
    <w:p w14:paraId="7F5ACB26" w14:textId="4CD9D473" w:rsidR="001556F0" w:rsidRDefault="001556F0" w:rsidP="001556F0">
      <w:pPr>
        <w:pStyle w:val="ListParagraph"/>
        <w:numPr>
          <w:ilvl w:val="2"/>
          <w:numId w:val="8"/>
        </w:numPr>
        <w:spacing w:line="264" w:lineRule="auto"/>
        <w:ind w:hanging="720"/>
        <w:rPr>
          <w:rFonts w:cs="Arial"/>
        </w:rPr>
      </w:pPr>
      <w:r>
        <w:rPr>
          <w:rFonts w:cs="Arial"/>
        </w:rPr>
        <w:t xml:space="preserve">Project </w:t>
      </w:r>
      <w:r w:rsidRPr="00E13D83">
        <w:rPr>
          <w:rFonts w:cs="Arial"/>
        </w:rPr>
        <w:t>developers should ensure that all contractors</w:t>
      </w:r>
      <w:r>
        <w:rPr>
          <w:rFonts w:cs="Arial"/>
        </w:rPr>
        <w:t>, sub-contractors</w:t>
      </w:r>
      <w:r w:rsidRPr="00E13D83">
        <w:rPr>
          <w:rFonts w:cs="Arial"/>
        </w:rPr>
        <w:t xml:space="preserve"> and other project stakeholders are aware of their responsibility to engage well with the community and minimise community impacts. If there are multiple infrastructure development projects occurring </w:t>
      </w:r>
      <w:r>
        <w:rPr>
          <w:rFonts w:cs="Arial"/>
        </w:rPr>
        <w:t>with</w:t>
      </w:r>
      <w:r w:rsidRPr="00E13D83">
        <w:rPr>
          <w:rFonts w:cs="Arial"/>
        </w:rPr>
        <w:t>in a region, developers should also be aware of potential cumulative impacts to a community and should liaise with local councils and other developers to proactively plan to avoid or minimise unnecessary impact on the community.</w:t>
      </w:r>
    </w:p>
    <w:p w14:paraId="59307828" w14:textId="77777777" w:rsidR="001556F0" w:rsidRPr="00E13D83" w:rsidRDefault="001556F0" w:rsidP="001556F0">
      <w:pPr>
        <w:pStyle w:val="ListParagraph"/>
        <w:numPr>
          <w:ilvl w:val="0"/>
          <w:numId w:val="0"/>
        </w:numPr>
        <w:spacing w:line="264" w:lineRule="auto"/>
        <w:ind w:left="1224"/>
        <w:rPr>
          <w:rFonts w:cs="Arial"/>
        </w:rPr>
      </w:pPr>
    </w:p>
    <w:p w14:paraId="337E6A14" w14:textId="77777777" w:rsidR="001556F0" w:rsidRPr="00FC45E9" w:rsidRDefault="001556F0" w:rsidP="001556F0">
      <w:pPr>
        <w:pStyle w:val="Heading2"/>
        <w:numPr>
          <w:ilvl w:val="0"/>
          <w:numId w:val="8"/>
        </w:numPr>
      </w:pPr>
      <w:bookmarkStart w:id="41" w:name="_Toc51224051"/>
      <w:bookmarkStart w:id="42" w:name="_Toc84430832"/>
      <w:r w:rsidRPr="00FC45E9">
        <w:t>Planning Permits – Time Limits and Scope Changes</w:t>
      </w:r>
      <w:bookmarkEnd w:id="41"/>
      <w:bookmarkEnd w:id="42"/>
    </w:p>
    <w:p w14:paraId="13B8490D" w14:textId="77777777" w:rsidR="001556F0" w:rsidRPr="00FC45E9" w:rsidRDefault="001556F0" w:rsidP="001556F0">
      <w:pPr>
        <w:pStyle w:val="ListParagraph"/>
        <w:numPr>
          <w:ilvl w:val="1"/>
          <w:numId w:val="8"/>
        </w:numPr>
        <w:spacing w:line="264" w:lineRule="auto"/>
        <w:rPr>
          <w:rFonts w:cs="Arial"/>
          <w:b/>
        </w:rPr>
      </w:pPr>
      <w:r w:rsidRPr="00FC45E9">
        <w:rPr>
          <w:rFonts w:cs="Arial"/>
          <w:b/>
        </w:rPr>
        <w:t>Observations</w:t>
      </w:r>
    </w:p>
    <w:p w14:paraId="1FD72BA6"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Background</w:t>
      </w:r>
    </w:p>
    <w:p w14:paraId="1CB2546D"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Once approved, a </w:t>
      </w:r>
      <w:r>
        <w:rPr>
          <w:rFonts w:cs="Arial"/>
        </w:rPr>
        <w:t>project</w:t>
      </w:r>
      <w:r w:rsidRPr="00FC45E9">
        <w:rPr>
          <w:rFonts w:cs="Arial"/>
        </w:rPr>
        <w:t xml:space="preserve"> planning permit is typically granted for a period of five years.</w:t>
      </w:r>
      <w:r>
        <w:rPr>
          <w:rFonts w:cs="Arial"/>
        </w:rPr>
        <w:t xml:space="preserve"> </w:t>
      </w:r>
      <w:r w:rsidRPr="00FC45E9">
        <w:rPr>
          <w:rFonts w:cs="Arial"/>
        </w:rPr>
        <w:t xml:space="preserve">The developer then has that period of time to fulfil and complete the various plans and assessments required by the permit </w:t>
      </w:r>
      <w:r>
        <w:rPr>
          <w:rFonts w:cs="Arial"/>
        </w:rPr>
        <w:t xml:space="preserve">in order </w:t>
      </w:r>
      <w:r w:rsidRPr="00FC45E9">
        <w:rPr>
          <w:rFonts w:cs="Arial"/>
        </w:rPr>
        <w:t xml:space="preserve">to commence construction of the </w:t>
      </w:r>
      <w:r>
        <w:rPr>
          <w:rFonts w:cs="Arial"/>
        </w:rPr>
        <w:t>project,</w:t>
      </w:r>
      <w:r w:rsidRPr="00FC45E9">
        <w:rPr>
          <w:rFonts w:cs="Arial"/>
        </w:rPr>
        <w:t xml:space="preserve"> consistent within the permit conditions. </w:t>
      </w:r>
      <w:r>
        <w:rPr>
          <w:rFonts w:cs="Arial"/>
        </w:rPr>
        <w:t>It is quite common that c</w:t>
      </w:r>
      <w:r w:rsidRPr="00FC45E9">
        <w:rPr>
          <w:rFonts w:cs="Arial"/>
        </w:rPr>
        <w:t>onstruction is not completed within this five</w:t>
      </w:r>
      <w:r>
        <w:rPr>
          <w:rFonts w:cs="Arial"/>
        </w:rPr>
        <w:t>-</w:t>
      </w:r>
      <w:r w:rsidRPr="00FC45E9">
        <w:rPr>
          <w:rFonts w:cs="Arial"/>
        </w:rPr>
        <w:t xml:space="preserve">year period (or even commenced), where the developer </w:t>
      </w:r>
      <w:r>
        <w:rPr>
          <w:rFonts w:cs="Arial"/>
        </w:rPr>
        <w:t xml:space="preserve">then </w:t>
      </w:r>
      <w:r w:rsidRPr="00FC45E9">
        <w:rPr>
          <w:rFonts w:cs="Arial"/>
        </w:rPr>
        <w:t>applies for an exte</w:t>
      </w:r>
      <w:r>
        <w:rPr>
          <w:rFonts w:cs="Arial"/>
        </w:rPr>
        <w:t>nsion or renewal of the permit.</w:t>
      </w:r>
    </w:p>
    <w:p w14:paraId="005D9A44" w14:textId="77777777" w:rsidR="001556F0" w:rsidRPr="00782AB9" w:rsidRDefault="001556F0" w:rsidP="001556F0">
      <w:pPr>
        <w:pStyle w:val="ListParagraph"/>
        <w:numPr>
          <w:ilvl w:val="0"/>
          <w:numId w:val="0"/>
        </w:numPr>
        <w:spacing w:line="264" w:lineRule="auto"/>
        <w:ind w:left="360"/>
        <w:rPr>
          <w:rFonts w:cs="Arial"/>
        </w:rPr>
      </w:pPr>
      <w:r w:rsidRPr="00782AB9">
        <w:rPr>
          <w:rFonts w:cs="Arial"/>
        </w:rPr>
        <w:lastRenderedPageBreak/>
        <w:t xml:space="preserve">There have been numerous cases of projects where the permit has been extended or renewed for further periods, often with </w:t>
      </w:r>
      <w:r>
        <w:rPr>
          <w:rFonts w:cs="Arial"/>
        </w:rPr>
        <w:t xml:space="preserve">significant </w:t>
      </w:r>
      <w:r w:rsidRPr="00782AB9">
        <w:rPr>
          <w:rFonts w:cs="Arial"/>
        </w:rPr>
        <w:t>changes to the project’s design due to the ongoing technological evolution of wind turbines and solar arrays.</w:t>
      </w:r>
    </w:p>
    <w:p w14:paraId="21F3CCD1"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Elongated Time Frames</w:t>
      </w:r>
    </w:p>
    <w:p w14:paraId="2105248D" w14:textId="77777777" w:rsidR="001556F0" w:rsidRDefault="001556F0" w:rsidP="001556F0">
      <w:pPr>
        <w:pStyle w:val="ListParagraph"/>
        <w:numPr>
          <w:ilvl w:val="0"/>
          <w:numId w:val="0"/>
        </w:numPr>
        <w:spacing w:line="264" w:lineRule="auto"/>
        <w:ind w:left="360"/>
        <w:rPr>
          <w:rFonts w:cs="Arial"/>
        </w:rPr>
      </w:pPr>
      <w:r w:rsidRPr="00FC45E9">
        <w:rPr>
          <w:rFonts w:cs="Arial"/>
        </w:rPr>
        <w:t>As a hypothetical example, design and development activities for a proposed wind farm may have commenced in the 2001-2002 timeframe</w:t>
      </w:r>
      <w:r>
        <w:rPr>
          <w:rFonts w:cs="Arial"/>
        </w:rPr>
        <w:t>, submitting a planning permit in 2003</w:t>
      </w:r>
      <w:r w:rsidRPr="00FC45E9">
        <w:rPr>
          <w:rFonts w:cs="Arial"/>
        </w:rPr>
        <w:t>. In 2005, an approved planning permit with a five</w:t>
      </w:r>
      <w:r>
        <w:rPr>
          <w:rFonts w:cs="Arial"/>
        </w:rPr>
        <w:t>-</w:t>
      </w:r>
      <w:r w:rsidRPr="00FC45E9">
        <w:rPr>
          <w:rFonts w:cs="Arial"/>
        </w:rPr>
        <w:t xml:space="preserve">year expiry </w:t>
      </w:r>
      <w:r>
        <w:rPr>
          <w:rFonts w:cs="Arial"/>
        </w:rPr>
        <w:t xml:space="preserve">term </w:t>
      </w:r>
      <w:r w:rsidRPr="00FC45E9">
        <w:rPr>
          <w:rFonts w:cs="Arial"/>
        </w:rPr>
        <w:t xml:space="preserve">may have then been issued to the wind farm. If construction of the wind farm had not commenced or been completed by the time the approved permit expired in 2010, upon request by the developer, the planning authority may have then approved the permit to be renewed for a further five years until 2015, with the renewal approval usually based on some </w:t>
      </w:r>
      <w:r>
        <w:rPr>
          <w:rFonts w:cs="Arial"/>
        </w:rPr>
        <w:t xml:space="preserve">minor </w:t>
      </w:r>
      <w:r w:rsidRPr="00FC45E9">
        <w:rPr>
          <w:rFonts w:cs="Arial"/>
        </w:rPr>
        <w:t>level of commencement of the project</w:t>
      </w:r>
      <w:r>
        <w:rPr>
          <w:rFonts w:cs="Arial"/>
        </w:rPr>
        <w:t>, such as a shed or a roadway</w:t>
      </w:r>
      <w:r w:rsidRPr="00FC45E9">
        <w:rPr>
          <w:rFonts w:cs="Arial"/>
        </w:rPr>
        <w:t xml:space="preserve">. </w:t>
      </w:r>
    </w:p>
    <w:p w14:paraId="5D58070B" w14:textId="77777777" w:rsidR="001556F0" w:rsidRPr="00FC45E9" w:rsidRDefault="001556F0" w:rsidP="001556F0">
      <w:pPr>
        <w:pStyle w:val="ListParagraph"/>
        <w:numPr>
          <w:ilvl w:val="0"/>
          <w:numId w:val="0"/>
        </w:numPr>
        <w:spacing w:line="264" w:lineRule="auto"/>
        <w:ind w:left="360"/>
        <w:rPr>
          <w:rFonts w:cs="Arial"/>
        </w:rPr>
      </w:pPr>
      <w:r>
        <w:rPr>
          <w:rFonts w:cs="Arial"/>
        </w:rPr>
        <w:t>Changes in turbine technology may lead the developer to modify the wind farm’s design and layout, typically requiring preparation and submission of a planning amendment application for approval. This process may further delay the project from commencing construction, requiring yet another planning permit extension out to say 2020. By this time there are no guarantees that the project will be completed by the permitted timeframe, resulting in a further possible permit extension beyond 2020.</w:t>
      </w:r>
    </w:p>
    <w:p w14:paraId="15131853"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Therefore, it is feasible that a period spanning </w:t>
      </w:r>
      <w:r>
        <w:rPr>
          <w:rFonts w:cs="Arial"/>
        </w:rPr>
        <w:t>20</w:t>
      </w:r>
      <w:r w:rsidRPr="00FC45E9">
        <w:rPr>
          <w:rFonts w:cs="Arial"/>
        </w:rPr>
        <w:t xml:space="preserve"> years or more can occur between the original prospecting at the wind farm site</w:t>
      </w:r>
      <w:r>
        <w:rPr>
          <w:rFonts w:cs="Arial"/>
        </w:rPr>
        <w:t>, permitting approvals</w:t>
      </w:r>
      <w:r w:rsidRPr="00FC45E9">
        <w:rPr>
          <w:rFonts w:cs="Arial"/>
        </w:rPr>
        <w:t xml:space="preserve"> and the wind farm </w:t>
      </w:r>
      <w:r>
        <w:rPr>
          <w:rFonts w:cs="Arial"/>
        </w:rPr>
        <w:t xml:space="preserve">being constructed. </w:t>
      </w:r>
    </w:p>
    <w:p w14:paraId="1898EE23"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Delays between the time of obtaining a permit approval for a wind farm and the actual commencement of construction works can occur for a variety of reasons</w:t>
      </w:r>
      <w:r>
        <w:rPr>
          <w:rFonts w:cs="Arial"/>
        </w:rPr>
        <w:t>. T</w:t>
      </w:r>
      <w:r w:rsidRPr="00FC45E9">
        <w:rPr>
          <w:rFonts w:cs="Arial"/>
        </w:rPr>
        <w:t>ypical reasons include undertaking and obtaining approval for the various reports and plans required by the permit prior to construction commencement, changes in turbine selection and turbine layout (which may be a consequence of issues uncovered by fulfilling the permit conditions), delays in obtaining financial close and changes in government policy.</w:t>
      </w:r>
    </w:p>
    <w:p w14:paraId="3DF48138"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These lengthy timeframes for a wind farm project are significant and can raise a number of issues for consideration, including:</w:t>
      </w:r>
    </w:p>
    <w:p w14:paraId="680E0647" w14:textId="77777777" w:rsidR="001556F0" w:rsidRPr="00FC45E9" w:rsidRDefault="001556F0" w:rsidP="001556F0">
      <w:pPr>
        <w:pStyle w:val="ListParagraph"/>
        <w:numPr>
          <w:ilvl w:val="0"/>
          <w:numId w:val="12"/>
        </w:numPr>
        <w:spacing w:line="264" w:lineRule="auto"/>
        <w:rPr>
          <w:rFonts w:cs="Arial"/>
        </w:rPr>
      </w:pPr>
      <w:r w:rsidRPr="00FC45E9">
        <w:rPr>
          <w:rFonts w:cs="Arial"/>
        </w:rPr>
        <w:t xml:space="preserve">Standards, such as noise standards, </w:t>
      </w:r>
      <w:r>
        <w:rPr>
          <w:rFonts w:cs="Arial"/>
        </w:rPr>
        <w:t xml:space="preserve">which </w:t>
      </w:r>
      <w:r w:rsidRPr="00FC45E9">
        <w:rPr>
          <w:rFonts w:cs="Arial"/>
        </w:rPr>
        <w:t xml:space="preserve">may change </w:t>
      </w:r>
      <w:r>
        <w:rPr>
          <w:rFonts w:cs="Arial"/>
        </w:rPr>
        <w:t xml:space="preserve">during this lengthy timeframe </w:t>
      </w:r>
      <w:r w:rsidRPr="00FC45E9">
        <w:rPr>
          <w:rFonts w:cs="Arial"/>
        </w:rPr>
        <w:t>of the development process. For example, at the time of initial project development</w:t>
      </w:r>
      <w:r>
        <w:rPr>
          <w:rFonts w:cs="Arial"/>
        </w:rPr>
        <w:t xml:space="preserve"> and permit approval</w:t>
      </w:r>
      <w:r w:rsidRPr="00FC45E9">
        <w:rPr>
          <w:rFonts w:cs="Arial"/>
        </w:rPr>
        <w:t xml:space="preserve">, the project and permit conditions may have been based on the NZS 6808:1998 noise standard. Although the standards may have been revised in the ensuing period, the project and permit will still be based on the 1998 standard, rather than the updated NZS 6808:2010 noise standard – even though the wind farm may have been built more than 15 years after the initial project’s </w:t>
      </w:r>
      <w:r>
        <w:rPr>
          <w:rFonts w:cs="Arial"/>
        </w:rPr>
        <w:t xml:space="preserve">permit approval </w:t>
      </w:r>
      <w:r w:rsidRPr="00FC45E9">
        <w:rPr>
          <w:rFonts w:cs="Arial"/>
        </w:rPr>
        <w:t xml:space="preserve">and well after the more recent </w:t>
      </w:r>
      <w:r>
        <w:rPr>
          <w:rFonts w:cs="Arial"/>
        </w:rPr>
        <w:t xml:space="preserve">noise </w:t>
      </w:r>
      <w:r w:rsidRPr="00FC45E9">
        <w:rPr>
          <w:rFonts w:cs="Arial"/>
        </w:rPr>
        <w:t>standard came into effect.</w:t>
      </w:r>
    </w:p>
    <w:p w14:paraId="7D13AFD3" w14:textId="77777777" w:rsidR="001556F0" w:rsidRPr="00FC45E9" w:rsidRDefault="001556F0" w:rsidP="001556F0">
      <w:pPr>
        <w:pStyle w:val="ListParagraph"/>
        <w:numPr>
          <w:ilvl w:val="0"/>
          <w:numId w:val="12"/>
        </w:numPr>
        <w:spacing w:line="264" w:lineRule="auto"/>
        <w:rPr>
          <w:rFonts w:cs="Arial"/>
        </w:rPr>
      </w:pPr>
      <w:r w:rsidRPr="00FC45E9">
        <w:rPr>
          <w:rFonts w:cs="Arial"/>
        </w:rPr>
        <w:t xml:space="preserve">Setback distance policies (the minimum distance between a </w:t>
      </w:r>
      <w:r>
        <w:rPr>
          <w:rFonts w:cs="Arial"/>
        </w:rPr>
        <w:t xml:space="preserve">wind </w:t>
      </w:r>
      <w:r w:rsidRPr="00FC45E9">
        <w:rPr>
          <w:rFonts w:cs="Arial"/>
        </w:rPr>
        <w:t xml:space="preserve">turbine and a residence) can also vary over time. As an example, a number of Victorian wind farms with </w:t>
      </w:r>
      <w:r>
        <w:rPr>
          <w:rFonts w:cs="Arial"/>
        </w:rPr>
        <w:t xml:space="preserve">still </w:t>
      </w:r>
      <w:r w:rsidRPr="00FC45E9">
        <w:rPr>
          <w:rFonts w:cs="Arial"/>
        </w:rPr>
        <w:t xml:space="preserve">current, renewed permits have no default </w:t>
      </w:r>
      <w:r>
        <w:rPr>
          <w:rFonts w:cs="Arial"/>
        </w:rPr>
        <w:t xml:space="preserve">minimum </w:t>
      </w:r>
      <w:r w:rsidRPr="00FC45E9">
        <w:rPr>
          <w:rFonts w:cs="Arial"/>
        </w:rPr>
        <w:t xml:space="preserve">setback distance provisions as the original permit was approved in the previous decade. Prior to 2011, there were no default </w:t>
      </w:r>
      <w:r>
        <w:rPr>
          <w:rFonts w:cs="Arial"/>
        </w:rPr>
        <w:t xml:space="preserve">minimum </w:t>
      </w:r>
      <w:r w:rsidRPr="00FC45E9">
        <w:rPr>
          <w:rFonts w:cs="Arial"/>
        </w:rPr>
        <w:t>setback distance requirements in Victoria. In 2011, a 2 km setback distance was introduced. The current default setback distance on Victoria is 1</w:t>
      </w:r>
      <w:r>
        <w:rPr>
          <w:rFonts w:cs="Arial"/>
        </w:rPr>
        <w:t> </w:t>
      </w:r>
      <w:r w:rsidRPr="00FC45E9">
        <w:rPr>
          <w:rFonts w:cs="Arial"/>
        </w:rPr>
        <w:t>km.</w:t>
      </w:r>
    </w:p>
    <w:p w14:paraId="774D3047" w14:textId="77777777" w:rsidR="001556F0" w:rsidRPr="00FC45E9" w:rsidRDefault="001556F0" w:rsidP="001556F0">
      <w:pPr>
        <w:pStyle w:val="ListParagraph"/>
        <w:numPr>
          <w:ilvl w:val="0"/>
          <w:numId w:val="12"/>
        </w:numPr>
        <w:spacing w:line="264" w:lineRule="auto"/>
        <w:rPr>
          <w:rFonts w:cs="Arial"/>
        </w:rPr>
      </w:pPr>
      <w:r w:rsidRPr="00FC45E9">
        <w:rPr>
          <w:rFonts w:cs="Arial"/>
        </w:rPr>
        <w:t xml:space="preserve">Changes in standards and planning guidelines </w:t>
      </w:r>
      <w:r>
        <w:rPr>
          <w:rFonts w:cs="Arial"/>
        </w:rPr>
        <w:t xml:space="preserve">for renewable energy projects </w:t>
      </w:r>
      <w:r w:rsidRPr="00FC45E9">
        <w:rPr>
          <w:rFonts w:cs="Arial"/>
        </w:rPr>
        <w:t xml:space="preserve">could therefore conceivably take many years from the time they are introduced to when they are written into planning permits for proposed </w:t>
      </w:r>
      <w:r>
        <w:rPr>
          <w:rFonts w:cs="Arial"/>
        </w:rPr>
        <w:t>projects</w:t>
      </w:r>
      <w:r w:rsidRPr="00FC45E9">
        <w:rPr>
          <w:rFonts w:cs="Arial"/>
        </w:rPr>
        <w:t>.</w:t>
      </w:r>
    </w:p>
    <w:p w14:paraId="67421318" w14:textId="77777777" w:rsidR="001556F0" w:rsidRPr="00FC45E9" w:rsidRDefault="001556F0" w:rsidP="001556F0">
      <w:pPr>
        <w:pStyle w:val="ListParagraph"/>
        <w:numPr>
          <w:ilvl w:val="0"/>
          <w:numId w:val="12"/>
        </w:numPr>
        <w:spacing w:line="264" w:lineRule="auto"/>
        <w:rPr>
          <w:rFonts w:cs="Arial"/>
        </w:rPr>
      </w:pPr>
      <w:r w:rsidRPr="00FC45E9">
        <w:rPr>
          <w:rFonts w:cs="Arial"/>
        </w:rPr>
        <w:t xml:space="preserve">Technology, such as wind turbines, may also change over the project timeframe. The original project design and permit conditions may have been based on turbines of a certain energy capacity (for example, the original </w:t>
      </w:r>
      <w:r>
        <w:rPr>
          <w:rFonts w:cs="Arial"/>
        </w:rPr>
        <w:t xml:space="preserve">proposed </w:t>
      </w:r>
      <w:r w:rsidRPr="00FC45E9">
        <w:rPr>
          <w:rFonts w:cs="Arial"/>
        </w:rPr>
        <w:t xml:space="preserve">turbine may have been 1.5 MW, whereas the developer now wishes to deploy 4.5 MW turbines) with changes to physical size dimensions (for </w:t>
      </w:r>
      <w:r w:rsidRPr="00FC45E9">
        <w:rPr>
          <w:rFonts w:cs="Arial"/>
        </w:rPr>
        <w:lastRenderedPageBreak/>
        <w:t xml:space="preserve">example, higher turbine hub </w:t>
      </w:r>
      <w:r>
        <w:rPr>
          <w:rFonts w:cs="Arial"/>
        </w:rPr>
        <w:t xml:space="preserve">and tip </w:t>
      </w:r>
      <w:r w:rsidRPr="00FC45E9">
        <w:rPr>
          <w:rFonts w:cs="Arial"/>
        </w:rPr>
        <w:t xml:space="preserve">heights and longer blade diameters). As a result, the developer may decide to take advantage of the new technology and propose to change </w:t>
      </w:r>
      <w:r>
        <w:rPr>
          <w:rFonts w:cs="Arial"/>
        </w:rPr>
        <w:t xml:space="preserve">their </w:t>
      </w:r>
      <w:r w:rsidRPr="00FC45E9">
        <w:rPr>
          <w:rFonts w:cs="Arial"/>
        </w:rPr>
        <w:t xml:space="preserve">turbine selection </w:t>
      </w:r>
      <w:r>
        <w:rPr>
          <w:rFonts w:cs="Arial"/>
        </w:rPr>
        <w:t xml:space="preserve">during the elongated </w:t>
      </w:r>
      <w:r w:rsidRPr="00FC45E9">
        <w:rPr>
          <w:rFonts w:cs="Arial"/>
        </w:rPr>
        <w:t>time</w:t>
      </w:r>
      <w:r>
        <w:rPr>
          <w:rFonts w:cs="Arial"/>
        </w:rPr>
        <w:t xml:space="preserve"> period.</w:t>
      </w:r>
      <w:r w:rsidRPr="00FC45E9">
        <w:rPr>
          <w:rFonts w:cs="Arial"/>
        </w:rPr>
        <w:t xml:space="preserve"> </w:t>
      </w:r>
      <w:r>
        <w:rPr>
          <w:rFonts w:cs="Arial"/>
        </w:rPr>
        <w:t>This change may po</w:t>
      </w:r>
      <w:r w:rsidRPr="00FC45E9">
        <w:rPr>
          <w:rFonts w:cs="Arial"/>
        </w:rPr>
        <w:t>tentially alter a number of material characteristics and impacts of the wind farm</w:t>
      </w:r>
      <w:r>
        <w:rPr>
          <w:rFonts w:cs="Arial"/>
        </w:rPr>
        <w:t>,</w:t>
      </w:r>
      <w:r w:rsidRPr="00FC45E9">
        <w:rPr>
          <w:rFonts w:cs="Arial"/>
        </w:rPr>
        <w:t xml:space="preserve"> including turbine layout, visual amenity, noise and shadow flicker. </w:t>
      </w:r>
      <w:r>
        <w:rPr>
          <w:rFonts w:cs="Arial"/>
        </w:rPr>
        <w:t xml:space="preserve">Such </w:t>
      </w:r>
      <w:r w:rsidRPr="00FC45E9">
        <w:rPr>
          <w:rFonts w:cs="Arial"/>
        </w:rPr>
        <w:t xml:space="preserve">changes will likely result in the need for a formal modification (or endorsement) to the planning permit, re-opening the </w:t>
      </w:r>
      <w:r>
        <w:rPr>
          <w:rFonts w:cs="Arial"/>
        </w:rPr>
        <w:t xml:space="preserve">proposed </w:t>
      </w:r>
      <w:r w:rsidRPr="00FC45E9">
        <w:rPr>
          <w:rFonts w:cs="Arial"/>
        </w:rPr>
        <w:t xml:space="preserve">wind farm to potential objections and community concerns about the proposed changes. </w:t>
      </w:r>
    </w:p>
    <w:p w14:paraId="6CE370EF" w14:textId="77777777" w:rsidR="001556F0" w:rsidRDefault="001556F0" w:rsidP="001556F0">
      <w:pPr>
        <w:pStyle w:val="ListParagraph"/>
        <w:numPr>
          <w:ilvl w:val="0"/>
          <w:numId w:val="12"/>
        </w:numPr>
        <w:spacing w:line="264" w:lineRule="auto"/>
        <w:rPr>
          <w:rFonts w:cs="Arial"/>
        </w:rPr>
      </w:pPr>
      <w:r>
        <w:rPr>
          <w:rFonts w:cs="Arial"/>
        </w:rPr>
        <w:t>Further, there are consequences and i</w:t>
      </w:r>
      <w:r w:rsidRPr="00FC45E9">
        <w:rPr>
          <w:rFonts w:cs="Arial"/>
        </w:rPr>
        <w:t>mpact</w:t>
      </w:r>
      <w:r>
        <w:rPr>
          <w:rFonts w:cs="Arial"/>
        </w:rPr>
        <w:t>s</w:t>
      </w:r>
      <w:r w:rsidRPr="00FC45E9">
        <w:rPr>
          <w:rFonts w:cs="Arial"/>
        </w:rPr>
        <w:t xml:space="preserve"> </w:t>
      </w:r>
      <w:r>
        <w:rPr>
          <w:rFonts w:cs="Arial"/>
        </w:rPr>
        <w:t xml:space="preserve">as a result of the significant increases in wind turbine dimensions, such as </w:t>
      </w:r>
      <w:r w:rsidRPr="00FC45E9">
        <w:rPr>
          <w:rFonts w:cs="Arial"/>
        </w:rPr>
        <w:t xml:space="preserve">on transport routes and vegetation clearance </w:t>
      </w:r>
      <w:r>
        <w:rPr>
          <w:rFonts w:cs="Arial"/>
        </w:rPr>
        <w:t>along roadways – often leading to the need for a planning modification and/or landowner negotiations along the route</w:t>
      </w:r>
      <w:r w:rsidRPr="00FC45E9">
        <w:rPr>
          <w:rFonts w:cs="Arial"/>
        </w:rPr>
        <w:t xml:space="preserve">. The modification process may well reignite original debates and issues with the project, and add further delays to project start or completion. </w:t>
      </w:r>
    </w:p>
    <w:p w14:paraId="6C706C45" w14:textId="77777777" w:rsidR="001556F0" w:rsidRPr="00FC45E9" w:rsidRDefault="001556F0" w:rsidP="001556F0">
      <w:pPr>
        <w:pStyle w:val="ListParagraph"/>
        <w:numPr>
          <w:ilvl w:val="0"/>
          <w:numId w:val="12"/>
        </w:numPr>
        <w:spacing w:line="264" w:lineRule="auto"/>
        <w:rPr>
          <w:rFonts w:cs="Arial"/>
        </w:rPr>
      </w:pPr>
      <w:r w:rsidRPr="00FC45E9">
        <w:rPr>
          <w:rFonts w:cs="Arial"/>
        </w:rPr>
        <w:t xml:space="preserve">The transport plan </w:t>
      </w:r>
      <w:r>
        <w:rPr>
          <w:rFonts w:cs="Arial"/>
        </w:rPr>
        <w:t xml:space="preserve">itself </w:t>
      </w:r>
      <w:r w:rsidRPr="00FC45E9">
        <w:rPr>
          <w:rFonts w:cs="Arial"/>
        </w:rPr>
        <w:t>also needs to be holistic and be carefully planned and mapped from port to project</w:t>
      </w:r>
      <w:r>
        <w:rPr>
          <w:rFonts w:cs="Arial"/>
        </w:rPr>
        <w:t>, requiring appropriate consultation with all relevant stakeholders that have jurisdiction along the proposed route</w:t>
      </w:r>
      <w:r w:rsidRPr="00FC45E9">
        <w:rPr>
          <w:rFonts w:cs="Arial"/>
        </w:rPr>
        <w:t>.</w:t>
      </w:r>
      <w:r>
        <w:rPr>
          <w:rFonts w:cs="Arial"/>
        </w:rPr>
        <w:t xml:space="preserve"> This consultation will need to be repeated if there is a change to the route and/or the impacts on related matters such as vegetation clearance and property access.</w:t>
      </w:r>
    </w:p>
    <w:p w14:paraId="2FF67F30" w14:textId="26662BDA" w:rsidR="001556F0" w:rsidRPr="00FC45E9" w:rsidRDefault="001556F0" w:rsidP="001556F0">
      <w:pPr>
        <w:pStyle w:val="ListParagraph"/>
        <w:numPr>
          <w:ilvl w:val="0"/>
          <w:numId w:val="12"/>
        </w:numPr>
        <w:spacing w:line="264" w:lineRule="auto"/>
        <w:rPr>
          <w:rFonts w:cs="Arial"/>
        </w:rPr>
      </w:pPr>
      <w:r w:rsidRPr="00FC45E9">
        <w:rPr>
          <w:rFonts w:cs="Arial"/>
        </w:rPr>
        <w:t xml:space="preserve">The </w:t>
      </w:r>
      <w:r>
        <w:rPr>
          <w:rFonts w:cs="Arial"/>
        </w:rPr>
        <w:t xml:space="preserve">current </w:t>
      </w:r>
      <w:r w:rsidRPr="00FC45E9">
        <w:rPr>
          <w:rFonts w:cs="Arial"/>
        </w:rPr>
        <w:t xml:space="preserve">requirements on the developer to qualify for the ability to request a renewal of the permit for a further period may be minor relative to the total project scope (for example, the building of a simple shed or road access to the site) so to demonstrate some level of commitment to construct the project. These relatively minor works, when compared to the total proposed project, may be viewed as not substantial enough to </w:t>
      </w:r>
      <w:r w:rsidR="005958C3">
        <w:rPr>
          <w:rFonts w:cs="Arial"/>
        </w:rPr>
        <w:t>demonstrate</w:t>
      </w:r>
      <w:r w:rsidRPr="00FC45E9">
        <w:rPr>
          <w:rFonts w:cs="Arial"/>
        </w:rPr>
        <w:t xml:space="preserve"> that the project has materially commenced within the permitted timeframe nor obligate the project in a way that it has no choice but to proceed.</w:t>
      </w:r>
    </w:p>
    <w:p w14:paraId="1E7A327A" w14:textId="77777777" w:rsidR="001556F0" w:rsidRPr="00FC45E9" w:rsidRDefault="001556F0" w:rsidP="001556F0">
      <w:pPr>
        <w:pStyle w:val="ListParagraph"/>
        <w:numPr>
          <w:ilvl w:val="0"/>
          <w:numId w:val="12"/>
        </w:numPr>
        <w:spacing w:line="264" w:lineRule="auto"/>
        <w:rPr>
          <w:rFonts w:cs="Arial"/>
        </w:rPr>
      </w:pPr>
      <w:r w:rsidRPr="00FC45E9">
        <w:rPr>
          <w:rFonts w:cs="Arial"/>
        </w:rPr>
        <w:t xml:space="preserve">The community affected by the wind </w:t>
      </w:r>
      <w:r>
        <w:rPr>
          <w:rFonts w:cs="Arial"/>
        </w:rPr>
        <w:t xml:space="preserve">or solar </w:t>
      </w:r>
      <w:r w:rsidRPr="00FC45E9">
        <w:rPr>
          <w:rFonts w:cs="Arial"/>
        </w:rPr>
        <w:t xml:space="preserve">farm (including host landowners and neighbours) can be subjected to very long periods of uncertainty as to whether or not the project will proceed. This uncertainty can affect a range of individual landowner and stakeholder decisions as well as discourage or prevent other potential development within the </w:t>
      </w:r>
      <w:r>
        <w:rPr>
          <w:rFonts w:cs="Arial"/>
        </w:rPr>
        <w:t>project’s</w:t>
      </w:r>
      <w:r w:rsidRPr="00FC45E9">
        <w:rPr>
          <w:rFonts w:cs="Arial"/>
        </w:rPr>
        <w:t xml:space="preserve"> plann</w:t>
      </w:r>
      <w:r>
        <w:rPr>
          <w:rFonts w:cs="Arial"/>
        </w:rPr>
        <w:t>ed</w:t>
      </w:r>
      <w:r w:rsidRPr="00FC45E9">
        <w:rPr>
          <w:rFonts w:cs="Arial"/>
        </w:rPr>
        <w:t xml:space="preserve"> </w:t>
      </w:r>
      <w:r>
        <w:rPr>
          <w:rFonts w:cs="Arial"/>
        </w:rPr>
        <w:t>footprint and surrounds</w:t>
      </w:r>
      <w:r w:rsidRPr="00FC45E9">
        <w:rPr>
          <w:rFonts w:cs="Arial"/>
        </w:rPr>
        <w:t>.</w:t>
      </w:r>
    </w:p>
    <w:p w14:paraId="50EF2439" w14:textId="77777777" w:rsidR="001556F0" w:rsidRPr="00FC45E9" w:rsidRDefault="001556F0" w:rsidP="001556F0">
      <w:pPr>
        <w:pStyle w:val="ListParagraph"/>
        <w:numPr>
          <w:ilvl w:val="0"/>
          <w:numId w:val="12"/>
        </w:numPr>
        <w:spacing w:line="264" w:lineRule="auto"/>
        <w:rPr>
          <w:rFonts w:cs="Arial"/>
        </w:rPr>
      </w:pPr>
      <w:r w:rsidRPr="00FC45E9">
        <w:rPr>
          <w:rFonts w:cs="Arial"/>
        </w:rPr>
        <w:t>Community engagement may also not be sustained by the developer over long periods of uncertainty and may deteriorate during the elongated time frame.</w:t>
      </w:r>
    </w:p>
    <w:p w14:paraId="014D7780" w14:textId="77777777" w:rsidR="001556F0" w:rsidRPr="00FC45E9" w:rsidRDefault="001556F0" w:rsidP="001556F0">
      <w:pPr>
        <w:pStyle w:val="ListParagraph"/>
        <w:numPr>
          <w:ilvl w:val="0"/>
          <w:numId w:val="12"/>
        </w:numPr>
        <w:spacing w:line="264" w:lineRule="auto"/>
        <w:rPr>
          <w:rFonts w:cs="Arial"/>
        </w:rPr>
      </w:pPr>
      <w:r w:rsidRPr="00FC45E9">
        <w:rPr>
          <w:rFonts w:cs="Arial"/>
        </w:rPr>
        <w:t xml:space="preserve">During an elongated development cycle, other </w:t>
      </w:r>
      <w:r>
        <w:rPr>
          <w:rFonts w:cs="Arial"/>
        </w:rPr>
        <w:t>projects</w:t>
      </w:r>
      <w:r w:rsidRPr="00FC45E9">
        <w:rPr>
          <w:rFonts w:cs="Arial"/>
        </w:rPr>
        <w:t xml:space="preserve"> may have been subsequently planned and/or constructed in the area, which may result in possible unforeseen cumulative impacts for nearby residents</w:t>
      </w:r>
      <w:r>
        <w:rPr>
          <w:rFonts w:cs="Arial"/>
        </w:rPr>
        <w:t xml:space="preserve"> and the broader community</w:t>
      </w:r>
      <w:r w:rsidRPr="00FC45E9">
        <w:rPr>
          <w:rFonts w:cs="Arial"/>
        </w:rPr>
        <w:t>.</w:t>
      </w:r>
    </w:p>
    <w:p w14:paraId="13EE2658" w14:textId="77777777" w:rsidR="001556F0" w:rsidRPr="00FC45E9" w:rsidRDefault="001556F0" w:rsidP="001556F0">
      <w:pPr>
        <w:spacing w:line="264" w:lineRule="auto"/>
        <w:ind w:left="360"/>
        <w:rPr>
          <w:rFonts w:cs="Arial"/>
          <w:b/>
        </w:rPr>
      </w:pPr>
      <w:r w:rsidRPr="00FC45E9">
        <w:rPr>
          <w:rFonts w:cs="Arial"/>
          <w:b/>
        </w:rPr>
        <w:t>Precedence</w:t>
      </w:r>
    </w:p>
    <w:p w14:paraId="3241C454" w14:textId="77777777" w:rsidR="001556F0" w:rsidRDefault="001556F0" w:rsidP="001556F0">
      <w:pPr>
        <w:spacing w:line="264" w:lineRule="auto"/>
        <w:ind w:left="360"/>
        <w:rPr>
          <w:rFonts w:cs="Arial"/>
        </w:rPr>
      </w:pPr>
      <w:r w:rsidRPr="00FC45E9">
        <w:rPr>
          <w:rFonts w:cs="Arial"/>
        </w:rPr>
        <w:t xml:space="preserve">Depending on the jurisdiction, a developer may not need to </w:t>
      </w:r>
      <w:r>
        <w:rPr>
          <w:rFonts w:cs="Arial"/>
        </w:rPr>
        <w:t xml:space="preserve">assess potential impacts on </w:t>
      </w:r>
      <w:r w:rsidRPr="00FC45E9">
        <w:rPr>
          <w:rFonts w:cs="Arial"/>
        </w:rPr>
        <w:t xml:space="preserve">a dwelling that </w:t>
      </w:r>
      <w:r>
        <w:rPr>
          <w:rFonts w:cs="Arial"/>
        </w:rPr>
        <w:t xml:space="preserve">is yet to </w:t>
      </w:r>
      <w:r w:rsidRPr="00FC45E9">
        <w:rPr>
          <w:rFonts w:cs="Arial"/>
        </w:rPr>
        <w:t>be constructed, even though the dwelling has a valid</w:t>
      </w:r>
      <w:r>
        <w:rPr>
          <w:rFonts w:cs="Arial"/>
        </w:rPr>
        <w:t>,</w:t>
      </w:r>
      <w:r w:rsidRPr="00FC45E9">
        <w:rPr>
          <w:rFonts w:cs="Arial"/>
        </w:rPr>
        <w:t xml:space="preserve"> current planni</w:t>
      </w:r>
      <w:r>
        <w:rPr>
          <w:rFonts w:cs="Arial"/>
        </w:rPr>
        <w:t xml:space="preserve">ng permit and building permit. </w:t>
      </w:r>
      <w:r w:rsidRPr="00FC45E9">
        <w:rPr>
          <w:rFonts w:cs="Arial"/>
        </w:rPr>
        <w:t xml:space="preserve">In effect, the layout of a potential wind </w:t>
      </w:r>
      <w:r>
        <w:rPr>
          <w:rFonts w:cs="Arial"/>
        </w:rPr>
        <w:t xml:space="preserve">or solar </w:t>
      </w:r>
      <w:r w:rsidRPr="00FC45E9">
        <w:rPr>
          <w:rFonts w:cs="Arial"/>
        </w:rPr>
        <w:t xml:space="preserve">farm </w:t>
      </w:r>
      <w:r>
        <w:rPr>
          <w:rFonts w:cs="Arial"/>
        </w:rPr>
        <w:t xml:space="preserve">may </w:t>
      </w:r>
      <w:r w:rsidRPr="00FC45E9">
        <w:rPr>
          <w:rFonts w:cs="Arial"/>
        </w:rPr>
        <w:t>take precedence over existing planned dwellings</w:t>
      </w:r>
      <w:r>
        <w:rPr>
          <w:rFonts w:cs="Arial"/>
        </w:rPr>
        <w:t>,</w:t>
      </w:r>
      <w:r w:rsidRPr="00FC45E9">
        <w:rPr>
          <w:rFonts w:cs="Arial"/>
        </w:rPr>
        <w:t xml:space="preserve"> resulting in the possibility of the planned dwelling being too close to turbines to meet noise limit </w:t>
      </w:r>
      <w:r>
        <w:rPr>
          <w:rFonts w:cs="Arial"/>
        </w:rPr>
        <w:t xml:space="preserve">criteria </w:t>
      </w:r>
      <w:r w:rsidRPr="00FC45E9">
        <w:rPr>
          <w:rFonts w:cs="Arial"/>
        </w:rPr>
        <w:t xml:space="preserve">and other setback requirements. </w:t>
      </w:r>
    </w:p>
    <w:p w14:paraId="20159F00" w14:textId="77777777" w:rsidR="001556F0" w:rsidRPr="00FC45E9" w:rsidRDefault="001556F0" w:rsidP="001556F0">
      <w:pPr>
        <w:spacing w:line="264" w:lineRule="auto"/>
        <w:ind w:left="360"/>
        <w:rPr>
          <w:rFonts w:cs="Arial"/>
        </w:rPr>
      </w:pPr>
      <w:r w:rsidRPr="00FC45E9">
        <w:rPr>
          <w:rFonts w:cs="Arial"/>
        </w:rPr>
        <w:t xml:space="preserve">It would seem reasonable to expect that a </w:t>
      </w:r>
      <w:r>
        <w:rPr>
          <w:rFonts w:cs="Arial"/>
        </w:rPr>
        <w:t xml:space="preserve">legitimate </w:t>
      </w:r>
      <w:r w:rsidRPr="00FC45E9">
        <w:rPr>
          <w:rFonts w:cs="Arial"/>
        </w:rPr>
        <w:t>proposed dwelling</w:t>
      </w:r>
      <w:r>
        <w:rPr>
          <w:rFonts w:cs="Arial"/>
        </w:rPr>
        <w:t>,</w:t>
      </w:r>
      <w:r w:rsidRPr="00FC45E9">
        <w:rPr>
          <w:rFonts w:cs="Arial"/>
        </w:rPr>
        <w:t xml:space="preserve"> that has proper and current permits in place</w:t>
      </w:r>
      <w:r>
        <w:rPr>
          <w:rFonts w:cs="Arial"/>
        </w:rPr>
        <w:t>,</w:t>
      </w:r>
      <w:r w:rsidRPr="00FC45E9">
        <w:rPr>
          <w:rFonts w:cs="Arial"/>
        </w:rPr>
        <w:t xml:space="preserve"> needs to be considered as a </w:t>
      </w:r>
      <w:r>
        <w:rPr>
          <w:rFonts w:cs="Arial"/>
        </w:rPr>
        <w:t xml:space="preserve">potential </w:t>
      </w:r>
      <w:r w:rsidRPr="00FC45E9">
        <w:rPr>
          <w:rFonts w:cs="Arial"/>
        </w:rPr>
        <w:t xml:space="preserve">dwelling for </w:t>
      </w:r>
      <w:r>
        <w:rPr>
          <w:rFonts w:cs="Arial"/>
        </w:rPr>
        <w:t>project p</w:t>
      </w:r>
      <w:r w:rsidRPr="00FC45E9">
        <w:rPr>
          <w:rFonts w:cs="Arial"/>
        </w:rPr>
        <w:t>lanning purposes, where the dwelling permits are already approved and in place prior to a wind farm permit application being submitted.</w:t>
      </w:r>
    </w:p>
    <w:p w14:paraId="788181F9" w14:textId="77777777" w:rsidR="001556F0" w:rsidRPr="00FC45E9" w:rsidRDefault="001556F0" w:rsidP="001556F0">
      <w:pPr>
        <w:spacing w:line="264" w:lineRule="auto"/>
        <w:ind w:left="360"/>
        <w:rPr>
          <w:rFonts w:cs="Arial"/>
        </w:rPr>
      </w:pPr>
      <w:r w:rsidRPr="00FC45E9">
        <w:rPr>
          <w:rFonts w:cs="Arial"/>
        </w:rPr>
        <w:t>If the dwelling is subsequently not constructed and/or the permits expire, then the developer may choose to adjust the wind farm design accordingly.</w:t>
      </w:r>
    </w:p>
    <w:p w14:paraId="1B643425" w14:textId="77777777" w:rsidR="001556F0" w:rsidRPr="000D435C" w:rsidRDefault="001556F0" w:rsidP="001556F0">
      <w:pPr>
        <w:spacing w:line="264" w:lineRule="auto"/>
        <w:ind w:left="360"/>
        <w:rPr>
          <w:rFonts w:cs="Arial"/>
        </w:rPr>
      </w:pPr>
      <w:r w:rsidRPr="00FC45E9">
        <w:rPr>
          <w:rFonts w:cs="Arial"/>
        </w:rPr>
        <w:lastRenderedPageBreak/>
        <w:t xml:space="preserve">Further, once a development is approved or constructed, persons wishing to build a dwelling or infrastructure within proximity of the wind farm should have their plans referred to the </w:t>
      </w:r>
      <w:r>
        <w:rPr>
          <w:rFonts w:cs="Arial"/>
        </w:rPr>
        <w:t xml:space="preserve">developer </w:t>
      </w:r>
      <w:r w:rsidRPr="00FC45E9">
        <w:rPr>
          <w:rFonts w:cs="Arial"/>
        </w:rPr>
        <w:t xml:space="preserve">to check whether the dwelling is within </w:t>
      </w:r>
      <w:r>
        <w:rPr>
          <w:rFonts w:cs="Arial"/>
        </w:rPr>
        <w:t xml:space="preserve">the </w:t>
      </w:r>
      <w:r w:rsidRPr="00FC45E9">
        <w:rPr>
          <w:rFonts w:cs="Arial"/>
        </w:rPr>
        <w:t>compliance</w:t>
      </w:r>
      <w:r>
        <w:rPr>
          <w:rFonts w:cs="Arial"/>
        </w:rPr>
        <w:t xml:space="preserve"> criteria </w:t>
      </w:r>
      <w:r w:rsidRPr="00FC45E9">
        <w:rPr>
          <w:rFonts w:cs="Arial"/>
        </w:rPr>
        <w:t>for matters su</w:t>
      </w:r>
      <w:r>
        <w:rPr>
          <w:rFonts w:cs="Arial"/>
        </w:rPr>
        <w:t>ch as noise and shadow flicker.</w:t>
      </w:r>
    </w:p>
    <w:p w14:paraId="6E3122EA" w14:textId="77777777" w:rsidR="001556F0" w:rsidRPr="00FC45E9" w:rsidRDefault="001556F0" w:rsidP="001556F0">
      <w:pPr>
        <w:spacing w:line="264" w:lineRule="auto"/>
        <w:ind w:left="360"/>
        <w:rPr>
          <w:rFonts w:cs="Arial"/>
          <w:b/>
        </w:rPr>
      </w:pPr>
      <w:r w:rsidRPr="00FC45E9">
        <w:rPr>
          <w:rFonts w:cs="Arial"/>
          <w:b/>
        </w:rPr>
        <w:t>Other Infrastructure</w:t>
      </w:r>
    </w:p>
    <w:p w14:paraId="6E15630A" w14:textId="77777777" w:rsidR="001556F0" w:rsidRDefault="001556F0" w:rsidP="001556F0">
      <w:pPr>
        <w:spacing w:line="264" w:lineRule="auto"/>
        <w:ind w:left="360"/>
        <w:rPr>
          <w:rFonts w:cs="Arial"/>
        </w:rPr>
      </w:pPr>
      <w:r w:rsidRPr="00FC45E9">
        <w:rPr>
          <w:rFonts w:cs="Arial"/>
        </w:rPr>
        <w:t xml:space="preserve">In some jurisdictions, planning permits are not required for transmission and other associated infrastructure to connect the </w:t>
      </w:r>
      <w:r>
        <w:rPr>
          <w:rFonts w:cs="Arial"/>
        </w:rPr>
        <w:t xml:space="preserve">power generator to </w:t>
      </w:r>
      <w:r w:rsidRPr="00FC45E9">
        <w:rPr>
          <w:rFonts w:cs="Arial"/>
        </w:rPr>
        <w:t xml:space="preserve">the grid. This lack of </w:t>
      </w:r>
      <w:r>
        <w:rPr>
          <w:rFonts w:cs="Arial"/>
        </w:rPr>
        <w:t xml:space="preserve">review and </w:t>
      </w:r>
      <w:r w:rsidRPr="00FC45E9">
        <w:rPr>
          <w:rFonts w:cs="Arial"/>
        </w:rPr>
        <w:t xml:space="preserve">oversight can lead to a wide range of community issues related to the design, routing and installation of the transmission line and related assets. The prospect also exists for duplicative assets </w:t>
      </w:r>
      <w:r>
        <w:rPr>
          <w:rFonts w:cs="Arial"/>
        </w:rPr>
        <w:t xml:space="preserve">separately </w:t>
      </w:r>
      <w:r w:rsidRPr="00FC45E9">
        <w:rPr>
          <w:rFonts w:cs="Arial"/>
        </w:rPr>
        <w:t xml:space="preserve">connecting each </w:t>
      </w:r>
      <w:r>
        <w:rPr>
          <w:rFonts w:cs="Arial"/>
        </w:rPr>
        <w:t xml:space="preserve">generator </w:t>
      </w:r>
      <w:r w:rsidRPr="00FC45E9">
        <w:rPr>
          <w:rFonts w:cs="Arial"/>
        </w:rPr>
        <w:t>to the grid</w:t>
      </w:r>
      <w:r>
        <w:rPr>
          <w:rFonts w:cs="Arial"/>
        </w:rPr>
        <w:t>,</w:t>
      </w:r>
      <w:r w:rsidRPr="00FC45E9">
        <w:rPr>
          <w:rFonts w:cs="Arial"/>
        </w:rPr>
        <w:t xml:space="preserve"> with no mandatory requirement to seek consolidation of </w:t>
      </w:r>
      <w:r>
        <w:rPr>
          <w:rFonts w:cs="Arial"/>
        </w:rPr>
        <w:t xml:space="preserve">the transmission infrastructure so </w:t>
      </w:r>
      <w:r w:rsidRPr="00FC45E9">
        <w:rPr>
          <w:rFonts w:cs="Arial"/>
        </w:rPr>
        <w:t>to minimise community impact and promote a more efficient use of capital.</w:t>
      </w:r>
    </w:p>
    <w:p w14:paraId="45857689" w14:textId="77777777" w:rsidR="001556F0" w:rsidRPr="00F005E8" w:rsidRDefault="001556F0" w:rsidP="001556F0">
      <w:pPr>
        <w:spacing w:line="264" w:lineRule="auto"/>
        <w:ind w:left="360"/>
        <w:rPr>
          <w:rFonts w:cs="Arial"/>
          <w:b/>
        </w:rPr>
      </w:pPr>
      <w:r w:rsidRPr="00F005E8">
        <w:rPr>
          <w:rFonts w:cs="Arial"/>
          <w:b/>
        </w:rPr>
        <w:t>Responsible Authorities</w:t>
      </w:r>
    </w:p>
    <w:p w14:paraId="2C214202" w14:textId="4B433EF3" w:rsidR="001556F0" w:rsidRDefault="001556F0" w:rsidP="001556F0">
      <w:pPr>
        <w:spacing w:line="264" w:lineRule="auto"/>
        <w:ind w:left="360"/>
        <w:rPr>
          <w:rFonts w:cs="Arial"/>
        </w:rPr>
      </w:pPr>
      <w:r>
        <w:rPr>
          <w:rFonts w:cs="Arial"/>
        </w:rPr>
        <w:t xml:space="preserve">In general, state governments are the designated responsible planning authority for </w:t>
      </w:r>
      <w:r w:rsidR="00CA21F8">
        <w:rPr>
          <w:rFonts w:cs="Arial"/>
        </w:rPr>
        <w:t>large-</w:t>
      </w:r>
      <w:r>
        <w:rPr>
          <w:rFonts w:cs="Arial"/>
        </w:rPr>
        <w:t>scale renewable projects. However, some exceptions exist. For example, Tasmania’s responsible authority for approval of wind farms is currently local government (although there are some proposed planning reforms which may change this framework). Queensland’s planning scheme also has delegated large-scale solar farms to local government as the responsible authority, as was the case in Victoria until recent changes.</w:t>
      </w:r>
    </w:p>
    <w:p w14:paraId="12EE1135" w14:textId="77777777" w:rsidR="001556F0" w:rsidRDefault="001556F0" w:rsidP="001556F0">
      <w:pPr>
        <w:spacing w:line="264" w:lineRule="auto"/>
        <w:ind w:left="360"/>
        <w:rPr>
          <w:rFonts w:cs="Arial"/>
        </w:rPr>
      </w:pPr>
      <w:r>
        <w:rPr>
          <w:rFonts w:cs="Arial"/>
        </w:rPr>
        <w:t>Given the skills, resources and expertise required to properly assess and manage the planning process for these large-scale energy assets, it is strongly preferred that state governments retain responsibility for the planning process and approvals, along with compliance enforcement. Further, council may avoid decision-making by simply declining the proposed project, resulting in an appeal to the appropriate state planning and environment court or tribunal, adding further delays and costs in the process.</w:t>
      </w:r>
    </w:p>
    <w:p w14:paraId="5216E6DC" w14:textId="77777777" w:rsidR="001556F0" w:rsidRPr="00FC45E9" w:rsidRDefault="001556F0" w:rsidP="001556F0">
      <w:pPr>
        <w:pStyle w:val="ListParagraph"/>
        <w:numPr>
          <w:ilvl w:val="1"/>
          <w:numId w:val="8"/>
        </w:numPr>
        <w:spacing w:line="264" w:lineRule="auto"/>
        <w:rPr>
          <w:rFonts w:cs="Arial"/>
          <w:b/>
        </w:rPr>
      </w:pPr>
      <w:r w:rsidRPr="00FC45E9">
        <w:rPr>
          <w:rFonts w:cs="Arial"/>
          <w:b/>
        </w:rPr>
        <w:t>Recommendations</w:t>
      </w:r>
    </w:p>
    <w:p w14:paraId="53A36022"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A wind </w:t>
      </w:r>
      <w:r>
        <w:rPr>
          <w:rFonts w:cs="Arial"/>
        </w:rPr>
        <w:t xml:space="preserve">or solar </w:t>
      </w:r>
      <w:r w:rsidRPr="00FC45E9">
        <w:rPr>
          <w:rFonts w:cs="Arial"/>
        </w:rPr>
        <w:t>farm planning permit should only be renewed for one further term as a maximum</w:t>
      </w:r>
      <w:r>
        <w:rPr>
          <w:rFonts w:cs="Arial"/>
        </w:rPr>
        <w:t xml:space="preserve">, unless there are exceptional circumstances that have caused a delay in commencement. </w:t>
      </w:r>
      <w:r w:rsidRPr="00FC45E9">
        <w:rPr>
          <w:rFonts w:cs="Arial"/>
        </w:rPr>
        <w:t xml:space="preserve">Approval of permit renewals </w:t>
      </w:r>
      <w:r>
        <w:rPr>
          <w:rFonts w:cs="Arial"/>
        </w:rPr>
        <w:t xml:space="preserve">(or extensions) </w:t>
      </w:r>
      <w:r w:rsidRPr="00FC45E9">
        <w:rPr>
          <w:rFonts w:cs="Arial"/>
        </w:rPr>
        <w:t>should require the developer to demonstrate the likelihood of the project commenc</w:t>
      </w:r>
      <w:r>
        <w:rPr>
          <w:rFonts w:cs="Arial"/>
        </w:rPr>
        <w:t>ing</w:t>
      </w:r>
      <w:r w:rsidRPr="00FC45E9">
        <w:rPr>
          <w:rFonts w:cs="Arial"/>
        </w:rPr>
        <w:t xml:space="preserve"> and</w:t>
      </w:r>
      <w:r>
        <w:rPr>
          <w:rFonts w:cs="Arial"/>
        </w:rPr>
        <w:t xml:space="preserve"> being</w:t>
      </w:r>
      <w:r w:rsidRPr="00FC45E9">
        <w:rPr>
          <w:rFonts w:cs="Arial"/>
        </w:rPr>
        <w:t xml:space="preserve"> completed prior to the end of the requested/approved renewal </w:t>
      </w:r>
      <w:r>
        <w:rPr>
          <w:rFonts w:cs="Arial"/>
        </w:rPr>
        <w:t xml:space="preserve">or extension </w:t>
      </w:r>
      <w:r w:rsidRPr="00FC45E9">
        <w:rPr>
          <w:rFonts w:cs="Arial"/>
        </w:rPr>
        <w:t>period.</w:t>
      </w:r>
      <w:r>
        <w:rPr>
          <w:rFonts w:cs="Arial"/>
        </w:rPr>
        <w:t xml:space="preserve"> </w:t>
      </w:r>
    </w:p>
    <w:p w14:paraId="3DABECDE"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Requests for material changes to </w:t>
      </w:r>
      <w:r>
        <w:rPr>
          <w:rFonts w:cs="Arial"/>
        </w:rPr>
        <w:t>a project’</w:t>
      </w:r>
      <w:r w:rsidRPr="00FC45E9">
        <w:rPr>
          <w:rFonts w:cs="Arial"/>
        </w:rPr>
        <w:t>s proposed design and technology need to be scrutinised through an appropriate and rigorous process</w:t>
      </w:r>
      <w:r>
        <w:rPr>
          <w:rFonts w:cs="Arial"/>
        </w:rPr>
        <w:t xml:space="preserve"> by the responsible authority. </w:t>
      </w:r>
      <w:r w:rsidRPr="00FC45E9">
        <w:rPr>
          <w:rFonts w:cs="Arial"/>
        </w:rPr>
        <w:t xml:space="preserve">The process should be transparent to all stakeholders and include re-assessments of key impacts such as noise, visual amenity, environmental considerations, </w:t>
      </w:r>
      <w:r>
        <w:rPr>
          <w:rFonts w:cs="Arial"/>
        </w:rPr>
        <w:t xml:space="preserve">aviation, transport route, transmission requirements, </w:t>
      </w:r>
      <w:r w:rsidRPr="00FC45E9">
        <w:rPr>
          <w:rFonts w:cs="Arial"/>
        </w:rPr>
        <w:t>shadow flicker and construction impacts.</w:t>
      </w:r>
      <w:r>
        <w:rPr>
          <w:rFonts w:cs="Arial"/>
        </w:rPr>
        <w:t xml:space="preserve"> Planning amendment applications for material changes should be subject to public exhibition and the ability for community members to raise concerns and objections.</w:t>
      </w:r>
    </w:p>
    <w:p w14:paraId="07AAC570"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The responsible authority should be able to reasonably introduce and apply current/updated planning guidelines, applicable standards and updated permit conditions when assessing a request to renew</w:t>
      </w:r>
      <w:r>
        <w:rPr>
          <w:rFonts w:cs="Arial"/>
        </w:rPr>
        <w:t xml:space="preserve">/extend a permit or when </w:t>
      </w:r>
      <w:r w:rsidRPr="00FC45E9">
        <w:rPr>
          <w:rFonts w:cs="Arial"/>
        </w:rPr>
        <w:t>approv</w:t>
      </w:r>
      <w:r>
        <w:rPr>
          <w:rFonts w:cs="Arial"/>
        </w:rPr>
        <w:t>ing</w:t>
      </w:r>
      <w:r w:rsidRPr="00FC45E9">
        <w:rPr>
          <w:rFonts w:cs="Arial"/>
        </w:rPr>
        <w:t xml:space="preserve"> a planning </w:t>
      </w:r>
      <w:r>
        <w:rPr>
          <w:rFonts w:cs="Arial"/>
        </w:rPr>
        <w:t>permit amendment</w:t>
      </w:r>
      <w:r w:rsidRPr="00FC45E9">
        <w:rPr>
          <w:rFonts w:cs="Arial"/>
        </w:rPr>
        <w:t>.</w:t>
      </w:r>
      <w:r>
        <w:rPr>
          <w:rFonts w:cs="Arial"/>
        </w:rPr>
        <w:t xml:space="preserve"> </w:t>
      </w:r>
      <w:r w:rsidRPr="00FC45E9">
        <w:rPr>
          <w:rFonts w:cs="Arial"/>
        </w:rPr>
        <w:t>For example, a developer seeking to renew a permit issued on 1 January 201</w:t>
      </w:r>
      <w:r>
        <w:rPr>
          <w:rFonts w:cs="Arial"/>
        </w:rPr>
        <w:t>7</w:t>
      </w:r>
      <w:r w:rsidRPr="00FC45E9">
        <w:rPr>
          <w:rFonts w:cs="Arial"/>
        </w:rPr>
        <w:t>, expiring 31 December 20</w:t>
      </w:r>
      <w:r>
        <w:rPr>
          <w:rFonts w:cs="Arial"/>
        </w:rPr>
        <w:t>21</w:t>
      </w:r>
      <w:r w:rsidRPr="00FC45E9">
        <w:rPr>
          <w:rFonts w:cs="Arial"/>
        </w:rPr>
        <w:t xml:space="preserve">, </w:t>
      </w:r>
      <w:r>
        <w:rPr>
          <w:rFonts w:cs="Arial"/>
        </w:rPr>
        <w:t>should</w:t>
      </w:r>
      <w:r w:rsidRPr="00FC45E9">
        <w:rPr>
          <w:rFonts w:cs="Arial"/>
        </w:rPr>
        <w:t xml:space="preserve"> be required to comply with any contemporary guidelines and standards currently in force that could be reasonably </w:t>
      </w:r>
      <w:r>
        <w:rPr>
          <w:rFonts w:cs="Arial"/>
        </w:rPr>
        <w:t xml:space="preserve">expected to be </w:t>
      </w:r>
      <w:r w:rsidRPr="00FC45E9">
        <w:rPr>
          <w:rFonts w:cs="Arial"/>
        </w:rPr>
        <w:t>complied with</w:t>
      </w:r>
      <w:r>
        <w:rPr>
          <w:rFonts w:cs="Arial"/>
        </w:rPr>
        <w:t>, as such</w:t>
      </w:r>
      <w:r w:rsidRPr="00FC45E9">
        <w:rPr>
          <w:rFonts w:cs="Arial"/>
        </w:rPr>
        <w:t xml:space="preserve"> </w:t>
      </w:r>
      <w:r>
        <w:rPr>
          <w:rFonts w:cs="Arial"/>
        </w:rPr>
        <w:t xml:space="preserve">the developer should </w:t>
      </w:r>
      <w:r w:rsidRPr="00FC45E9">
        <w:rPr>
          <w:rFonts w:cs="Arial"/>
        </w:rPr>
        <w:t>prepare the renewal submissions in accordance with th</w:t>
      </w:r>
      <w:r>
        <w:rPr>
          <w:rFonts w:cs="Arial"/>
        </w:rPr>
        <w:t>e</w:t>
      </w:r>
      <w:r w:rsidRPr="00FC45E9">
        <w:rPr>
          <w:rFonts w:cs="Arial"/>
        </w:rPr>
        <w:t xml:space="preserve"> </w:t>
      </w:r>
      <w:r>
        <w:rPr>
          <w:rFonts w:cs="Arial"/>
        </w:rPr>
        <w:t xml:space="preserve">contemporary </w:t>
      </w:r>
      <w:r w:rsidRPr="00FC45E9">
        <w:rPr>
          <w:rFonts w:cs="Arial"/>
        </w:rPr>
        <w:t>guidelines and standards.</w:t>
      </w:r>
    </w:p>
    <w:p w14:paraId="3D65036C"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Evidence of ongoing community engagement for the project should be submitted to the responsible authority when seeking a renewal approval or permit modification request. </w:t>
      </w:r>
      <w:r w:rsidRPr="00FC45E9">
        <w:rPr>
          <w:rFonts w:cs="Arial"/>
        </w:rPr>
        <w:lastRenderedPageBreak/>
        <w:t xml:space="preserve">Submissions should include evidence of </w:t>
      </w:r>
      <w:r>
        <w:rPr>
          <w:rFonts w:cs="Arial"/>
        </w:rPr>
        <w:t xml:space="preserve">current </w:t>
      </w:r>
      <w:r w:rsidRPr="00FC45E9">
        <w:rPr>
          <w:rFonts w:cs="Arial"/>
        </w:rPr>
        <w:t xml:space="preserve">community consultation </w:t>
      </w:r>
      <w:r>
        <w:rPr>
          <w:rFonts w:cs="Arial"/>
        </w:rPr>
        <w:t xml:space="preserve">efforts </w:t>
      </w:r>
      <w:r w:rsidRPr="00FC45E9">
        <w:rPr>
          <w:rFonts w:cs="Arial"/>
        </w:rPr>
        <w:t xml:space="preserve">with regard to any proposed changes in the </w:t>
      </w:r>
      <w:r>
        <w:rPr>
          <w:rFonts w:cs="Arial"/>
        </w:rPr>
        <w:t>project</w:t>
      </w:r>
      <w:r w:rsidRPr="00FC45E9">
        <w:rPr>
          <w:rFonts w:cs="Arial"/>
        </w:rPr>
        <w:t xml:space="preserve"> design and layout subsequent to the original permit approval.</w:t>
      </w:r>
    </w:p>
    <w:p w14:paraId="674126BD"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In considering a renewal</w:t>
      </w:r>
      <w:r>
        <w:rPr>
          <w:rFonts w:cs="Arial"/>
        </w:rPr>
        <w:t>/extension</w:t>
      </w:r>
      <w:r w:rsidRPr="00FC45E9">
        <w:rPr>
          <w:rFonts w:cs="Arial"/>
        </w:rPr>
        <w:t xml:space="preserve"> or </w:t>
      </w:r>
      <w:r>
        <w:rPr>
          <w:rFonts w:cs="Arial"/>
        </w:rPr>
        <w:t>permit amendment</w:t>
      </w:r>
      <w:r w:rsidRPr="00FC45E9">
        <w:rPr>
          <w:rFonts w:cs="Arial"/>
        </w:rPr>
        <w:t xml:space="preserve"> application, the responsible authority should assess any compounding effects of other proposed or constructed wind farms in the vicinity with</w:t>
      </w:r>
      <w:r>
        <w:rPr>
          <w:rFonts w:cs="Arial"/>
        </w:rPr>
        <w:t xml:space="preserve"> </w:t>
      </w:r>
      <w:r w:rsidRPr="00FC45E9">
        <w:rPr>
          <w:rFonts w:cs="Arial"/>
        </w:rPr>
        <w:t xml:space="preserve">respect to residents who may experience cumulative effects that may be exacerbated by the proposed wind farm that is seeking permit renewal </w:t>
      </w:r>
      <w:r>
        <w:rPr>
          <w:rFonts w:cs="Arial"/>
        </w:rPr>
        <w:t xml:space="preserve">or amendment </w:t>
      </w:r>
      <w:r w:rsidRPr="00FC45E9">
        <w:rPr>
          <w:rFonts w:cs="Arial"/>
        </w:rPr>
        <w:t>approval</w:t>
      </w:r>
      <w:r>
        <w:rPr>
          <w:rFonts w:cs="Arial"/>
        </w:rPr>
        <w:t>s</w:t>
      </w:r>
      <w:r w:rsidRPr="00FC45E9">
        <w:rPr>
          <w:rFonts w:cs="Arial"/>
        </w:rPr>
        <w:t>.</w:t>
      </w:r>
    </w:p>
    <w:p w14:paraId="49781F10"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Further to Recommendation 4.2.5, the responsible authority should assess </w:t>
      </w:r>
      <w:r>
        <w:rPr>
          <w:rFonts w:cs="Arial"/>
        </w:rPr>
        <w:t xml:space="preserve">the impacts of </w:t>
      </w:r>
      <w:r w:rsidRPr="00FC45E9">
        <w:rPr>
          <w:rFonts w:cs="Arial"/>
        </w:rPr>
        <w:t xml:space="preserve">any other planning approval requests </w:t>
      </w:r>
      <w:r>
        <w:rPr>
          <w:rFonts w:cs="Arial"/>
        </w:rPr>
        <w:t xml:space="preserve">or confirmed approvals </w:t>
      </w:r>
      <w:r w:rsidRPr="00FC45E9">
        <w:rPr>
          <w:rFonts w:cs="Arial"/>
        </w:rPr>
        <w:t xml:space="preserve">in the vicinity that have arisen subsequent to the </w:t>
      </w:r>
      <w:r>
        <w:rPr>
          <w:rFonts w:cs="Arial"/>
        </w:rPr>
        <w:t xml:space="preserve">project’s </w:t>
      </w:r>
      <w:r w:rsidRPr="00FC45E9">
        <w:rPr>
          <w:rFonts w:cs="Arial"/>
        </w:rPr>
        <w:t>original permit approval when considering the permit renewal</w:t>
      </w:r>
      <w:r>
        <w:rPr>
          <w:rFonts w:cs="Arial"/>
        </w:rPr>
        <w:t xml:space="preserve">/extension </w:t>
      </w:r>
      <w:r w:rsidRPr="00FC45E9">
        <w:rPr>
          <w:rFonts w:cs="Arial"/>
        </w:rPr>
        <w:t xml:space="preserve">application. These could include dwellings that had legitimate planning approvals prior to the </w:t>
      </w:r>
      <w:r>
        <w:rPr>
          <w:rFonts w:cs="Arial"/>
        </w:rPr>
        <w:t>project’s</w:t>
      </w:r>
      <w:r w:rsidRPr="00FC45E9">
        <w:rPr>
          <w:rFonts w:cs="Arial"/>
        </w:rPr>
        <w:t xml:space="preserve"> original permit being approved that have subsequently been built and are inhabited.</w:t>
      </w:r>
    </w:p>
    <w:p w14:paraId="204C9310"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In the event that the </w:t>
      </w:r>
      <w:r>
        <w:rPr>
          <w:rFonts w:cs="Arial"/>
        </w:rPr>
        <w:t xml:space="preserve">project </w:t>
      </w:r>
      <w:r w:rsidRPr="00FC45E9">
        <w:rPr>
          <w:rFonts w:cs="Arial"/>
        </w:rPr>
        <w:t>is seeking a renewal/extension of the permit period to allow a commenced project further time for construction completion, the responsible authority needs to be fully satisfied that material construction has already commenced and provide extensions only for the period where it would be reasonably expected for the remaining construction to be completed.</w:t>
      </w:r>
      <w:r>
        <w:rPr>
          <w:rFonts w:cs="Arial"/>
        </w:rPr>
        <w:t xml:space="preserve"> For example, the project should have reached financial close and commenced actual construction of wind turbines or solar arrays. A roadway or shed should not be considered as commencement of material construction.</w:t>
      </w:r>
    </w:p>
    <w:p w14:paraId="34B29605"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State governments should </w:t>
      </w:r>
      <w:r>
        <w:rPr>
          <w:rFonts w:cs="Arial"/>
        </w:rPr>
        <w:t xml:space="preserve">consider </w:t>
      </w:r>
      <w:r w:rsidRPr="00FC45E9">
        <w:rPr>
          <w:rFonts w:cs="Arial"/>
        </w:rPr>
        <w:t>includ</w:t>
      </w:r>
      <w:r>
        <w:rPr>
          <w:rFonts w:cs="Arial"/>
        </w:rPr>
        <w:t>ing</w:t>
      </w:r>
      <w:r w:rsidRPr="00FC45E9">
        <w:rPr>
          <w:rFonts w:cs="Arial"/>
        </w:rPr>
        <w:t xml:space="preserve"> </w:t>
      </w:r>
      <w:r>
        <w:rPr>
          <w:rFonts w:cs="Arial"/>
        </w:rPr>
        <w:t xml:space="preserve">relevant </w:t>
      </w:r>
      <w:r w:rsidRPr="00FC45E9">
        <w:rPr>
          <w:rFonts w:cs="Arial"/>
        </w:rPr>
        <w:t>question</w:t>
      </w:r>
      <w:r>
        <w:rPr>
          <w:rFonts w:cs="Arial"/>
        </w:rPr>
        <w:t>s</w:t>
      </w:r>
      <w:r w:rsidRPr="00FC45E9">
        <w:rPr>
          <w:rFonts w:cs="Arial"/>
        </w:rPr>
        <w:t xml:space="preserve"> for </w:t>
      </w:r>
      <w:r>
        <w:rPr>
          <w:rFonts w:cs="Arial"/>
        </w:rPr>
        <w:t xml:space="preserve">prospective </w:t>
      </w:r>
      <w:r w:rsidRPr="00FC45E9">
        <w:rPr>
          <w:rFonts w:cs="Arial"/>
        </w:rPr>
        <w:t xml:space="preserve">rural property purchasers to ask about potential wind </w:t>
      </w:r>
      <w:r>
        <w:rPr>
          <w:rFonts w:cs="Arial"/>
        </w:rPr>
        <w:t xml:space="preserve">or solar </w:t>
      </w:r>
      <w:r w:rsidRPr="00FC45E9">
        <w:rPr>
          <w:rFonts w:cs="Arial"/>
        </w:rPr>
        <w:t>farms</w:t>
      </w:r>
      <w:r>
        <w:rPr>
          <w:rFonts w:cs="Arial"/>
        </w:rPr>
        <w:t>,</w:t>
      </w:r>
      <w:r w:rsidRPr="00FC45E9">
        <w:rPr>
          <w:rFonts w:cs="Arial"/>
        </w:rPr>
        <w:t xml:space="preserve"> </w:t>
      </w:r>
      <w:r>
        <w:rPr>
          <w:rFonts w:cs="Arial"/>
        </w:rPr>
        <w:t xml:space="preserve">in the vicinity of the property, </w:t>
      </w:r>
      <w:r w:rsidRPr="00FC45E9">
        <w:rPr>
          <w:rFonts w:cs="Arial"/>
        </w:rPr>
        <w:t xml:space="preserve">in any due diligence </w:t>
      </w:r>
      <w:r>
        <w:rPr>
          <w:rFonts w:cs="Arial"/>
        </w:rPr>
        <w:t>‘</w:t>
      </w:r>
      <w:r w:rsidRPr="00FC45E9">
        <w:rPr>
          <w:rFonts w:cs="Arial"/>
        </w:rPr>
        <w:t>checklist</w:t>
      </w:r>
      <w:r>
        <w:rPr>
          <w:rFonts w:cs="Arial"/>
        </w:rPr>
        <w:t>’</w:t>
      </w:r>
      <w:r w:rsidRPr="00FC45E9">
        <w:rPr>
          <w:rFonts w:cs="Arial"/>
        </w:rPr>
        <w:t xml:space="preserve"> that may accompany </w:t>
      </w:r>
      <w:r>
        <w:rPr>
          <w:rFonts w:cs="Arial"/>
        </w:rPr>
        <w:t xml:space="preserve">a </w:t>
      </w:r>
      <w:r w:rsidRPr="00FC45E9">
        <w:rPr>
          <w:rFonts w:cs="Arial"/>
        </w:rPr>
        <w:t xml:space="preserve">contract of sale </w:t>
      </w:r>
      <w:r>
        <w:rPr>
          <w:rFonts w:cs="Arial"/>
        </w:rPr>
        <w:t xml:space="preserve">or vendor statement </w:t>
      </w:r>
      <w:r w:rsidRPr="00FC45E9">
        <w:rPr>
          <w:rFonts w:cs="Arial"/>
        </w:rPr>
        <w:t>document.</w:t>
      </w:r>
    </w:p>
    <w:p w14:paraId="4232030D"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Planned dwellings within proximity to a proposed wind </w:t>
      </w:r>
      <w:r>
        <w:rPr>
          <w:rFonts w:cs="Arial"/>
        </w:rPr>
        <w:t>or solar farm</w:t>
      </w:r>
      <w:r w:rsidRPr="00FC45E9">
        <w:rPr>
          <w:rFonts w:cs="Arial"/>
        </w:rPr>
        <w:t xml:space="preserve"> that have </w:t>
      </w:r>
      <w:r>
        <w:rPr>
          <w:rFonts w:cs="Arial"/>
        </w:rPr>
        <w:t xml:space="preserve">existing, </w:t>
      </w:r>
      <w:r w:rsidRPr="00FC45E9">
        <w:rPr>
          <w:rFonts w:cs="Arial"/>
        </w:rPr>
        <w:t xml:space="preserve">approved and current planning and building permits, should be treated </w:t>
      </w:r>
      <w:r>
        <w:rPr>
          <w:rFonts w:cs="Arial"/>
        </w:rPr>
        <w:t xml:space="preserve">and assessed </w:t>
      </w:r>
      <w:r w:rsidRPr="00FC45E9">
        <w:rPr>
          <w:rFonts w:cs="Arial"/>
        </w:rPr>
        <w:t xml:space="preserve">as an existing dwelling </w:t>
      </w:r>
      <w:r>
        <w:rPr>
          <w:rFonts w:cs="Arial"/>
        </w:rPr>
        <w:t xml:space="preserve">by developers </w:t>
      </w:r>
      <w:r w:rsidRPr="00FC45E9">
        <w:rPr>
          <w:rFonts w:cs="Arial"/>
        </w:rPr>
        <w:t>when preparing and submitting permit applications. Planned dwellings that subsequently are not constructed</w:t>
      </w:r>
      <w:r>
        <w:rPr>
          <w:rFonts w:cs="Arial"/>
        </w:rPr>
        <w:t xml:space="preserve"> within the specified time limits and/</w:t>
      </w:r>
      <w:r w:rsidRPr="00FC45E9">
        <w:rPr>
          <w:rFonts w:cs="Arial"/>
        </w:rPr>
        <w:t xml:space="preserve">or have expired permits, can be removed </w:t>
      </w:r>
      <w:r>
        <w:rPr>
          <w:rFonts w:cs="Arial"/>
        </w:rPr>
        <w:t>as a constraint to</w:t>
      </w:r>
      <w:r w:rsidRPr="00FC45E9">
        <w:rPr>
          <w:rFonts w:cs="Arial"/>
        </w:rPr>
        <w:t xml:space="preserve"> the planning layout. See also recommendation 4.2.10 regarding development plans subsequent to a </w:t>
      </w:r>
      <w:r>
        <w:rPr>
          <w:rFonts w:cs="Arial"/>
        </w:rPr>
        <w:t xml:space="preserve">project </w:t>
      </w:r>
      <w:r w:rsidRPr="00FC45E9">
        <w:rPr>
          <w:rFonts w:cs="Arial"/>
        </w:rPr>
        <w:t>planning permit being approved.</w:t>
      </w:r>
    </w:p>
    <w:p w14:paraId="13ABDD45"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Neighbours to projects, where the project is in either development or in operation, should be allowed to submit development plans to the responsible planning authority for new development on their property, such as a dwelling or a shed. Development proposals within at least 1.5 km of a proposed or operating wind turbine, should be referred to the wind farm developer by the responsible authority for consultation and to verify impact levels of the wind </w:t>
      </w:r>
      <w:r>
        <w:rPr>
          <w:rFonts w:cs="Arial"/>
        </w:rPr>
        <w:t xml:space="preserve">or solar </w:t>
      </w:r>
      <w:r w:rsidRPr="00FC45E9">
        <w:rPr>
          <w:rFonts w:cs="Arial"/>
        </w:rPr>
        <w:t xml:space="preserve">farm at the proposed neighbour’s development site. Development proposals in locations where the </w:t>
      </w:r>
      <w:r>
        <w:rPr>
          <w:rFonts w:cs="Arial"/>
        </w:rPr>
        <w:t xml:space="preserve">project </w:t>
      </w:r>
      <w:r w:rsidRPr="00FC45E9">
        <w:rPr>
          <w:rFonts w:cs="Arial"/>
        </w:rPr>
        <w:t xml:space="preserve">is likely to exceed prescribed standards and limits may require written agreements to be reached between the neighbour and the </w:t>
      </w:r>
      <w:r>
        <w:rPr>
          <w:rFonts w:cs="Arial"/>
        </w:rPr>
        <w:t xml:space="preserve">project </w:t>
      </w:r>
      <w:r w:rsidRPr="00FC45E9">
        <w:rPr>
          <w:rFonts w:cs="Arial"/>
        </w:rPr>
        <w:t xml:space="preserve">before the neighbour’s development can be </w:t>
      </w:r>
      <w:r>
        <w:rPr>
          <w:rFonts w:cs="Arial"/>
        </w:rPr>
        <w:t xml:space="preserve">granted final </w:t>
      </w:r>
      <w:r w:rsidRPr="00FC45E9">
        <w:rPr>
          <w:rFonts w:cs="Arial"/>
        </w:rPr>
        <w:t>approv</w:t>
      </w:r>
      <w:r>
        <w:rPr>
          <w:rFonts w:cs="Arial"/>
        </w:rPr>
        <w:t>al by the responsible authority</w:t>
      </w:r>
      <w:r w:rsidRPr="00FC45E9">
        <w:rPr>
          <w:rFonts w:cs="Arial"/>
        </w:rPr>
        <w:t>.</w:t>
      </w:r>
    </w:p>
    <w:p w14:paraId="435467D9"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Transmission lines, substations and other related electrical infrastructure should all be subject to and require an appropriate planning permit, ideally as part of the overall permit for the project. Careful consideration should be given to the design and routing of the powerline. </w:t>
      </w:r>
      <w:r>
        <w:rPr>
          <w:rFonts w:cs="Arial"/>
        </w:rPr>
        <w:t>Developers</w:t>
      </w:r>
      <w:r w:rsidRPr="00FC45E9">
        <w:rPr>
          <w:rFonts w:cs="Arial"/>
        </w:rPr>
        <w:t xml:space="preserve"> should collaborate wherever possible to optimise use of shared transmission facilities. Relevant governance bodies (transmission planning, electrical safety, road safety, local councils etc.) should be properly consulted on the </w:t>
      </w:r>
      <w:r>
        <w:rPr>
          <w:rFonts w:cs="Arial"/>
        </w:rPr>
        <w:t xml:space="preserve">planning application </w:t>
      </w:r>
      <w:r w:rsidRPr="00FC45E9">
        <w:rPr>
          <w:rFonts w:cs="Arial"/>
        </w:rPr>
        <w:t>and exercise their oversight responsibilities accordingly.</w:t>
      </w:r>
    </w:p>
    <w:p w14:paraId="1820CA20" w14:textId="77777777" w:rsidR="001556F0" w:rsidRDefault="001556F0" w:rsidP="001556F0">
      <w:pPr>
        <w:pStyle w:val="ListParagraph"/>
        <w:numPr>
          <w:ilvl w:val="2"/>
          <w:numId w:val="8"/>
        </w:numPr>
        <w:spacing w:line="264" w:lineRule="auto"/>
        <w:ind w:left="1400" w:hanging="680"/>
        <w:rPr>
          <w:rFonts w:cs="Arial"/>
        </w:rPr>
      </w:pPr>
      <w:r>
        <w:rPr>
          <w:rFonts w:cs="Arial"/>
        </w:rPr>
        <w:lastRenderedPageBreak/>
        <w:t>State governments are best placed to be the responsible authority for large-scale renewable energy and storage projects. Local governments have a very important role to play in the planning process, road access, community engagement, construction and operation of the project, but should not be burdened with the overall planning and compliance responsibilities.</w:t>
      </w:r>
    </w:p>
    <w:p w14:paraId="3CF6DC61" w14:textId="77777777" w:rsidR="001556F0" w:rsidRPr="008A240A" w:rsidRDefault="001556F0" w:rsidP="001556F0">
      <w:pPr>
        <w:pStyle w:val="ListParagraph"/>
        <w:numPr>
          <w:ilvl w:val="2"/>
          <w:numId w:val="8"/>
        </w:numPr>
        <w:spacing w:line="264" w:lineRule="auto"/>
        <w:ind w:left="1400" w:hanging="680"/>
        <w:rPr>
          <w:rFonts w:cs="Arial"/>
        </w:rPr>
      </w:pPr>
      <w:r>
        <w:rPr>
          <w:rFonts w:cs="Arial"/>
        </w:rPr>
        <w:t>Developers should provide evidence that they have landowner consent for the development application and any subsequent planning permit amendment applications. If the developer is declaring they have obtained such consent, the declaration should be subject to an audit.</w:t>
      </w:r>
    </w:p>
    <w:p w14:paraId="65715C43" w14:textId="77777777" w:rsidR="001556F0" w:rsidRPr="00FC45E9" w:rsidRDefault="001556F0" w:rsidP="001556F0">
      <w:pPr>
        <w:pStyle w:val="ListParagraph"/>
        <w:numPr>
          <w:ilvl w:val="0"/>
          <w:numId w:val="0"/>
        </w:numPr>
        <w:spacing w:line="264" w:lineRule="auto"/>
        <w:ind w:left="1400"/>
        <w:rPr>
          <w:rFonts w:cs="Arial"/>
        </w:rPr>
      </w:pPr>
    </w:p>
    <w:p w14:paraId="48ED6D2D" w14:textId="77777777" w:rsidR="001556F0" w:rsidRPr="00FC45E9" w:rsidRDefault="001556F0" w:rsidP="001556F0">
      <w:pPr>
        <w:pStyle w:val="Heading2"/>
        <w:numPr>
          <w:ilvl w:val="0"/>
          <w:numId w:val="8"/>
        </w:numPr>
      </w:pPr>
      <w:bookmarkStart w:id="43" w:name="_Toc51224052"/>
      <w:bookmarkStart w:id="44" w:name="_Toc84430833"/>
      <w:r w:rsidRPr="00FC45E9">
        <w:t>Governance and Compliance of Standards and Permit Conditions</w:t>
      </w:r>
      <w:bookmarkEnd w:id="43"/>
      <w:bookmarkEnd w:id="44"/>
    </w:p>
    <w:p w14:paraId="57823455" w14:textId="77777777" w:rsidR="001556F0" w:rsidRPr="00FC45E9" w:rsidRDefault="001556F0" w:rsidP="001556F0">
      <w:pPr>
        <w:pStyle w:val="ListParagraph"/>
        <w:numPr>
          <w:ilvl w:val="1"/>
          <w:numId w:val="8"/>
        </w:numPr>
        <w:spacing w:line="264" w:lineRule="auto"/>
        <w:rPr>
          <w:rFonts w:cs="Arial"/>
          <w:b/>
        </w:rPr>
      </w:pPr>
      <w:r w:rsidRPr="00FC45E9">
        <w:rPr>
          <w:rFonts w:cs="Arial"/>
          <w:b/>
        </w:rPr>
        <w:t>Observations</w:t>
      </w:r>
    </w:p>
    <w:p w14:paraId="391E8AAE"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Background</w:t>
      </w:r>
    </w:p>
    <w:p w14:paraId="63BAFAF8"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The design and governance of </w:t>
      </w:r>
      <w:r>
        <w:rPr>
          <w:rFonts w:cs="Arial"/>
        </w:rPr>
        <w:t xml:space="preserve">large-scale renewable </w:t>
      </w:r>
      <w:r w:rsidRPr="00FC45E9">
        <w:rPr>
          <w:rFonts w:cs="Arial"/>
        </w:rPr>
        <w:t>energy projects relies on a range of standards and various compliance mechanisms to monitor and enforce those standards.</w:t>
      </w:r>
    </w:p>
    <w:p w14:paraId="173ADA0F"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Standards are often set and maintained by the responsible authority (for example, a state planning department or environment department) and there are a variety of arrangements in place for enforcing compliance with the standards. Standards may be ‘borrowed’ from other jurisdictions (for example, Victoria uses the New Zealand </w:t>
      </w:r>
      <w:r>
        <w:rPr>
          <w:rFonts w:cs="Arial"/>
        </w:rPr>
        <w:t>(NZ) noise s</w:t>
      </w:r>
      <w:r w:rsidRPr="00FC45E9">
        <w:rPr>
          <w:rFonts w:cs="Arial"/>
        </w:rPr>
        <w:t>tandard, the NSW noise standard is based on the South Australian standard), set by the planning function or set by the state agency responsible for environmental management and regulation.</w:t>
      </w:r>
    </w:p>
    <w:p w14:paraId="47CC1C62"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Enforcement of standards and permit conditions also varies by jurisdiction and the type of standards. Generally</w:t>
      </w:r>
      <w:r>
        <w:rPr>
          <w:rFonts w:cs="Arial"/>
        </w:rPr>
        <w:t xml:space="preserve"> speaking</w:t>
      </w:r>
      <w:r w:rsidRPr="00FC45E9">
        <w:rPr>
          <w:rFonts w:cs="Arial"/>
        </w:rPr>
        <w:t xml:space="preserve">, there are no proactive </w:t>
      </w:r>
      <w:r>
        <w:rPr>
          <w:rFonts w:cs="Arial"/>
        </w:rPr>
        <w:t xml:space="preserve">compliance </w:t>
      </w:r>
      <w:r w:rsidRPr="00FC45E9">
        <w:rPr>
          <w:rFonts w:cs="Arial"/>
        </w:rPr>
        <w:t xml:space="preserve">audit regimes in place – rather, compliance relies on </w:t>
      </w:r>
      <w:r>
        <w:rPr>
          <w:rFonts w:cs="Arial"/>
        </w:rPr>
        <w:t xml:space="preserve">authorities </w:t>
      </w:r>
      <w:r w:rsidRPr="00FC45E9">
        <w:rPr>
          <w:rFonts w:cs="Arial"/>
        </w:rPr>
        <w:t xml:space="preserve">receiving </w:t>
      </w:r>
      <w:r>
        <w:rPr>
          <w:rFonts w:cs="Arial"/>
        </w:rPr>
        <w:t xml:space="preserve">and investigating </w:t>
      </w:r>
      <w:r w:rsidRPr="00FC45E9">
        <w:rPr>
          <w:rFonts w:cs="Arial"/>
        </w:rPr>
        <w:t>complaints or alleged breaches of permit</w:t>
      </w:r>
      <w:r>
        <w:rPr>
          <w:rFonts w:cs="Arial"/>
        </w:rPr>
        <w:t xml:space="preserve"> or license </w:t>
      </w:r>
      <w:r w:rsidRPr="00FC45E9">
        <w:rPr>
          <w:rFonts w:cs="Arial"/>
        </w:rPr>
        <w:t xml:space="preserve">conditions. The pathway to make a compliance complaint or allegation again varies by jurisdiction and type of complaint – in some cases the state environmental regulator can receive and investigate noise or environmental complaints, in other cases it may be a local council, state planning department or the </w:t>
      </w:r>
      <w:r>
        <w:rPr>
          <w:rFonts w:cs="Arial"/>
        </w:rPr>
        <w:t>relevant Australian Government d</w:t>
      </w:r>
      <w:r w:rsidRPr="00FC45E9">
        <w:rPr>
          <w:rFonts w:cs="Arial"/>
        </w:rPr>
        <w:t>epartment.</w:t>
      </w:r>
    </w:p>
    <w:p w14:paraId="7C69B882"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Compliance Complaints</w:t>
      </w:r>
    </w:p>
    <w:p w14:paraId="7ED85C6B"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It is often unclear to community members where or who they should lodge a complaint to regarding compliance. Planning permits may not </w:t>
      </w:r>
      <w:r>
        <w:rPr>
          <w:rFonts w:cs="Arial"/>
        </w:rPr>
        <w:t xml:space="preserve">always </w:t>
      </w:r>
      <w:r w:rsidRPr="00FC45E9">
        <w:rPr>
          <w:rFonts w:cs="Arial"/>
        </w:rPr>
        <w:t>clearly state the accountability and responsibilities with regard to compliance oversight, nor may they prescribe a process for handling potential or actual non-compliance. Further, local councils and state planning functions may not have the necessary skills and expertise to handle and investigate a compliance complaint. Federal agencies, such as the Clean Energy Regulator, rely on a clear understanding of the responsible compliance authority and the authority’s advice if the Regulator is to consider acting on allegations of non-compliance or breach of a law.</w:t>
      </w:r>
    </w:p>
    <w:p w14:paraId="4D5E6530"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Interpretation and Consistency of Standards</w:t>
      </w:r>
    </w:p>
    <w:p w14:paraId="395CC711"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Borrowed standards can also be difficult to administrate or enforce if a protocol has not been developed for the local jurisdiction. </w:t>
      </w:r>
      <w:r>
        <w:rPr>
          <w:rFonts w:cs="Arial"/>
        </w:rPr>
        <w:t>As an example</w:t>
      </w:r>
      <w:r w:rsidRPr="00FC45E9">
        <w:rPr>
          <w:rFonts w:cs="Arial"/>
        </w:rPr>
        <w:t xml:space="preserve">, the </w:t>
      </w:r>
      <w:r>
        <w:rPr>
          <w:rFonts w:cs="Arial"/>
        </w:rPr>
        <w:t>NZ</w:t>
      </w:r>
      <w:r w:rsidRPr="00FC45E9">
        <w:rPr>
          <w:rFonts w:cs="Arial"/>
        </w:rPr>
        <w:t xml:space="preserve"> </w:t>
      </w:r>
      <w:r>
        <w:rPr>
          <w:rFonts w:cs="Arial"/>
        </w:rPr>
        <w:t xml:space="preserve">noise </w:t>
      </w:r>
      <w:r w:rsidRPr="00FC45E9">
        <w:rPr>
          <w:rFonts w:cs="Arial"/>
        </w:rPr>
        <w:t xml:space="preserve">standard </w:t>
      </w:r>
      <w:r>
        <w:rPr>
          <w:rFonts w:cs="Arial"/>
        </w:rPr>
        <w:t xml:space="preserve">(used in Victoria and Tasmania) </w:t>
      </w:r>
      <w:r w:rsidRPr="00FC45E9">
        <w:rPr>
          <w:rFonts w:cs="Arial"/>
        </w:rPr>
        <w:t xml:space="preserve">has a concept of low and high amenity areas for determining the appropriate noise limits for a wind farm. Victoria’s planning scheme does not define such areas, making it difficult to interpret and apply the NZ standard </w:t>
      </w:r>
      <w:r>
        <w:rPr>
          <w:rFonts w:cs="Arial"/>
        </w:rPr>
        <w:t>‘</w:t>
      </w:r>
      <w:r w:rsidRPr="00FC45E9">
        <w:rPr>
          <w:rFonts w:cs="Arial"/>
        </w:rPr>
        <w:t>as is</w:t>
      </w:r>
      <w:r>
        <w:rPr>
          <w:rFonts w:cs="Arial"/>
        </w:rPr>
        <w:t>’</w:t>
      </w:r>
      <w:r w:rsidRPr="00FC45E9">
        <w:rPr>
          <w:rFonts w:cs="Arial"/>
        </w:rPr>
        <w:t xml:space="preserve"> in the Victorian context (see </w:t>
      </w:r>
      <w:r w:rsidRPr="00FC45E9">
        <w:rPr>
          <w:rFonts w:cs="Arial"/>
          <w:i/>
        </w:rPr>
        <w:t>Cherry Tree Wind Farm Pty Ltd vs Mitchell Shire Council – VCAT – P2910/2012</w:t>
      </w:r>
      <w:r w:rsidRPr="00FC45E9">
        <w:rPr>
          <w:rFonts w:cs="Arial"/>
        </w:rPr>
        <w:t xml:space="preserve">). </w:t>
      </w:r>
    </w:p>
    <w:p w14:paraId="374DAED8"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Issues have also arisen regarding the application of tonal noise penalties provided for in the NZ standard. The application of the standard is open to interpretation in that regard, and Victoria</w:t>
      </w:r>
      <w:r>
        <w:rPr>
          <w:rFonts w:cs="Arial"/>
        </w:rPr>
        <w:t>/Tasmania</w:t>
      </w:r>
      <w:r w:rsidRPr="00FC45E9">
        <w:rPr>
          <w:rFonts w:cs="Arial"/>
        </w:rPr>
        <w:t xml:space="preserve"> </w:t>
      </w:r>
      <w:r w:rsidRPr="00FC45E9">
        <w:rPr>
          <w:rFonts w:cs="Arial"/>
        </w:rPr>
        <w:lastRenderedPageBreak/>
        <w:t>must rely on interpretations from New Zealand court proceedings to clarify the standard</w:t>
      </w:r>
      <w:r>
        <w:rPr>
          <w:rFonts w:cs="Arial"/>
        </w:rPr>
        <w:t>’s application</w:t>
      </w:r>
      <w:r w:rsidRPr="00FC45E9">
        <w:rPr>
          <w:rFonts w:cs="Arial"/>
        </w:rPr>
        <w:t xml:space="preserve">. This can be </w:t>
      </w:r>
      <w:r>
        <w:rPr>
          <w:rFonts w:cs="Arial"/>
        </w:rPr>
        <w:t xml:space="preserve">a </w:t>
      </w:r>
      <w:r w:rsidRPr="00FC45E9">
        <w:rPr>
          <w:rFonts w:cs="Arial"/>
        </w:rPr>
        <w:t xml:space="preserve">difficult matter to resolve, particularly in the event the interpretation has also been a topic of debate in </w:t>
      </w:r>
      <w:r>
        <w:rPr>
          <w:rFonts w:cs="Arial"/>
        </w:rPr>
        <w:t>New Zealand itself</w:t>
      </w:r>
      <w:r w:rsidRPr="00FC45E9">
        <w:rPr>
          <w:rFonts w:cs="Arial"/>
        </w:rPr>
        <w:t xml:space="preserve"> (see </w:t>
      </w:r>
      <w:r w:rsidRPr="00FC45E9">
        <w:rPr>
          <w:rFonts w:cs="Arial"/>
          <w:i/>
        </w:rPr>
        <w:t xml:space="preserve">Decision of Hearing Commissioners re Palmerston North City Council v New Zealand Windfarms Ltd – </w:t>
      </w:r>
      <w:r w:rsidRPr="00FC45E9">
        <w:rPr>
          <w:rFonts w:cs="Arial"/>
        </w:rPr>
        <w:t>November 2017).</w:t>
      </w:r>
    </w:p>
    <w:p w14:paraId="3A395BE0" w14:textId="77777777" w:rsidR="001556F0" w:rsidRDefault="001556F0" w:rsidP="001556F0">
      <w:pPr>
        <w:pStyle w:val="ListParagraph"/>
        <w:numPr>
          <w:ilvl w:val="0"/>
          <w:numId w:val="0"/>
        </w:numPr>
        <w:spacing w:line="264" w:lineRule="auto"/>
        <w:ind w:left="360"/>
        <w:rPr>
          <w:rFonts w:cs="Arial"/>
          <w:b/>
          <w:bCs/>
        </w:rPr>
      </w:pPr>
      <w:r w:rsidRPr="00FC45E9">
        <w:rPr>
          <w:rFonts w:cs="Arial"/>
        </w:rPr>
        <w:t xml:space="preserve">Typical standards and permit requirements relevant to a </w:t>
      </w:r>
      <w:r>
        <w:rPr>
          <w:rFonts w:cs="Arial"/>
        </w:rPr>
        <w:t>project’s</w:t>
      </w:r>
      <w:r w:rsidRPr="00FC45E9">
        <w:rPr>
          <w:rFonts w:cs="Arial"/>
        </w:rPr>
        <w:t xml:space="preserve"> development and operation can include matters such as audible noise, shadow flicker, visual amenity impacts, setback distances, environmental matters related to flora and fauna, vegetation clearance as well as noise and dust levels during construction.</w:t>
      </w:r>
    </w:p>
    <w:p w14:paraId="45867E2F" w14:textId="77777777" w:rsidR="001556F0" w:rsidRPr="002C01BF" w:rsidRDefault="001556F0" w:rsidP="001556F0">
      <w:pPr>
        <w:pStyle w:val="ListParagraph"/>
        <w:numPr>
          <w:ilvl w:val="0"/>
          <w:numId w:val="0"/>
        </w:numPr>
        <w:spacing w:line="264" w:lineRule="auto"/>
        <w:ind w:left="360"/>
        <w:rPr>
          <w:rFonts w:cs="Arial"/>
          <w:b/>
          <w:bCs/>
        </w:rPr>
      </w:pPr>
      <w:r w:rsidRPr="002C01BF">
        <w:rPr>
          <w:rFonts w:cs="Arial"/>
          <w:b/>
          <w:bCs/>
        </w:rPr>
        <w:t>Noise Standards</w:t>
      </w:r>
    </w:p>
    <w:p w14:paraId="53A3BACC" w14:textId="77777777" w:rsidR="001556F0" w:rsidRPr="00FC45E9" w:rsidRDefault="001556F0" w:rsidP="001556F0">
      <w:pPr>
        <w:pStyle w:val="ListParagraph"/>
        <w:numPr>
          <w:ilvl w:val="0"/>
          <w:numId w:val="0"/>
        </w:numPr>
        <w:spacing w:line="264" w:lineRule="auto"/>
        <w:ind w:left="360"/>
        <w:rPr>
          <w:rFonts w:cs="Arial"/>
        </w:rPr>
      </w:pPr>
      <w:r>
        <w:rPr>
          <w:rFonts w:cs="Arial"/>
        </w:rPr>
        <w:t>Noise s</w:t>
      </w:r>
      <w:r w:rsidRPr="00FC45E9">
        <w:rPr>
          <w:rFonts w:cs="Arial"/>
        </w:rPr>
        <w:t>tandards relating to wind farms currently vary by state. For example, the wind farm noise limit standard in Victoria and Tasmania is 40 dB(A)</w:t>
      </w:r>
      <w:r w:rsidRPr="00FC45E9">
        <w:rPr>
          <w:rStyle w:val="FootnoteReference"/>
          <w:rFonts w:cs="Arial"/>
        </w:rPr>
        <w:footnoteReference w:customMarkFollows="1" w:id="2"/>
        <w:t>*</w:t>
      </w:r>
      <w:r w:rsidRPr="00FC45E9">
        <w:rPr>
          <w:rFonts w:cs="Arial"/>
        </w:rPr>
        <w:t xml:space="preserve"> measured outside the residence. South Australia varies between 35 dB(A)</w:t>
      </w:r>
      <w:r w:rsidRPr="00FC45E9">
        <w:rPr>
          <w:rStyle w:val="FootnoteReference"/>
          <w:rFonts w:cs="Arial"/>
        </w:rPr>
        <w:footnoteReference w:customMarkFollows="1" w:id="3"/>
        <w:t>*</w:t>
      </w:r>
      <w:r w:rsidRPr="00FC45E9">
        <w:rPr>
          <w:rFonts w:cs="Arial"/>
        </w:rPr>
        <w:t xml:space="preserve"> and 40 dB(A)</w:t>
      </w:r>
      <w:r w:rsidRPr="00FC45E9">
        <w:rPr>
          <w:rStyle w:val="FootnoteReference"/>
          <w:rFonts w:cs="Arial"/>
        </w:rPr>
        <w:footnoteReference w:customMarkFollows="1" w:id="4"/>
        <w:t>*</w:t>
      </w:r>
      <w:r w:rsidRPr="00FC45E9">
        <w:rPr>
          <w:rFonts w:cs="Arial"/>
        </w:rPr>
        <w:t xml:space="preserve"> based on the location of the wind farm, Western Australia is 35</w:t>
      </w:r>
      <w:r>
        <w:rPr>
          <w:rFonts w:cs="Arial"/>
        </w:rPr>
        <w:t> </w:t>
      </w:r>
      <w:r w:rsidRPr="00FC45E9">
        <w:rPr>
          <w:rFonts w:cs="Arial"/>
        </w:rPr>
        <w:t>dB(A)*, New South Wales is 35 dB(A)</w:t>
      </w:r>
      <w:r w:rsidRPr="00FC45E9">
        <w:rPr>
          <w:rStyle w:val="FootnoteReference"/>
          <w:rFonts w:cs="Arial"/>
        </w:rPr>
        <w:footnoteReference w:customMarkFollows="1" w:id="5"/>
        <w:t>*</w:t>
      </w:r>
      <w:r w:rsidRPr="00FC45E9">
        <w:rPr>
          <w:rFonts w:cs="Arial"/>
        </w:rPr>
        <w:t xml:space="preserve"> and Queensland’s standard is 37 dB(A)</w:t>
      </w:r>
      <w:r w:rsidRPr="00FC45E9">
        <w:rPr>
          <w:rStyle w:val="FootnoteReference"/>
          <w:rFonts w:cs="Arial"/>
        </w:rPr>
        <w:footnoteReference w:customMarkFollows="1" w:id="6"/>
        <w:t>*</w:t>
      </w:r>
      <w:r w:rsidRPr="00FC45E9">
        <w:rPr>
          <w:rFonts w:cs="Arial"/>
        </w:rPr>
        <w:t xml:space="preserve"> during the day and 35 dB(A)</w:t>
      </w:r>
      <w:r w:rsidRPr="00FC45E9">
        <w:rPr>
          <w:rStyle w:val="FootnoteReference"/>
          <w:rFonts w:cs="Arial"/>
        </w:rPr>
        <w:footnoteReference w:customMarkFollows="1" w:id="7"/>
        <w:t>*</w:t>
      </w:r>
      <w:r w:rsidRPr="00FC45E9">
        <w:rPr>
          <w:rFonts w:cs="Arial"/>
        </w:rPr>
        <w:t xml:space="preserve"> during the night. The approach to measuring the noise emitted from a wind farm can also vary by project and jurisdiction which can lead to debate over the veracity of the noise assessment results.</w:t>
      </w:r>
    </w:p>
    <w:p w14:paraId="4B420943" w14:textId="19F50E3A" w:rsidR="001556F0" w:rsidRPr="00FC45E9" w:rsidRDefault="001556F0" w:rsidP="001556F0">
      <w:pPr>
        <w:pStyle w:val="ListParagraph"/>
        <w:numPr>
          <w:ilvl w:val="0"/>
          <w:numId w:val="0"/>
        </w:numPr>
        <w:spacing w:line="264" w:lineRule="auto"/>
        <w:ind w:left="360"/>
        <w:rPr>
          <w:rFonts w:cs="Arial"/>
        </w:rPr>
      </w:pPr>
      <w:r>
        <w:rPr>
          <w:rFonts w:cs="Arial"/>
        </w:rPr>
        <w:t xml:space="preserve">The </w:t>
      </w:r>
      <w:r w:rsidRPr="00FC45E9">
        <w:rPr>
          <w:rFonts w:cs="Arial"/>
        </w:rPr>
        <w:t>World Health Organi</w:t>
      </w:r>
      <w:r>
        <w:rPr>
          <w:rFonts w:cs="Arial"/>
        </w:rPr>
        <w:t>z</w:t>
      </w:r>
      <w:r w:rsidRPr="00FC45E9">
        <w:rPr>
          <w:rFonts w:cs="Arial"/>
        </w:rPr>
        <w:t>ation</w:t>
      </w:r>
      <w:r>
        <w:rPr>
          <w:rFonts w:cs="Arial"/>
        </w:rPr>
        <w:t>’s (WHO) noise</w:t>
      </w:r>
      <w:r w:rsidRPr="00FC45E9">
        <w:rPr>
          <w:rFonts w:cs="Arial"/>
        </w:rPr>
        <w:t xml:space="preserve"> </w:t>
      </w:r>
      <w:r>
        <w:rPr>
          <w:rFonts w:cs="Arial"/>
        </w:rPr>
        <w:t>g</w:t>
      </w:r>
      <w:r w:rsidRPr="00FC45E9">
        <w:rPr>
          <w:rFonts w:cs="Arial"/>
        </w:rPr>
        <w:t>uidelines</w:t>
      </w:r>
      <w:r w:rsidR="00A17B78">
        <w:rPr>
          <w:rFonts w:cs="Arial"/>
        </w:rPr>
        <w:t xml:space="preserve"> released in </w:t>
      </w:r>
      <w:r w:rsidR="00D05C11">
        <w:rPr>
          <w:rFonts w:cs="Arial"/>
        </w:rPr>
        <w:t>2018</w:t>
      </w:r>
      <w:r w:rsidRPr="00FC45E9">
        <w:rPr>
          <w:rFonts w:cs="Arial"/>
        </w:rPr>
        <w:t xml:space="preserve"> recommended a 45 dB</w:t>
      </w:r>
      <w:r>
        <w:rPr>
          <w:rFonts w:cs="Arial"/>
        </w:rPr>
        <w:t xml:space="preserve"> (Lden)</w:t>
      </w:r>
      <w:r w:rsidRPr="00FC45E9">
        <w:rPr>
          <w:rFonts w:cs="Arial"/>
        </w:rPr>
        <w:t xml:space="preserve"> limit for wind </w:t>
      </w:r>
      <w:r>
        <w:rPr>
          <w:rFonts w:cs="Arial"/>
        </w:rPr>
        <w:t>farm</w:t>
      </w:r>
      <w:r w:rsidRPr="00FC45E9">
        <w:rPr>
          <w:rFonts w:cs="Arial"/>
        </w:rPr>
        <w:t xml:space="preserve"> noise, </w:t>
      </w:r>
      <w:r>
        <w:rPr>
          <w:rFonts w:cs="Arial"/>
        </w:rPr>
        <w:t xml:space="preserve">as </w:t>
      </w:r>
      <w:r w:rsidRPr="00FC45E9">
        <w:rPr>
          <w:rFonts w:cs="Arial"/>
        </w:rPr>
        <w:t>measured outside the residence, to prevent negative effects on sleep and health. However, the report noted the lack of research or evidence available to conclusively support this new guideline limit. Previous WHO guidelines were based on an inside measurement limit of 30</w:t>
      </w:r>
      <w:r>
        <w:rPr>
          <w:rFonts w:cs="Arial"/>
        </w:rPr>
        <w:t xml:space="preserve"> </w:t>
      </w:r>
      <w:r w:rsidRPr="00FC45E9">
        <w:rPr>
          <w:rFonts w:cs="Arial"/>
        </w:rPr>
        <w:t>dB(A), although it can be difficult and intrusive to carry out wind farm noise testing inside a residence, particularly over a long period of time.</w:t>
      </w:r>
    </w:p>
    <w:p w14:paraId="3F6A316C"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Current noise standards therefore rely on the effects of attenuation of the noise by the residence structure and would </w:t>
      </w:r>
      <w:r>
        <w:rPr>
          <w:rFonts w:cs="Arial"/>
        </w:rPr>
        <w:t xml:space="preserve">assume that a noise level of say </w:t>
      </w:r>
      <w:r w:rsidRPr="00FC45E9">
        <w:rPr>
          <w:rFonts w:cs="Arial"/>
        </w:rPr>
        <w:t>40 dB(A) measured outside the residence should be less than 30 dB(A) measured inside, based on an expected attenuation in the order of 10-15 dB(A). This attenuation may be greater if the windows are closed and the residence is of solid construction and well insulated, however, the effective attenuation may be less if windows are open and/or construction and insulation of the residence is less robust.</w:t>
      </w:r>
    </w:p>
    <w:p w14:paraId="67F6CD28"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Issues can also arise where a wind farm is tested for noise and the result exceeds the limit by a marginal amount</w:t>
      </w:r>
      <w:r>
        <w:rPr>
          <w:rFonts w:cs="Arial"/>
        </w:rPr>
        <w:t>,</w:t>
      </w:r>
      <w:r w:rsidRPr="00FC45E9">
        <w:rPr>
          <w:rFonts w:cs="Arial"/>
        </w:rPr>
        <w:t xml:space="preserve"> for example 40.2 dB(A) against a limit of 40 dB(A). </w:t>
      </w:r>
      <w:r>
        <w:rPr>
          <w:rFonts w:cs="Arial"/>
        </w:rPr>
        <w:t xml:space="preserve">The Commissioner’s </w:t>
      </w:r>
      <w:r w:rsidRPr="00FC45E9">
        <w:rPr>
          <w:rFonts w:cs="Arial"/>
        </w:rPr>
        <w:t xml:space="preserve">understanding is that the </w:t>
      </w:r>
      <w:r>
        <w:rPr>
          <w:rFonts w:cs="Arial"/>
        </w:rPr>
        <w:t xml:space="preserve">0.2 dB(A) difference would not be </w:t>
      </w:r>
      <w:r w:rsidRPr="00FC45E9">
        <w:rPr>
          <w:rFonts w:cs="Arial"/>
        </w:rPr>
        <w:t>discernible by the human ear and is the result of the complex mathematical calculations that assess multiple noise data points. There may be some merit in allowing for a small, reasonable tolerance level to avoid wind farm’s unnecessarily being in technical breach of compliance.</w:t>
      </w:r>
    </w:p>
    <w:p w14:paraId="022957F8" w14:textId="77777777" w:rsidR="001556F0" w:rsidRDefault="001556F0" w:rsidP="001556F0">
      <w:pPr>
        <w:pStyle w:val="ListParagraph"/>
        <w:numPr>
          <w:ilvl w:val="0"/>
          <w:numId w:val="0"/>
        </w:numPr>
        <w:spacing w:line="264" w:lineRule="auto"/>
        <w:ind w:left="360"/>
        <w:rPr>
          <w:rFonts w:cs="Arial"/>
        </w:rPr>
      </w:pPr>
      <w:r w:rsidRPr="00FC45E9">
        <w:rPr>
          <w:rFonts w:cs="Arial"/>
        </w:rPr>
        <w:t>Debate continues as to whether or not a low frequency standard should also be introduced, such as a dB(C) and/or dB(G) weighting. The prevailing argument to date is that the ‘A</w:t>
      </w:r>
      <w:r w:rsidRPr="00FC45E9">
        <w:rPr>
          <w:rFonts w:cs="Arial"/>
        </w:rPr>
        <w:noBreakHyphen/>
        <w:t>weighted scale’</w:t>
      </w:r>
      <w:r>
        <w:rPr>
          <w:rFonts w:cs="Arial"/>
        </w:rPr>
        <w:t xml:space="preserve">, which has been designed to replicate the human ear’s sensitivity to noise, </w:t>
      </w:r>
      <w:r w:rsidRPr="00FC45E9">
        <w:rPr>
          <w:rFonts w:cs="Arial"/>
        </w:rPr>
        <w:t>accommodates a sufficient proxy for low frequency noise</w:t>
      </w:r>
      <w:r>
        <w:rPr>
          <w:rFonts w:cs="Arial"/>
        </w:rPr>
        <w:t xml:space="preserve"> – noting </w:t>
      </w:r>
      <w:r w:rsidRPr="00FC45E9">
        <w:rPr>
          <w:rFonts w:cs="Arial"/>
        </w:rPr>
        <w:t xml:space="preserve">that low frequency noise can be difficult to detect at levels that would breach threshold targets. </w:t>
      </w:r>
    </w:p>
    <w:p w14:paraId="07206FCF"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However, based on complaints received, the possibility remains for annoyance for some people living in proximity to a wind farm and </w:t>
      </w:r>
      <w:r>
        <w:rPr>
          <w:rFonts w:cs="Arial"/>
        </w:rPr>
        <w:t>perceiv</w:t>
      </w:r>
      <w:r w:rsidRPr="00FC45E9">
        <w:rPr>
          <w:rFonts w:cs="Arial"/>
        </w:rPr>
        <w:t xml:space="preserve">ing low frequency noises or vibrations while inside their residence. More work is still required to determine whether or not the noise or vibration source in question is the wind farm or some other source. </w:t>
      </w:r>
      <w:r>
        <w:rPr>
          <w:rFonts w:cs="Arial"/>
        </w:rPr>
        <w:t>The Office’s</w:t>
      </w:r>
      <w:r w:rsidRPr="00FC45E9">
        <w:rPr>
          <w:rFonts w:cs="Arial"/>
        </w:rPr>
        <w:t xml:space="preserve"> complaint data has seen a </w:t>
      </w:r>
      <w:r>
        <w:rPr>
          <w:rFonts w:cs="Arial"/>
        </w:rPr>
        <w:t xml:space="preserve">significant </w:t>
      </w:r>
      <w:r w:rsidRPr="00FC45E9">
        <w:rPr>
          <w:rFonts w:cs="Arial"/>
        </w:rPr>
        <w:t xml:space="preserve">reduction over time </w:t>
      </w:r>
      <w:r>
        <w:rPr>
          <w:rFonts w:cs="Arial"/>
        </w:rPr>
        <w:lastRenderedPageBreak/>
        <w:t>from</w:t>
      </w:r>
      <w:r w:rsidRPr="00FC45E9">
        <w:rPr>
          <w:rFonts w:cs="Arial"/>
        </w:rPr>
        <w:t xml:space="preserve"> complain</w:t>
      </w:r>
      <w:r>
        <w:rPr>
          <w:rFonts w:cs="Arial"/>
        </w:rPr>
        <w:t>ant</w:t>
      </w:r>
      <w:r w:rsidRPr="00FC45E9">
        <w:rPr>
          <w:rFonts w:cs="Arial"/>
        </w:rPr>
        <w:t xml:space="preserve">s citing concerns about low frequency noise </w:t>
      </w:r>
      <w:r>
        <w:rPr>
          <w:rFonts w:cs="Arial"/>
        </w:rPr>
        <w:t>or</w:t>
      </w:r>
      <w:r w:rsidRPr="00FC45E9">
        <w:rPr>
          <w:rFonts w:cs="Arial"/>
        </w:rPr>
        <w:t xml:space="preserve"> vibrations</w:t>
      </w:r>
      <w:r>
        <w:rPr>
          <w:rFonts w:cs="Arial"/>
        </w:rPr>
        <w:t xml:space="preserve"> emanating from operating wind farms</w:t>
      </w:r>
      <w:r w:rsidRPr="00FC45E9">
        <w:rPr>
          <w:rFonts w:cs="Arial"/>
        </w:rPr>
        <w:t>.</w:t>
      </w:r>
    </w:p>
    <w:p w14:paraId="026DF9D9"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There may be other sources of noise as a result of the </w:t>
      </w:r>
      <w:r>
        <w:rPr>
          <w:rFonts w:cs="Arial"/>
        </w:rPr>
        <w:t xml:space="preserve">project’s </w:t>
      </w:r>
      <w:r w:rsidRPr="00FC45E9">
        <w:rPr>
          <w:rFonts w:cs="Arial"/>
        </w:rPr>
        <w:t>operation, in particular noise that would emanate from the electrical infrastructure, including power substations, transformers and back-up generators. The impact of such noise sources should be assessed during the design phase and tested for compliance during any post-construction noise testing.</w:t>
      </w:r>
    </w:p>
    <w:p w14:paraId="5016B34B" w14:textId="5F126C4B" w:rsidR="001556F0" w:rsidRPr="00FC45E9" w:rsidRDefault="001556F0" w:rsidP="001556F0">
      <w:pPr>
        <w:pStyle w:val="ListParagraph"/>
        <w:numPr>
          <w:ilvl w:val="0"/>
          <w:numId w:val="0"/>
        </w:numPr>
        <w:spacing w:line="264" w:lineRule="auto"/>
        <w:ind w:left="360"/>
        <w:rPr>
          <w:rFonts w:cs="Arial"/>
        </w:rPr>
      </w:pPr>
      <w:r w:rsidRPr="00AB13F6">
        <w:rPr>
          <w:rFonts w:cs="Arial"/>
        </w:rPr>
        <w:t xml:space="preserve">The Independent Scientific Committee on Wind Turbines has derived a </w:t>
      </w:r>
      <w:r>
        <w:rPr>
          <w:rFonts w:cs="Arial"/>
        </w:rPr>
        <w:t xml:space="preserve">suggested </w:t>
      </w:r>
      <w:r w:rsidRPr="00AB13F6">
        <w:rPr>
          <w:rFonts w:cs="Arial"/>
        </w:rPr>
        <w:t>wind turbine noise limit of 3</w:t>
      </w:r>
      <w:r>
        <w:rPr>
          <w:rFonts w:cs="Arial"/>
        </w:rPr>
        <w:t>5</w:t>
      </w:r>
      <w:r w:rsidRPr="00AB13F6">
        <w:rPr>
          <w:rFonts w:cs="Arial"/>
        </w:rPr>
        <w:t xml:space="preserve"> dB(A) </w:t>
      </w:r>
      <w:r>
        <w:rPr>
          <w:rFonts w:cs="Arial"/>
        </w:rPr>
        <w:t>(</w:t>
      </w:r>
      <w:r w:rsidRPr="00AB13F6">
        <w:rPr>
          <w:rFonts w:cs="Arial"/>
        </w:rPr>
        <w:t>LA90,10</w:t>
      </w:r>
      <w:r>
        <w:rPr>
          <w:rFonts w:cs="Arial"/>
        </w:rPr>
        <w:t>-</w:t>
      </w:r>
      <w:r w:rsidRPr="00AB13F6">
        <w:rPr>
          <w:rFonts w:cs="Arial"/>
        </w:rPr>
        <w:t>min</w:t>
      </w:r>
      <w:r>
        <w:rPr>
          <w:rFonts w:cs="Arial"/>
        </w:rPr>
        <w:t>)</w:t>
      </w:r>
      <w:r w:rsidRPr="00AB13F6">
        <w:rPr>
          <w:rFonts w:cs="Arial"/>
        </w:rPr>
        <w:t xml:space="preserve"> </w:t>
      </w:r>
      <w:r>
        <w:rPr>
          <w:rFonts w:cs="Arial"/>
        </w:rPr>
        <w:t xml:space="preserve">to ensure minimal annoyance. This suggested limit approximately </w:t>
      </w:r>
      <w:r w:rsidRPr="00AB13F6">
        <w:rPr>
          <w:rFonts w:cs="Arial"/>
        </w:rPr>
        <w:t>equ</w:t>
      </w:r>
      <w:r>
        <w:rPr>
          <w:rFonts w:cs="Arial"/>
        </w:rPr>
        <w:t>ates</w:t>
      </w:r>
      <w:r w:rsidRPr="00AB13F6">
        <w:rPr>
          <w:rFonts w:cs="Arial"/>
        </w:rPr>
        <w:t xml:space="preserve"> to </w:t>
      </w:r>
      <w:r>
        <w:rPr>
          <w:rFonts w:cs="Arial"/>
        </w:rPr>
        <w:t xml:space="preserve">a </w:t>
      </w:r>
      <w:r w:rsidRPr="00AB13F6">
        <w:rPr>
          <w:rFonts w:cs="Arial"/>
        </w:rPr>
        <w:t>LA</w:t>
      </w:r>
      <w:r w:rsidR="00D05C11">
        <w:rPr>
          <w:rFonts w:cs="Arial"/>
        </w:rPr>
        <w:t>eq,</w:t>
      </w:r>
      <w:r>
        <w:rPr>
          <w:rFonts w:cs="Arial"/>
        </w:rPr>
        <w:t>10-</w:t>
      </w:r>
      <w:r w:rsidRPr="00AB13F6">
        <w:rPr>
          <w:rFonts w:cs="Arial"/>
        </w:rPr>
        <w:t xml:space="preserve">min </w:t>
      </w:r>
      <w:r>
        <w:rPr>
          <w:rFonts w:cs="Arial"/>
        </w:rPr>
        <w:t>of 37 </w:t>
      </w:r>
      <w:r w:rsidRPr="00AB13F6">
        <w:rPr>
          <w:rFonts w:cs="Arial"/>
        </w:rPr>
        <w:t xml:space="preserve">dB(A) </w:t>
      </w:r>
      <w:r>
        <w:rPr>
          <w:rFonts w:cs="Arial"/>
        </w:rPr>
        <w:t>or</w:t>
      </w:r>
      <w:r w:rsidRPr="00AB13F6">
        <w:rPr>
          <w:rFonts w:cs="Arial"/>
        </w:rPr>
        <w:t xml:space="preserve"> a Lden of 4</w:t>
      </w:r>
      <w:r>
        <w:rPr>
          <w:rFonts w:cs="Arial"/>
        </w:rPr>
        <w:t>3</w:t>
      </w:r>
      <w:r w:rsidRPr="00AB13F6">
        <w:rPr>
          <w:rFonts w:cs="Arial"/>
        </w:rPr>
        <w:t xml:space="preserve"> dB(A).</w:t>
      </w:r>
    </w:p>
    <w:p w14:paraId="11E91B0C"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Setback Distances</w:t>
      </w:r>
    </w:p>
    <w:p w14:paraId="36BF53EE"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A setback distance</w:t>
      </w:r>
      <w:r>
        <w:rPr>
          <w:rFonts w:cs="Arial"/>
        </w:rPr>
        <w:t xml:space="preserve"> (also known as a ‘veto’ distance)</w:t>
      </w:r>
      <w:r w:rsidRPr="00FC45E9">
        <w:rPr>
          <w:rFonts w:cs="Arial"/>
        </w:rPr>
        <w:t xml:space="preserve"> is a default distance that, if a residence </w:t>
      </w:r>
      <w:r>
        <w:rPr>
          <w:rFonts w:cs="Arial"/>
        </w:rPr>
        <w:t xml:space="preserve">(dwelling) </w:t>
      </w:r>
      <w:r w:rsidRPr="00FC45E9">
        <w:rPr>
          <w:rFonts w:cs="Arial"/>
        </w:rPr>
        <w:t xml:space="preserve">is within that specified distance from a proposed </w:t>
      </w:r>
      <w:r>
        <w:rPr>
          <w:rFonts w:cs="Arial"/>
        </w:rPr>
        <w:t xml:space="preserve">infrastructure, such as a wind </w:t>
      </w:r>
      <w:r w:rsidRPr="00FC45E9">
        <w:rPr>
          <w:rFonts w:cs="Arial"/>
        </w:rPr>
        <w:t>turbine</w:t>
      </w:r>
      <w:r>
        <w:rPr>
          <w:rFonts w:cs="Arial"/>
        </w:rPr>
        <w:t xml:space="preserve"> or solar array</w:t>
      </w:r>
      <w:r w:rsidRPr="00FC45E9">
        <w:rPr>
          <w:rFonts w:cs="Arial"/>
        </w:rPr>
        <w:t xml:space="preserve">, the resident can </w:t>
      </w:r>
      <w:r>
        <w:rPr>
          <w:rFonts w:cs="Arial"/>
        </w:rPr>
        <w:t xml:space="preserve">either </w:t>
      </w:r>
      <w:r w:rsidRPr="00FC45E9">
        <w:rPr>
          <w:rFonts w:cs="Arial"/>
        </w:rPr>
        <w:t xml:space="preserve">veto the </w:t>
      </w:r>
      <w:r>
        <w:rPr>
          <w:rFonts w:cs="Arial"/>
        </w:rPr>
        <w:t>asset</w:t>
      </w:r>
      <w:r w:rsidRPr="00FC45E9">
        <w:rPr>
          <w:rFonts w:cs="Arial"/>
        </w:rPr>
        <w:t xml:space="preserve"> or </w:t>
      </w:r>
      <w:r>
        <w:rPr>
          <w:rFonts w:cs="Arial"/>
        </w:rPr>
        <w:t xml:space="preserve">enter into a commercial </w:t>
      </w:r>
      <w:r w:rsidRPr="00FC45E9">
        <w:rPr>
          <w:rFonts w:cs="Arial"/>
        </w:rPr>
        <w:t xml:space="preserve">agreement with the developer to allow the </w:t>
      </w:r>
      <w:r>
        <w:rPr>
          <w:rFonts w:cs="Arial"/>
        </w:rPr>
        <w:t>asset to be sited within the set</w:t>
      </w:r>
      <w:r w:rsidRPr="00FC45E9">
        <w:rPr>
          <w:rFonts w:cs="Arial"/>
        </w:rPr>
        <w:t>back distance limit.</w:t>
      </w:r>
    </w:p>
    <w:p w14:paraId="6503B09E"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Setback distances from </w:t>
      </w:r>
      <w:r>
        <w:rPr>
          <w:rFonts w:cs="Arial"/>
        </w:rPr>
        <w:t xml:space="preserve">an asset to a </w:t>
      </w:r>
      <w:r w:rsidRPr="00FC45E9">
        <w:rPr>
          <w:rFonts w:cs="Arial"/>
        </w:rPr>
        <w:t xml:space="preserve">residence also vary across states. </w:t>
      </w:r>
      <w:r>
        <w:rPr>
          <w:rFonts w:cs="Arial"/>
        </w:rPr>
        <w:t xml:space="preserve">For example, </w:t>
      </w:r>
      <w:r w:rsidRPr="00FC45E9">
        <w:rPr>
          <w:rFonts w:cs="Arial"/>
        </w:rPr>
        <w:t>Victoria originally had no setback dista</w:t>
      </w:r>
      <w:r>
        <w:rPr>
          <w:rFonts w:cs="Arial"/>
        </w:rPr>
        <w:t>nces for wind turbines, then introduced a 2 km set</w:t>
      </w:r>
      <w:r w:rsidRPr="00FC45E9">
        <w:rPr>
          <w:rFonts w:cs="Arial"/>
        </w:rPr>
        <w:t xml:space="preserve">back </w:t>
      </w:r>
      <w:r>
        <w:rPr>
          <w:rFonts w:cs="Arial"/>
        </w:rPr>
        <w:t>distance in 2011 and subsequently</w:t>
      </w:r>
      <w:r w:rsidRPr="00FC45E9">
        <w:rPr>
          <w:rFonts w:cs="Arial"/>
        </w:rPr>
        <w:t xml:space="preserve"> </w:t>
      </w:r>
      <w:r>
        <w:rPr>
          <w:rFonts w:cs="Arial"/>
        </w:rPr>
        <w:t>amended</w:t>
      </w:r>
      <w:r w:rsidRPr="00FC45E9">
        <w:rPr>
          <w:rFonts w:cs="Arial"/>
        </w:rPr>
        <w:t xml:space="preserve"> it to 1 km in 2015. </w:t>
      </w:r>
      <w:r>
        <w:rPr>
          <w:rFonts w:cs="Arial"/>
        </w:rPr>
        <w:t>Queensland has a set</w:t>
      </w:r>
      <w:r w:rsidRPr="00FC45E9">
        <w:rPr>
          <w:rFonts w:cs="Arial"/>
        </w:rPr>
        <w:t xml:space="preserve">back distance of 1.5 km, while the New South Wales framework is based on a merit assessment of each project against the criteria and performance standards in the framework. Western Australia </w:t>
      </w:r>
      <w:r>
        <w:rPr>
          <w:rFonts w:cs="Arial"/>
        </w:rPr>
        <w:t>has recently recommended</w:t>
      </w:r>
      <w:r w:rsidRPr="00FC45E9">
        <w:rPr>
          <w:rFonts w:cs="Arial"/>
        </w:rPr>
        <w:t xml:space="preserve"> a 1.5 km setback</w:t>
      </w:r>
      <w:r>
        <w:rPr>
          <w:rFonts w:cs="Arial"/>
        </w:rPr>
        <w:t xml:space="preserve"> in their </w:t>
      </w:r>
      <w:r w:rsidRPr="000847FB">
        <w:rPr>
          <w:rFonts w:cs="Arial"/>
          <w:i/>
        </w:rPr>
        <w:t>Position Statement: Renewable Energy Facilities</w:t>
      </w:r>
      <w:r>
        <w:rPr>
          <w:rFonts w:cs="Arial"/>
        </w:rPr>
        <w:t xml:space="preserve"> (Western Australian Planning Commission, March 2020)</w:t>
      </w:r>
      <w:r w:rsidRPr="00FC45E9">
        <w:rPr>
          <w:rFonts w:cs="Arial"/>
        </w:rPr>
        <w:t xml:space="preserve">. Turbines can be closer to a residence than the default setback distance, however typically require an agreement to be reached between the resident property owner and the developer. </w:t>
      </w:r>
    </w:p>
    <w:p w14:paraId="599B9176"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Current setback </w:t>
      </w:r>
      <w:r>
        <w:rPr>
          <w:rFonts w:cs="Arial"/>
        </w:rPr>
        <w:t xml:space="preserve">distances for wind turbines </w:t>
      </w:r>
      <w:r w:rsidRPr="00FC45E9">
        <w:rPr>
          <w:rFonts w:cs="Arial"/>
        </w:rPr>
        <w:t xml:space="preserve">have been predominately set based on legacy turbine dimensions and </w:t>
      </w:r>
      <w:r>
        <w:rPr>
          <w:rFonts w:cs="Arial"/>
        </w:rPr>
        <w:t xml:space="preserve">expected outcomes from </w:t>
      </w:r>
      <w:r w:rsidRPr="00FC45E9">
        <w:rPr>
          <w:rFonts w:cs="Arial"/>
        </w:rPr>
        <w:t>noise standards. As a rough rule of thumb, a 40 dB(A) noise contour should be just less than about one kilometre</w:t>
      </w:r>
      <w:r>
        <w:rPr>
          <w:rFonts w:cs="Arial"/>
        </w:rPr>
        <w:t xml:space="preserve"> from the turbine(s)</w:t>
      </w:r>
      <w:r w:rsidRPr="00FC45E9">
        <w:rPr>
          <w:rFonts w:cs="Arial"/>
        </w:rPr>
        <w:t xml:space="preserve">, whereas 35 dB(A) noise contour </w:t>
      </w:r>
      <w:r>
        <w:rPr>
          <w:rFonts w:cs="Arial"/>
        </w:rPr>
        <w:t xml:space="preserve">is typically </w:t>
      </w:r>
      <w:r w:rsidRPr="00FC45E9">
        <w:rPr>
          <w:rFonts w:cs="Arial"/>
        </w:rPr>
        <w:t xml:space="preserve">less than </w:t>
      </w:r>
      <w:r>
        <w:rPr>
          <w:rFonts w:cs="Arial"/>
        </w:rPr>
        <w:t xml:space="preserve">1.5 km from turbines, although these distances can vary with topography and terrain. </w:t>
      </w:r>
      <w:r w:rsidRPr="00FC45E9">
        <w:rPr>
          <w:rFonts w:cs="Arial"/>
        </w:rPr>
        <w:t>Turbines installed during th</w:t>
      </w:r>
      <w:r>
        <w:rPr>
          <w:rFonts w:cs="Arial"/>
        </w:rPr>
        <w:t>e</w:t>
      </w:r>
      <w:r w:rsidRPr="00FC45E9">
        <w:rPr>
          <w:rFonts w:cs="Arial"/>
        </w:rPr>
        <w:t xml:space="preserve"> </w:t>
      </w:r>
      <w:r>
        <w:rPr>
          <w:rFonts w:cs="Arial"/>
        </w:rPr>
        <w:t xml:space="preserve">last </w:t>
      </w:r>
      <w:r w:rsidRPr="00FC45E9">
        <w:rPr>
          <w:rFonts w:cs="Arial"/>
        </w:rPr>
        <w:t xml:space="preserve">decade have </w:t>
      </w:r>
      <w:r>
        <w:rPr>
          <w:rFonts w:cs="Arial"/>
        </w:rPr>
        <w:t xml:space="preserve">mostly </w:t>
      </w:r>
      <w:r w:rsidRPr="00FC45E9">
        <w:rPr>
          <w:rFonts w:cs="Arial"/>
        </w:rPr>
        <w:t>been at tip heights in the order of 150</w:t>
      </w:r>
      <w:r>
        <w:rPr>
          <w:rFonts w:cs="Arial"/>
        </w:rPr>
        <w:t> </w:t>
      </w:r>
      <w:r w:rsidRPr="00FC45E9">
        <w:rPr>
          <w:rFonts w:cs="Arial"/>
        </w:rPr>
        <w:t>m</w:t>
      </w:r>
      <w:r>
        <w:rPr>
          <w:rFonts w:cs="Arial"/>
        </w:rPr>
        <w:t>etres</w:t>
      </w:r>
      <w:r w:rsidRPr="00FC45E9">
        <w:rPr>
          <w:rFonts w:cs="Arial"/>
        </w:rPr>
        <w:t xml:space="preserve"> and around 2</w:t>
      </w:r>
      <w:r>
        <w:rPr>
          <w:rFonts w:cs="Arial"/>
        </w:rPr>
        <w:t xml:space="preserve"> </w:t>
      </w:r>
      <w:r w:rsidRPr="00FC45E9">
        <w:rPr>
          <w:rFonts w:cs="Arial"/>
        </w:rPr>
        <w:t>MW to 3</w:t>
      </w:r>
      <w:r>
        <w:rPr>
          <w:rFonts w:cs="Arial"/>
        </w:rPr>
        <w:t xml:space="preserve"> </w:t>
      </w:r>
      <w:r w:rsidRPr="00FC45E9">
        <w:rPr>
          <w:rFonts w:cs="Arial"/>
        </w:rPr>
        <w:t>MW in capacity.</w:t>
      </w:r>
    </w:p>
    <w:p w14:paraId="40284391"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New projects are now proposing turbines with tip heights in excess of 220 m</w:t>
      </w:r>
      <w:r>
        <w:rPr>
          <w:rFonts w:cs="Arial"/>
        </w:rPr>
        <w:t>etres</w:t>
      </w:r>
      <w:r w:rsidRPr="00FC45E9">
        <w:rPr>
          <w:rFonts w:cs="Arial"/>
        </w:rPr>
        <w:t xml:space="preserve"> and capacity of </w:t>
      </w:r>
      <w:r>
        <w:rPr>
          <w:rFonts w:cs="Arial"/>
        </w:rPr>
        <w:t>up to 6</w:t>
      </w:r>
      <w:r w:rsidRPr="00FC45E9">
        <w:rPr>
          <w:rFonts w:cs="Arial"/>
        </w:rPr>
        <w:t xml:space="preserve"> MW </w:t>
      </w:r>
      <w:r>
        <w:rPr>
          <w:rFonts w:cs="Arial"/>
        </w:rPr>
        <w:t xml:space="preserve">or more </w:t>
      </w:r>
      <w:r w:rsidRPr="00FC45E9">
        <w:rPr>
          <w:rFonts w:cs="Arial"/>
        </w:rPr>
        <w:t>per turbine. Improvements in turbine design have mitigated the noise effects and, general</w:t>
      </w:r>
      <w:r>
        <w:rPr>
          <w:rFonts w:cs="Arial"/>
        </w:rPr>
        <w:t>ly</w:t>
      </w:r>
      <w:r w:rsidRPr="00FC45E9">
        <w:rPr>
          <w:rFonts w:cs="Arial"/>
        </w:rPr>
        <w:t xml:space="preserve"> speaking, the noise contours have not materially changed for these larger turbines</w:t>
      </w:r>
      <w:r>
        <w:rPr>
          <w:rFonts w:cs="Arial"/>
        </w:rPr>
        <w:t>, despite increased hub and tip heights as well as generating capacity</w:t>
      </w:r>
      <w:r w:rsidRPr="00FC45E9">
        <w:rPr>
          <w:rFonts w:cs="Arial"/>
        </w:rPr>
        <w:t>.</w:t>
      </w:r>
      <w:r>
        <w:rPr>
          <w:rFonts w:cs="Arial"/>
        </w:rPr>
        <w:t xml:space="preserve"> </w:t>
      </w:r>
      <w:r w:rsidRPr="00FC45E9">
        <w:rPr>
          <w:rFonts w:cs="Arial"/>
        </w:rPr>
        <w:t>However, there may well be effects of increased visual amenity and shadow flicker impacts that may give rise for a need to revisit current set back distances and increase them accordingly.</w:t>
      </w:r>
      <w:r>
        <w:rPr>
          <w:rFonts w:cs="Arial"/>
        </w:rPr>
        <w:t xml:space="preserve"> </w:t>
      </w:r>
    </w:p>
    <w:p w14:paraId="63B4FA80"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While setback distances are typically based on the distance from the wind turbine to the residence, there may also be circumstances where the distance of the turbine from the neighbour’s property boundary should also be a consideration. Such circumstances could include the potential effect of wind turbines on animals such as horses, </w:t>
      </w:r>
      <w:r>
        <w:rPr>
          <w:rFonts w:cs="Arial"/>
        </w:rPr>
        <w:t xml:space="preserve">driving distractions on nearby roads </w:t>
      </w:r>
      <w:r w:rsidRPr="00FC45E9">
        <w:rPr>
          <w:rFonts w:cs="Arial"/>
        </w:rPr>
        <w:t xml:space="preserve">or other situations where turbines may impact neighbouring properties due to their proximity to land use activities on a property. </w:t>
      </w:r>
    </w:p>
    <w:p w14:paraId="30FADEC3" w14:textId="77777777" w:rsidR="001556F0" w:rsidRPr="00FC45E9" w:rsidRDefault="001556F0" w:rsidP="001556F0">
      <w:pPr>
        <w:pStyle w:val="ListParagraph"/>
        <w:numPr>
          <w:ilvl w:val="0"/>
          <w:numId w:val="0"/>
        </w:numPr>
        <w:spacing w:line="264" w:lineRule="auto"/>
        <w:ind w:left="360"/>
        <w:rPr>
          <w:rFonts w:cs="Arial"/>
        </w:rPr>
      </w:pPr>
      <w:r w:rsidRPr="00577D13">
        <w:rPr>
          <w:rFonts w:cs="Arial"/>
        </w:rPr>
        <w:t>The British Horse Society recommends a minimum setback distance from wind turbines to horses of 200 metres or three times the blade tip height – whichever is greater – on the basis that horses could potentially react to noise, blade rotation and shadow flicker impacts from wind turbines (see</w:t>
      </w:r>
      <w:r>
        <w:rPr>
          <w:rFonts w:cs="Arial"/>
        </w:rPr>
        <w:t xml:space="preserve"> the Society’s</w:t>
      </w:r>
      <w:r w:rsidRPr="00577D13">
        <w:rPr>
          <w:rFonts w:cs="Arial"/>
        </w:rPr>
        <w:t xml:space="preserve"> </w:t>
      </w:r>
      <w:r w:rsidRPr="00577D13">
        <w:rPr>
          <w:rFonts w:cs="Arial"/>
          <w:i/>
        </w:rPr>
        <w:t>Wind Turbines and Horses – Guidance for Planners and Developers</w:t>
      </w:r>
      <w:r w:rsidRPr="00577D13">
        <w:rPr>
          <w:rFonts w:cs="Arial"/>
        </w:rPr>
        <w:t xml:space="preserve">, 2015). </w:t>
      </w:r>
      <w:r>
        <w:rPr>
          <w:rFonts w:cs="Arial"/>
        </w:rPr>
        <w:t>The Society’s report notes that, w</w:t>
      </w:r>
      <w:r w:rsidRPr="00577D13">
        <w:rPr>
          <w:rFonts w:cs="Arial"/>
        </w:rPr>
        <w:t xml:space="preserve">hile there have been anecdotal reports of livestock such as horses being impacted by turbines, no formally recognised studies have established </w:t>
      </w:r>
      <w:r>
        <w:rPr>
          <w:rFonts w:cs="Arial"/>
        </w:rPr>
        <w:t xml:space="preserve">demonstrable </w:t>
      </w:r>
      <w:r w:rsidRPr="00577D13">
        <w:rPr>
          <w:rFonts w:cs="Arial"/>
        </w:rPr>
        <w:t>causality.</w:t>
      </w:r>
    </w:p>
    <w:p w14:paraId="2340A5A6" w14:textId="77777777" w:rsidR="001556F0" w:rsidRDefault="001556F0" w:rsidP="001556F0">
      <w:pPr>
        <w:pStyle w:val="ListParagraph"/>
        <w:numPr>
          <w:ilvl w:val="0"/>
          <w:numId w:val="0"/>
        </w:numPr>
        <w:spacing w:line="264" w:lineRule="auto"/>
        <w:ind w:left="360"/>
        <w:rPr>
          <w:rFonts w:cs="Arial"/>
        </w:rPr>
      </w:pPr>
      <w:r w:rsidRPr="00FC45E9">
        <w:rPr>
          <w:rFonts w:cs="Arial"/>
        </w:rPr>
        <w:lastRenderedPageBreak/>
        <w:t>Upper Lachlan Shire</w:t>
      </w:r>
      <w:r>
        <w:rPr>
          <w:rFonts w:cs="Arial"/>
        </w:rPr>
        <w:t>’s Development Control Plan</w:t>
      </w:r>
      <w:r w:rsidRPr="00FC45E9">
        <w:rPr>
          <w:rFonts w:cs="Arial"/>
        </w:rPr>
        <w:t xml:space="preserve"> specifies that turbines shall not be located within a distance of two times the tip height of a turbine from a formed public road or a non-involved property boundary. For example, a tip height of 150 metres would require a setback of 300 metres from a road or property boundary according to these guidelines (see </w:t>
      </w:r>
      <w:r w:rsidRPr="00FC45E9">
        <w:rPr>
          <w:rFonts w:cs="Arial"/>
          <w:i/>
        </w:rPr>
        <w:t>Upper Lachlan Development Control Plan 2010</w:t>
      </w:r>
      <w:r w:rsidRPr="004E40B1">
        <w:rPr>
          <w:rFonts w:cs="Arial"/>
        </w:rPr>
        <w:t xml:space="preserve">, </w:t>
      </w:r>
      <w:r w:rsidRPr="00665ACC">
        <w:rPr>
          <w:rFonts w:cs="Arial"/>
        </w:rPr>
        <w:t>page 93</w:t>
      </w:r>
      <w:r w:rsidRPr="00FC45E9">
        <w:rPr>
          <w:rFonts w:cs="Arial"/>
        </w:rPr>
        <w:t>).</w:t>
      </w:r>
    </w:p>
    <w:p w14:paraId="662796EF" w14:textId="15434661" w:rsidR="00FE72D1" w:rsidRPr="0079034D" w:rsidRDefault="001556F0" w:rsidP="0079034D">
      <w:pPr>
        <w:pStyle w:val="ListParagraph"/>
        <w:numPr>
          <w:ilvl w:val="0"/>
          <w:numId w:val="0"/>
        </w:numPr>
        <w:spacing w:line="264" w:lineRule="auto"/>
        <w:ind w:left="360"/>
        <w:rPr>
          <w:rFonts w:cs="Arial"/>
        </w:rPr>
      </w:pPr>
      <w:r w:rsidRPr="0079034D">
        <w:rPr>
          <w:rFonts w:cs="Arial"/>
        </w:rPr>
        <w:t xml:space="preserve">Further, there is the possibility of a turbine blade </w:t>
      </w:r>
      <w:r w:rsidR="00FE72D1" w:rsidRPr="0079034D">
        <w:rPr>
          <w:rFonts w:cs="Arial"/>
        </w:rPr>
        <w:t>‘</w:t>
      </w:r>
      <w:r w:rsidRPr="0079034D">
        <w:rPr>
          <w:rFonts w:cs="Arial"/>
        </w:rPr>
        <w:t>dropping</w:t>
      </w:r>
      <w:r w:rsidR="00FE72D1" w:rsidRPr="0079034D">
        <w:rPr>
          <w:rFonts w:cs="Arial"/>
        </w:rPr>
        <w:t>’</w:t>
      </w:r>
      <w:r w:rsidRPr="0079034D">
        <w:rPr>
          <w:rFonts w:cs="Arial"/>
        </w:rPr>
        <w:t xml:space="preserve"> or being </w:t>
      </w:r>
      <w:r w:rsidR="00FE72D1" w:rsidRPr="0079034D">
        <w:rPr>
          <w:rFonts w:cs="Arial"/>
        </w:rPr>
        <w:t>‘</w:t>
      </w:r>
      <w:r w:rsidRPr="0079034D">
        <w:rPr>
          <w:rFonts w:cs="Arial"/>
        </w:rPr>
        <w:t>thrown</w:t>
      </w:r>
      <w:r w:rsidR="00FE72D1" w:rsidRPr="0079034D">
        <w:rPr>
          <w:rFonts w:cs="Arial"/>
        </w:rPr>
        <w:t>’</w:t>
      </w:r>
      <w:r w:rsidRPr="0079034D">
        <w:rPr>
          <w:rFonts w:cs="Arial"/>
        </w:rPr>
        <w:t xml:space="preserve"> from the turbine while in operation. The Commissioner is aware of five such events in Australia in recent times. </w:t>
      </w:r>
      <w:r w:rsidR="00761B9C">
        <w:rPr>
          <w:rFonts w:cs="Arial"/>
        </w:rPr>
        <w:t>As discussed in further detail in Section 9 (</w:t>
      </w:r>
      <w:r w:rsidR="008613CC">
        <w:rPr>
          <w:rFonts w:cs="Arial"/>
        </w:rPr>
        <w:t>H</w:t>
      </w:r>
      <w:r w:rsidR="00761B9C">
        <w:rPr>
          <w:rFonts w:cs="Arial"/>
        </w:rPr>
        <w:t xml:space="preserve">ealth and </w:t>
      </w:r>
      <w:r w:rsidR="008613CC">
        <w:rPr>
          <w:rFonts w:cs="Arial"/>
        </w:rPr>
        <w:t>S</w:t>
      </w:r>
      <w:r w:rsidR="00761B9C">
        <w:rPr>
          <w:rFonts w:cs="Arial"/>
        </w:rPr>
        <w:t>afety), the Commissioner facilitated meetings with</w:t>
      </w:r>
      <w:r w:rsidR="007A226A" w:rsidRPr="0079034D">
        <w:rPr>
          <w:rFonts w:cs="Arial"/>
        </w:rPr>
        <w:t xml:space="preserve"> industry</w:t>
      </w:r>
      <w:r w:rsidR="00070E1F" w:rsidRPr="0079034D">
        <w:rPr>
          <w:rFonts w:cs="Arial"/>
        </w:rPr>
        <w:t xml:space="preserve"> to discuss wind farm safety incidents, agreeing to adopt measures to ensure full transparency and sharing of incident information across the industry.</w:t>
      </w:r>
      <w:r w:rsidR="0079034D" w:rsidRPr="0079034D">
        <w:rPr>
          <w:rFonts w:cs="Arial"/>
        </w:rPr>
        <w:t xml:space="preserve"> </w:t>
      </w:r>
      <w:r w:rsidR="007A226A" w:rsidRPr="0079034D">
        <w:rPr>
          <w:rFonts w:cs="Arial"/>
        </w:rPr>
        <w:t>Correcti</w:t>
      </w:r>
      <w:r w:rsidR="0020096D" w:rsidRPr="0079034D">
        <w:rPr>
          <w:rFonts w:cs="Arial"/>
        </w:rPr>
        <w:t>ve</w:t>
      </w:r>
      <w:r w:rsidR="007A226A" w:rsidRPr="0079034D">
        <w:rPr>
          <w:rFonts w:cs="Arial"/>
        </w:rPr>
        <w:t xml:space="preserve"> actions </w:t>
      </w:r>
      <w:r w:rsidR="0079034D" w:rsidRPr="0079034D">
        <w:rPr>
          <w:rFonts w:cs="Arial"/>
        </w:rPr>
        <w:t xml:space="preserve">and mitigation strategies </w:t>
      </w:r>
      <w:r w:rsidR="00FE72D1" w:rsidRPr="0079034D">
        <w:rPr>
          <w:rFonts w:cs="Arial"/>
        </w:rPr>
        <w:t>are in the process of being</w:t>
      </w:r>
      <w:r w:rsidR="007A226A" w:rsidRPr="0079034D">
        <w:rPr>
          <w:rFonts w:cs="Arial"/>
        </w:rPr>
        <w:t xml:space="preserve"> implem</w:t>
      </w:r>
      <w:r w:rsidR="00761B9C">
        <w:rPr>
          <w:rFonts w:cs="Arial"/>
        </w:rPr>
        <w:t xml:space="preserve">ented to avoid future incidents, however these recent events also </w:t>
      </w:r>
      <w:r w:rsidR="00761B9C" w:rsidRPr="008B1737">
        <w:rPr>
          <w:rFonts w:cs="Arial"/>
        </w:rPr>
        <w:t>support the need for a setback distance from roads and boundary fences in the order of 200 metres to allow for a safety margin</w:t>
      </w:r>
      <w:r w:rsidR="00761B9C">
        <w:rPr>
          <w:rFonts w:cs="Arial"/>
        </w:rPr>
        <w:t xml:space="preserve"> in the event of a blade drop or blade throw.</w:t>
      </w:r>
    </w:p>
    <w:p w14:paraId="11F2F344"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Electrical infrastructure required for the </w:t>
      </w:r>
      <w:r>
        <w:rPr>
          <w:rFonts w:cs="Arial"/>
        </w:rPr>
        <w:t>project</w:t>
      </w:r>
      <w:r w:rsidRPr="00FC45E9">
        <w:rPr>
          <w:rFonts w:cs="Arial"/>
        </w:rPr>
        <w:t xml:space="preserve">, such as transmission lines, may also cause a change in visual amenity for community members. Consideration should be given for those impacts and setback distances </w:t>
      </w:r>
      <w:r>
        <w:rPr>
          <w:rFonts w:cs="Arial"/>
        </w:rPr>
        <w:t xml:space="preserve">as they </w:t>
      </w:r>
      <w:r w:rsidRPr="00FC45E9">
        <w:rPr>
          <w:rFonts w:cs="Arial"/>
        </w:rPr>
        <w:t>may also be appropriate to mitigate visual amenity loss and noise issues arising from the infrastructure.</w:t>
      </w:r>
    </w:p>
    <w:p w14:paraId="306B3380" w14:textId="77777777" w:rsidR="001556F0" w:rsidRPr="00DA6F16" w:rsidRDefault="001556F0" w:rsidP="001556F0">
      <w:pPr>
        <w:spacing w:line="264" w:lineRule="auto"/>
        <w:ind w:left="369" w:hanging="9"/>
        <w:rPr>
          <w:rFonts w:cs="Arial"/>
          <w:b/>
          <w:bCs/>
        </w:rPr>
      </w:pPr>
      <w:r w:rsidRPr="00DA6F16">
        <w:rPr>
          <w:rFonts w:cs="Arial"/>
          <w:b/>
          <w:bCs/>
        </w:rPr>
        <w:t>Shadow Flicker</w:t>
      </w:r>
    </w:p>
    <w:p w14:paraId="1BA37E08" w14:textId="77777777" w:rsidR="001556F0" w:rsidRDefault="001556F0" w:rsidP="001556F0">
      <w:pPr>
        <w:spacing w:line="264" w:lineRule="auto"/>
        <w:ind w:left="369" w:hanging="9"/>
        <w:rPr>
          <w:rFonts w:cs="Arial"/>
        </w:rPr>
      </w:pPr>
      <w:r w:rsidRPr="00F61A44">
        <w:rPr>
          <w:rFonts w:cs="Arial"/>
        </w:rPr>
        <w:t xml:space="preserve">Consideration should also be given to the current standards for wind turbine shadow flicker. A typical standard at present is a limit of 30 hours of shadow flicker per year at a resident’s external window or garden area. This standard, used across Australia, has been sourced from shadow flicker standards developed and used in Europe, where setback distances to residences are typically less restrictive. At, say, a 1 km distance from a turbine, the residence would be very unlikely to receive 30 hours of actual shadow flicker. </w:t>
      </w:r>
    </w:p>
    <w:p w14:paraId="6A26CC26" w14:textId="77777777" w:rsidR="001556F0" w:rsidRPr="00F61A44" w:rsidRDefault="001556F0" w:rsidP="001556F0">
      <w:pPr>
        <w:spacing w:line="264" w:lineRule="auto"/>
        <w:ind w:left="369" w:hanging="9"/>
        <w:rPr>
          <w:rFonts w:cs="Arial"/>
        </w:rPr>
      </w:pPr>
      <w:r w:rsidRPr="00F61A44">
        <w:rPr>
          <w:rFonts w:cs="Arial"/>
        </w:rPr>
        <w:t>A more appropriate standard in the Australian context may be no more than a total 15 hours of actual shadow flicker per year at a residence and no more than 30 minutes of shadow flicker should be experienced on a given day. Neighbours experiencing (or likely to experience) shadow flicker that is annoying should also be provided with the opportunity for having visual screening installed. To date, shadow flicker complaints have been minimal.</w:t>
      </w:r>
    </w:p>
    <w:p w14:paraId="6D72C670"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Harmonisation of Standards</w:t>
      </w:r>
    </w:p>
    <w:p w14:paraId="6733A175"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The opportunity exists for a clearer framework of standard setting and enforcement of standards, whereby there is independence in the setting and enforcement of standards from the planning function. Such independence allows for increased community confidence in the objectivity of setting standards and assessing compliance. It also allows the relevant independent agency to acquire and maintain the appropriate skills and expertise to fulfil its standards and compliance responsibilities.</w:t>
      </w:r>
    </w:p>
    <w:p w14:paraId="42C5FF90"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The opportunity also exists for increased harmonisation of key standards across state jurisdictions, such as noise, visual amenity, shadow flicker and setback distances, providing a consistent approach and expectations for governments, industry and the community. Consistency across the states will not only provide a more equitable outcome for residents potentially affected by </w:t>
      </w:r>
      <w:r>
        <w:rPr>
          <w:rFonts w:cs="Arial"/>
        </w:rPr>
        <w:t>projects</w:t>
      </w:r>
      <w:r w:rsidRPr="00FC45E9">
        <w:rPr>
          <w:rFonts w:cs="Arial"/>
        </w:rPr>
        <w:t xml:space="preserve">, but </w:t>
      </w:r>
      <w:r w:rsidRPr="00FC45E9">
        <w:rPr>
          <w:rStyle w:val="Emphasis"/>
          <w:rFonts w:cs="Arial"/>
          <w:bCs/>
          <w:i w:val="0"/>
          <w:color w:val="000000"/>
        </w:rPr>
        <w:t>may also result in the additional benefit of driving improvements in the technology across the entire market based on the more stringent, while appropriate, standard</w:t>
      </w:r>
      <w:r w:rsidRPr="00FC45E9">
        <w:rPr>
          <w:rStyle w:val="Emphasis"/>
          <w:rFonts w:cs="Arial"/>
          <w:bCs/>
          <w:color w:val="000000"/>
        </w:rPr>
        <w:t>.</w:t>
      </w:r>
    </w:p>
    <w:p w14:paraId="40EA0D08"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While there may be a number of ways to address these issues, best practice appears to be </w:t>
      </w:r>
      <w:r>
        <w:rPr>
          <w:rFonts w:cs="Arial"/>
        </w:rPr>
        <w:t xml:space="preserve">assigning responsibility for </w:t>
      </w:r>
      <w:r w:rsidRPr="00FC45E9">
        <w:rPr>
          <w:rFonts w:cs="Arial"/>
        </w:rPr>
        <w:t xml:space="preserve">the setting and compliance oversight of environmental-related standards with the state environmental regulator, while the application of the standards to specific projects rests with the state or local government planning </w:t>
      </w:r>
      <w:r>
        <w:rPr>
          <w:rFonts w:cs="Arial"/>
        </w:rPr>
        <w:t>authority</w:t>
      </w:r>
      <w:r w:rsidRPr="00FC45E9">
        <w:rPr>
          <w:rFonts w:cs="Arial"/>
        </w:rPr>
        <w:t>. The current arrangements in place in New South Wales and South Australia generally reflect practices along these lines.</w:t>
      </w:r>
    </w:p>
    <w:p w14:paraId="6E02BDF3" w14:textId="60D17361" w:rsidR="001556F0" w:rsidRDefault="001556F0" w:rsidP="001556F0">
      <w:pPr>
        <w:pStyle w:val="ListParagraph"/>
        <w:numPr>
          <w:ilvl w:val="0"/>
          <w:numId w:val="0"/>
        </w:numPr>
        <w:spacing w:line="264" w:lineRule="auto"/>
        <w:ind w:left="360"/>
        <w:rPr>
          <w:rFonts w:cs="Arial"/>
        </w:rPr>
      </w:pPr>
      <w:r>
        <w:rPr>
          <w:rFonts w:cs="Arial"/>
        </w:rPr>
        <w:lastRenderedPageBreak/>
        <w:t>While standards and categories of standards for wind farm projects is reasonably mature, more work is required to detail the equivalent set of planning and environmental standards for solar farms.</w:t>
      </w:r>
    </w:p>
    <w:p w14:paraId="7A3E0F81" w14:textId="77777777" w:rsidR="001556F0" w:rsidRPr="00FC45E9" w:rsidRDefault="001556F0" w:rsidP="001556F0">
      <w:pPr>
        <w:pStyle w:val="ListParagraph"/>
        <w:numPr>
          <w:ilvl w:val="0"/>
          <w:numId w:val="0"/>
        </w:numPr>
        <w:spacing w:line="264" w:lineRule="auto"/>
        <w:ind w:left="360"/>
        <w:rPr>
          <w:rFonts w:cs="Arial"/>
          <w:b/>
        </w:rPr>
      </w:pPr>
      <w:r w:rsidRPr="00FC45E9">
        <w:rPr>
          <w:rFonts w:cs="Arial"/>
          <w:b/>
        </w:rPr>
        <w:t>Deemed Compliance</w:t>
      </w:r>
    </w:p>
    <w:p w14:paraId="39E5CE5C"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Finally, once a wind </w:t>
      </w:r>
      <w:r>
        <w:rPr>
          <w:rFonts w:cs="Arial"/>
        </w:rPr>
        <w:t xml:space="preserve">or solar </w:t>
      </w:r>
      <w:r w:rsidRPr="00FC45E9">
        <w:rPr>
          <w:rFonts w:cs="Arial"/>
        </w:rPr>
        <w:t xml:space="preserve">farm commences operations, it </w:t>
      </w:r>
      <w:r>
        <w:rPr>
          <w:rFonts w:cs="Arial"/>
        </w:rPr>
        <w:t>may</w:t>
      </w:r>
      <w:r w:rsidRPr="00FC45E9">
        <w:rPr>
          <w:rFonts w:cs="Arial"/>
        </w:rPr>
        <w:t xml:space="preserve"> not </w:t>
      </w:r>
      <w:r>
        <w:rPr>
          <w:rFonts w:cs="Arial"/>
        </w:rPr>
        <w:t xml:space="preserve">have </w:t>
      </w:r>
      <w:r w:rsidRPr="00FC45E9">
        <w:rPr>
          <w:rFonts w:cs="Arial"/>
        </w:rPr>
        <w:t xml:space="preserve">achieved formal compliance </w:t>
      </w:r>
      <w:r>
        <w:rPr>
          <w:rFonts w:cs="Arial"/>
        </w:rPr>
        <w:t xml:space="preserve">of all conditions </w:t>
      </w:r>
      <w:r w:rsidRPr="00FC45E9">
        <w:rPr>
          <w:rFonts w:cs="Arial"/>
        </w:rPr>
        <w:t>until all of the post-construction compliance testing has been completed and accepted. Typically, formal post construction testing, such as noise</w:t>
      </w:r>
      <w:r>
        <w:rPr>
          <w:rFonts w:cs="Arial"/>
        </w:rPr>
        <w:t xml:space="preserve"> testing of a wind farm</w:t>
      </w:r>
      <w:r w:rsidRPr="00FC45E9">
        <w:rPr>
          <w:rFonts w:cs="Arial"/>
        </w:rPr>
        <w:t xml:space="preserve">, can only commence once all turbines are operating. The testing itself may take up to 12 months to </w:t>
      </w:r>
      <w:r>
        <w:rPr>
          <w:rFonts w:cs="Arial"/>
        </w:rPr>
        <w:t xml:space="preserve">complete </w:t>
      </w:r>
      <w:r w:rsidRPr="00FC45E9">
        <w:rPr>
          <w:rFonts w:cs="Arial"/>
        </w:rPr>
        <w:t xml:space="preserve">and report. </w:t>
      </w:r>
      <w:r>
        <w:rPr>
          <w:rFonts w:cs="Arial"/>
        </w:rPr>
        <w:t>T</w:t>
      </w:r>
      <w:r w:rsidRPr="00FC45E9">
        <w:rPr>
          <w:rFonts w:cs="Arial"/>
        </w:rPr>
        <w:t>here may be a period of two or more years where the wind farm is partially or fully operating but is yet to be confirmed as compl</w:t>
      </w:r>
      <w:r>
        <w:rPr>
          <w:rFonts w:cs="Arial"/>
        </w:rPr>
        <w:t>iant</w:t>
      </w:r>
      <w:r w:rsidRPr="00FC45E9">
        <w:rPr>
          <w:rFonts w:cs="Arial"/>
        </w:rPr>
        <w:t xml:space="preserve">. </w:t>
      </w:r>
    </w:p>
    <w:p w14:paraId="402A7B0F"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A </w:t>
      </w:r>
      <w:r>
        <w:rPr>
          <w:rFonts w:cs="Arial"/>
        </w:rPr>
        <w:t>project</w:t>
      </w:r>
      <w:r w:rsidRPr="00FC45E9">
        <w:rPr>
          <w:rFonts w:cs="Arial"/>
        </w:rPr>
        <w:t xml:space="preserve"> may </w:t>
      </w:r>
      <w:r>
        <w:rPr>
          <w:rFonts w:cs="Arial"/>
        </w:rPr>
        <w:t xml:space="preserve">therefore effectively </w:t>
      </w:r>
      <w:r w:rsidRPr="00FC45E9">
        <w:rPr>
          <w:rFonts w:cs="Arial"/>
        </w:rPr>
        <w:t xml:space="preserve">be </w:t>
      </w:r>
      <w:r>
        <w:rPr>
          <w:rFonts w:cs="Arial"/>
        </w:rPr>
        <w:t xml:space="preserve">assessed as </w:t>
      </w:r>
      <w:r w:rsidRPr="00FC45E9">
        <w:rPr>
          <w:rFonts w:cs="Arial"/>
        </w:rPr>
        <w:t>compliant in some jurisdictions</w:t>
      </w:r>
      <w:r>
        <w:rPr>
          <w:rFonts w:cs="Arial"/>
        </w:rPr>
        <w:t>,</w:t>
      </w:r>
      <w:r w:rsidRPr="00FC45E9">
        <w:rPr>
          <w:rFonts w:cs="Arial"/>
        </w:rPr>
        <w:t xml:space="preserve"> even though post-construction assessments have not commenced or been completed</w:t>
      </w:r>
      <w:r>
        <w:rPr>
          <w:rFonts w:cs="Arial"/>
        </w:rPr>
        <w:t>, relying on the predictive assessments undertaken prior to construction</w:t>
      </w:r>
      <w:r w:rsidRPr="00FC45E9">
        <w:rPr>
          <w:rFonts w:cs="Arial"/>
        </w:rPr>
        <w:t xml:space="preserve">. There may be an opportunity to introduce more formal processes to properly clarify the </w:t>
      </w:r>
      <w:r>
        <w:rPr>
          <w:rFonts w:cs="Arial"/>
        </w:rPr>
        <w:t>‘</w:t>
      </w:r>
      <w:r w:rsidRPr="00FC45E9">
        <w:rPr>
          <w:rFonts w:cs="Arial"/>
        </w:rPr>
        <w:t>deemed</w:t>
      </w:r>
      <w:r>
        <w:rPr>
          <w:rFonts w:cs="Arial"/>
        </w:rPr>
        <w:t>’</w:t>
      </w:r>
      <w:r w:rsidRPr="00FC45E9">
        <w:rPr>
          <w:rFonts w:cs="Arial"/>
        </w:rPr>
        <w:t xml:space="preserve"> compliance period and then </w:t>
      </w:r>
      <w:r>
        <w:rPr>
          <w:rFonts w:cs="Arial"/>
        </w:rPr>
        <w:t xml:space="preserve">clearly state </w:t>
      </w:r>
      <w:r w:rsidRPr="00FC45E9">
        <w:rPr>
          <w:rFonts w:cs="Arial"/>
        </w:rPr>
        <w:t xml:space="preserve">when a </w:t>
      </w:r>
      <w:r>
        <w:rPr>
          <w:rFonts w:cs="Arial"/>
        </w:rPr>
        <w:t xml:space="preserve">project </w:t>
      </w:r>
      <w:r w:rsidRPr="00FC45E9">
        <w:rPr>
          <w:rFonts w:cs="Arial"/>
        </w:rPr>
        <w:t xml:space="preserve">is </w:t>
      </w:r>
      <w:r>
        <w:rPr>
          <w:rFonts w:cs="Arial"/>
        </w:rPr>
        <w:t>confirmed as</w:t>
      </w:r>
      <w:r w:rsidRPr="00FC45E9">
        <w:rPr>
          <w:rFonts w:cs="Arial"/>
        </w:rPr>
        <w:t xml:space="preserve"> compliant </w:t>
      </w:r>
      <w:r>
        <w:rPr>
          <w:rFonts w:cs="Arial"/>
        </w:rPr>
        <w:t>(</w:t>
      </w:r>
      <w:r w:rsidRPr="00FC45E9">
        <w:rPr>
          <w:rFonts w:cs="Arial"/>
        </w:rPr>
        <w:t xml:space="preserve">once all the required </w:t>
      </w:r>
      <w:r>
        <w:rPr>
          <w:rFonts w:cs="Arial"/>
        </w:rPr>
        <w:t xml:space="preserve">post-construction </w:t>
      </w:r>
      <w:r w:rsidRPr="00FC45E9">
        <w:rPr>
          <w:rFonts w:cs="Arial"/>
        </w:rPr>
        <w:t>testing is complete</w:t>
      </w:r>
      <w:r>
        <w:rPr>
          <w:rFonts w:cs="Arial"/>
        </w:rPr>
        <w:t xml:space="preserve">) </w:t>
      </w:r>
      <w:r w:rsidRPr="00FC45E9">
        <w:rPr>
          <w:rFonts w:cs="Arial"/>
        </w:rPr>
        <w:t>and the timeframes for wh</w:t>
      </w:r>
      <w:r>
        <w:rPr>
          <w:rFonts w:cs="Arial"/>
        </w:rPr>
        <w:t>en</w:t>
      </w:r>
      <w:r w:rsidRPr="00FC45E9">
        <w:rPr>
          <w:rFonts w:cs="Arial"/>
        </w:rPr>
        <w:t xml:space="preserve"> that must occur. </w:t>
      </w:r>
    </w:p>
    <w:p w14:paraId="38BFCDE9"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Th</w:t>
      </w:r>
      <w:r>
        <w:rPr>
          <w:rFonts w:cs="Arial"/>
        </w:rPr>
        <w:t>e</w:t>
      </w:r>
      <w:r w:rsidRPr="00FC45E9">
        <w:rPr>
          <w:rFonts w:cs="Arial"/>
        </w:rPr>
        <w:t xml:space="preserve"> </w:t>
      </w:r>
      <w:r>
        <w:rPr>
          <w:rFonts w:cs="Arial"/>
        </w:rPr>
        <w:t xml:space="preserve">interim period </w:t>
      </w:r>
      <w:r w:rsidRPr="00FC45E9">
        <w:rPr>
          <w:rFonts w:cs="Arial"/>
        </w:rPr>
        <w:t xml:space="preserve">of </w:t>
      </w:r>
      <w:r>
        <w:rPr>
          <w:rFonts w:cs="Arial"/>
        </w:rPr>
        <w:t xml:space="preserve">compliance </w:t>
      </w:r>
      <w:r w:rsidRPr="00FC45E9">
        <w:rPr>
          <w:rFonts w:cs="Arial"/>
        </w:rPr>
        <w:t>uncertainty can cause a range of community concerns</w:t>
      </w:r>
      <w:r>
        <w:rPr>
          <w:rFonts w:cs="Arial"/>
        </w:rPr>
        <w:t>,</w:t>
      </w:r>
      <w:r w:rsidRPr="00FC45E9">
        <w:rPr>
          <w:rFonts w:cs="Arial"/>
        </w:rPr>
        <w:t xml:space="preserve"> particularly </w:t>
      </w:r>
      <w:r>
        <w:rPr>
          <w:rFonts w:cs="Arial"/>
        </w:rPr>
        <w:t>at, say</w:t>
      </w:r>
      <w:r w:rsidRPr="00FC45E9">
        <w:rPr>
          <w:rFonts w:cs="Arial"/>
        </w:rPr>
        <w:t xml:space="preserve"> large wind farm</w:t>
      </w:r>
      <w:r>
        <w:rPr>
          <w:rFonts w:cs="Arial"/>
        </w:rPr>
        <w:t xml:space="preserve"> project</w:t>
      </w:r>
      <w:r w:rsidRPr="00FC45E9">
        <w:rPr>
          <w:rFonts w:cs="Arial"/>
        </w:rPr>
        <w:t>s that may have a two year plus construction cycle</w:t>
      </w:r>
      <w:r>
        <w:rPr>
          <w:rFonts w:cs="Arial"/>
        </w:rPr>
        <w:t xml:space="preserve"> followed by a 12-month post-construction testing/reporting program</w:t>
      </w:r>
      <w:r w:rsidRPr="00FC45E9">
        <w:rPr>
          <w:rFonts w:cs="Arial"/>
        </w:rPr>
        <w:t>.</w:t>
      </w:r>
    </w:p>
    <w:p w14:paraId="314B26DB"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Anecdotally, some wind farms have been described as being </w:t>
      </w:r>
      <w:r>
        <w:rPr>
          <w:rFonts w:cs="Arial"/>
        </w:rPr>
        <w:t>‘</w:t>
      </w:r>
      <w:r w:rsidRPr="00FC45E9">
        <w:rPr>
          <w:rFonts w:cs="Arial"/>
        </w:rPr>
        <w:t>not non-compliant</w:t>
      </w:r>
      <w:r>
        <w:rPr>
          <w:rFonts w:cs="Arial"/>
        </w:rPr>
        <w:t>’</w:t>
      </w:r>
      <w:r w:rsidRPr="00FC45E9">
        <w:rPr>
          <w:rFonts w:cs="Arial"/>
        </w:rPr>
        <w:t xml:space="preserve"> when unable to confirm compliance with required permit conditions, highlighting the difficulty of declaring a wind farm to be </w:t>
      </w:r>
      <w:r>
        <w:rPr>
          <w:rFonts w:cs="Arial"/>
        </w:rPr>
        <w:t>‘</w:t>
      </w:r>
      <w:r w:rsidRPr="00FC45E9">
        <w:rPr>
          <w:rFonts w:cs="Arial"/>
        </w:rPr>
        <w:t>non-compliant</w:t>
      </w:r>
      <w:r>
        <w:rPr>
          <w:rFonts w:cs="Arial"/>
        </w:rPr>
        <w:t>’</w:t>
      </w:r>
      <w:r w:rsidRPr="00FC45E9">
        <w:rPr>
          <w:rFonts w:cs="Arial"/>
        </w:rPr>
        <w:t xml:space="preserve"> when its default status is compliant. </w:t>
      </w:r>
      <w:r>
        <w:rPr>
          <w:rFonts w:cs="Arial"/>
        </w:rPr>
        <w:t>Again</w:t>
      </w:r>
      <w:r w:rsidRPr="00FC45E9">
        <w:rPr>
          <w:rFonts w:cs="Arial"/>
        </w:rPr>
        <w:t>, it may be appropriate to consider that a wind farm is deemed to be operationally compliant during the construction, commissioning and testing periods, but ongoing compliance is subject to final confirmation by the responsible or regulatory authority</w:t>
      </w:r>
      <w:r>
        <w:rPr>
          <w:rFonts w:cs="Arial"/>
        </w:rPr>
        <w:t xml:space="preserve"> after compliance testing is completed</w:t>
      </w:r>
      <w:r w:rsidRPr="00FC45E9">
        <w:rPr>
          <w:rFonts w:cs="Arial"/>
        </w:rPr>
        <w:t>.</w:t>
      </w:r>
    </w:p>
    <w:p w14:paraId="2B1E76C7"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From</w:t>
      </w:r>
      <w:r>
        <w:rPr>
          <w:rFonts w:cs="Arial"/>
        </w:rPr>
        <w:t xml:space="preserve"> the Commissioner’s</w:t>
      </w:r>
      <w:r w:rsidRPr="00FC45E9">
        <w:rPr>
          <w:rFonts w:cs="Arial"/>
        </w:rPr>
        <w:t xml:space="preserve"> observations, one solution to this issue is for a wind farm to be licensed by the appropriate environmental regulator. Under this scenario, the wind farm would need to confirm and maintain its compliance with the applicable license and permit conditions or risk losing its license to operate in the event of unrectified material breaches of the license and/or permit conditions. The license conditions could include conditions to </w:t>
      </w:r>
      <w:r>
        <w:rPr>
          <w:rFonts w:cs="Arial"/>
        </w:rPr>
        <w:t>be met</w:t>
      </w:r>
      <w:r w:rsidRPr="00FC45E9">
        <w:rPr>
          <w:rFonts w:cs="Arial"/>
        </w:rPr>
        <w:t xml:space="preserve"> during the period prior to post-construction testing, particularly with regard to handling abnormal or mechanical noise issues</w:t>
      </w:r>
      <w:r>
        <w:rPr>
          <w:rFonts w:cs="Arial"/>
        </w:rPr>
        <w:t xml:space="preserve"> that can arise</w:t>
      </w:r>
      <w:r w:rsidRPr="00FC45E9">
        <w:rPr>
          <w:rFonts w:cs="Arial"/>
        </w:rPr>
        <w:t>.</w:t>
      </w:r>
    </w:p>
    <w:p w14:paraId="4ABF7441" w14:textId="77777777" w:rsidR="001556F0" w:rsidRDefault="001556F0" w:rsidP="001556F0">
      <w:pPr>
        <w:pStyle w:val="ListParagraph"/>
        <w:numPr>
          <w:ilvl w:val="0"/>
          <w:numId w:val="0"/>
        </w:numPr>
        <w:spacing w:line="264" w:lineRule="auto"/>
        <w:ind w:left="360"/>
        <w:rPr>
          <w:rFonts w:cs="Arial"/>
        </w:rPr>
      </w:pPr>
      <w:r w:rsidRPr="00FC45E9">
        <w:rPr>
          <w:rFonts w:cs="Arial"/>
        </w:rPr>
        <w:t>Measurement approaches for measuring compliance with the standards can also vary between projects and jurisdictions. Given the extraordinary number of variables to be measured, consideration needs to be given to the consistency of measurement, calculations and reporting for assessing environmental measures such as noise and flora and fauna impacts when settin</w:t>
      </w:r>
      <w:r>
        <w:rPr>
          <w:rFonts w:cs="Arial"/>
        </w:rPr>
        <w:t>g permit or license conditions.</w:t>
      </w:r>
    </w:p>
    <w:p w14:paraId="2DDBB1CA" w14:textId="09C08566" w:rsidR="001556F0" w:rsidRDefault="001556F0" w:rsidP="001556F0">
      <w:pPr>
        <w:pStyle w:val="ListParagraph"/>
        <w:numPr>
          <w:ilvl w:val="0"/>
          <w:numId w:val="0"/>
        </w:numPr>
        <w:spacing w:line="264" w:lineRule="auto"/>
        <w:ind w:left="360"/>
        <w:rPr>
          <w:rFonts w:cs="Arial"/>
        </w:rPr>
      </w:pPr>
      <w:r w:rsidRPr="00FC45E9">
        <w:rPr>
          <w:rFonts w:cs="Arial"/>
        </w:rPr>
        <w:t xml:space="preserve">For example, there is much scope for variability when selecting the noise data points to be included </w:t>
      </w:r>
      <w:r>
        <w:rPr>
          <w:rFonts w:cs="Arial"/>
        </w:rPr>
        <w:t xml:space="preserve">in a noise compliance assessment </w:t>
      </w:r>
      <w:r w:rsidRPr="00FC45E9">
        <w:rPr>
          <w:rFonts w:cs="Arial"/>
        </w:rPr>
        <w:t xml:space="preserve">and determining the </w:t>
      </w:r>
      <w:r>
        <w:rPr>
          <w:rFonts w:cs="Arial"/>
        </w:rPr>
        <w:t>‘</w:t>
      </w:r>
      <w:r w:rsidRPr="00FC45E9">
        <w:rPr>
          <w:rFonts w:cs="Arial"/>
        </w:rPr>
        <w:t>line of best fit</w:t>
      </w:r>
      <w:r>
        <w:rPr>
          <w:rFonts w:cs="Arial"/>
        </w:rPr>
        <w:t>’</w:t>
      </w:r>
      <w:r w:rsidRPr="00FC45E9">
        <w:rPr>
          <w:rFonts w:cs="Arial"/>
        </w:rPr>
        <w:t xml:space="preserve"> for those set of noise data points – such variances could mean the difference between compliance or otherwise when assessing the results of a noise testing program.</w:t>
      </w:r>
      <w:r>
        <w:rPr>
          <w:rFonts w:cs="Arial"/>
        </w:rPr>
        <w:t xml:space="preserve"> Section 6, </w:t>
      </w:r>
      <w:r w:rsidR="00F11384">
        <w:rPr>
          <w:rFonts w:cs="Arial"/>
        </w:rPr>
        <w:t>which</w:t>
      </w:r>
      <w:r>
        <w:rPr>
          <w:rFonts w:cs="Arial"/>
        </w:rPr>
        <w:t xml:space="preserve"> follows this section, discusses the merits of an independent audit regime to check the accuracy and integrity of environmental assessments, such as noise.</w:t>
      </w:r>
    </w:p>
    <w:p w14:paraId="6040537E" w14:textId="77777777" w:rsidR="001556F0" w:rsidRPr="00FC45E9" w:rsidRDefault="001556F0" w:rsidP="001556F0">
      <w:pPr>
        <w:pStyle w:val="ListParagraph"/>
        <w:numPr>
          <w:ilvl w:val="1"/>
          <w:numId w:val="8"/>
        </w:numPr>
        <w:spacing w:line="264" w:lineRule="auto"/>
        <w:rPr>
          <w:rFonts w:cs="Arial"/>
          <w:b/>
        </w:rPr>
      </w:pPr>
      <w:r w:rsidRPr="00FC45E9">
        <w:rPr>
          <w:rFonts w:cs="Arial"/>
          <w:b/>
        </w:rPr>
        <w:t xml:space="preserve">Recommendations </w:t>
      </w:r>
    </w:p>
    <w:p w14:paraId="1ED0030F"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State governments should review and clarify their arrangements for the setting of</w:t>
      </w:r>
      <w:r>
        <w:rPr>
          <w:rFonts w:cs="Arial"/>
        </w:rPr>
        <w:t xml:space="preserve"> and maintaining </w:t>
      </w:r>
      <w:r w:rsidRPr="00FC45E9">
        <w:rPr>
          <w:rFonts w:cs="Arial"/>
        </w:rPr>
        <w:t>environmental standards</w:t>
      </w:r>
      <w:r>
        <w:rPr>
          <w:rFonts w:cs="Arial"/>
        </w:rPr>
        <w:t>,</w:t>
      </w:r>
      <w:r w:rsidRPr="00FC45E9">
        <w:rPr>
          <w:rFonts w:cs="Arial"/>
        </w:rPr>
        <w:t xml:space="preserve"> along with the arrangements for oversight and confirmation of compliance with those standards. It is preferred that the department</w:t>
      </w:r>
      <w:r>
        <w:rPr>
          <w:rFonts w:cs="Arial"/>
        </w:rPr>
        <w:t>(s)</w:t>
      </w:r>
      <w:r w:rsidRPr="00FC45E9">
        <w:rPr>
          <w:rFonts w:cs="Arial"/>
        </w:rPr>
        <w:t xml:space="preserve"> or agency setting and maintaining the various standards is independent of the department or agency responsible for planning and applying those standards. </w:t>
      </w:r>
    </w:p>
    <w:p w14:paraId="2D121AB6" w14:textId="77777777" w:rsidR="001556F0" w:rsidRPr="00FC45E9" w:rsidRDefault="001556F0" w:rsidP="001556F0">
      <w:pPr>
        <w:pStyle w:val="ListParagraph"/>
        <w:numPr>
          <w:ilvl w:val="2"/>
          <w:numId w:val="8"/>
        </w:numPr>
        <w:spacing w:line="264" w:lineRule="auto"/>
        <w:ind w:left="1400" w:hanging="680"/>
        <w:rPr>
          <w:rFonts w:cs="Arial"/>
        </w:rPr>
      </w:pPr>
      <w:r>
        <w:rPr>
          <w:rFonts w:cs="Arial"/>
        </w:rPr>
        <w:lastRenderedPageBreak/>
        <w:t>T</w:t>
      </w:r>
      <w:r w:rsidRPr="00FC45E9">
        <w:rPr>
          <w:rFonts w:cs="Arial"/>
        </w:rPr>
        <w:t xml:space="preserve">he compliance authorities for a </w:t>
      </w:r>
      <w:r>
        <w:rPr>
          <w:rFonts w:cs="Arial"/>
        </w:rPr>
        <w:t>project</w:t>
      </w:r>
      <w:r w:rsidRPr="00FC45E9">
        <w:rPr>
          <w:rFonts w:cs="Arial"/>
        </w:rPr>
        <w:t xml:space="preserve"> should be clearly defined, transparent, accessible to the community and able to receive and investigate allegations of compliance breaches. Where compliance oversight currently rests with local government, appropriate support and resources should be made available to the council/shire to enable them to effectively perform their compliance and investigative responsibilities, including being equipped with the appropriate policies and procedures to handle alleged breaches of permit/license compliance and/or laws.</w:t>
      </w:r>
    </w:p>
    <w:p w14:paraId="2A977DCD"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Based on the outcome of the review outlined in Recommendation 5.2.1, state governments should consider whether the current arrangements are appropriate, effective and consistent with best practices for the independent development, maintenance, compliance management and governance of environmental standards</w:t>
      </w:r>
      <w:r>
        <w:rPr>
          <w:rFonts w:cs="Arial"/>
        </w:rPr>
        <w:t xml:space="preserve"> applicable to wind and solar projects</w:t>
      </w:r>
      <w:r w:rsidRPr="00FC45E9">
        <w:rPr>
          <w:rFonts w:cs="Arial"/>
        </w:rPr>
        <w:t>.</w:t>
      </w:r>
    </w:p>
    <w:p w14:paraId="10C1F878"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In considering the above recommendations and possible reforms, the potential roles of an appropriate independent, state based, </w:t>
      </w:r>
      <w:r>
        <w:rPr>
          <w:rFonts w:cs="Arial"/>
        </w:rPr>
        <w:t xml:space="preserve">standards and </w:t>
      </w:r>
      <w:r w:rsidRPr="00FC45E9">
        <w:rPr>
          <w:rFonts w:cs="Arial"/>
        </w:rPr>
        <w:t xml:space="preserve">compliance agency (such as a state environmental protection or regulatory authority) could include responsibility to: </w:t>
      </w:r>
    </w:p>
    <w:p w14:paraId="7C65C2A5" w14:textId="77777777" w:rsidR="001556F0" w:rsidRPr="00FC45E9" w:rsidRDefault="001556F0" w:rsidP="001556F0">
      <w:pPr>
        <w:pStyle w:val="ListParagraph"/>
        <w:numPr>
          <w:ilvl w:val="0"/>
          <w:numId w:val="13"/>
        </w:numPr>
        <w:spacing w:line="264" w:lineRule="auto"/>
        <w:rPr>
          <w:rFonts w:cs="Arial"/>
        </w:rPr>
      </w:pPr>
      <w:r w:rsidRPr="00FC45E9">
        <w:rPr>
          <w:rFonts w:cs="Arial"/>
        </w:rPr>
        <w:t xml:space="preserve">Set and maintain the environmental standards applied to wind </w:t>
      </w:r>
      <w:r>
        <w:rPr>
          <w:rFonts w:cs="Arial"/>
        </w:rPr>
        <w:t xml:space="preserve">and solar </w:t>
      </w:r>
      <w:r w:rsidRPr="00FC45E9">
        <w:rPr>
          <w:rFonts w:cs="Arial"/>
        </w:rPr>
        <w:t xml:space="preserve">farms, including </w:t>
      </w:r>
      <w:r>
        <w:rPr>
          <w:rFonts w:cs="Arial"/>
        </w:rPr>
        <w:t xml:space="preserve">setback distances, </w:t>
      </w:r>
      <w:r w:rsidRPr="00FC45E9">
        <w:rPr>
          <w:rFonts w:cs="Arial"/>
        </w:rPr>
        <w:t xml:space="preserve">noise, shadow flicker, visual amenity, flora and fauna, environment and heritage (noting the role of the Commonwealth </w:t>
      </w:r>
      <w:r w:rsidRPr="00FC45E9">
        <w:rPr>
          <w:rFonts w:cs="Arial"/>
          <w:i/>
        </w:rPr>
        <w:t xml:space="preserve">Environment Protection and Biodiversity Conservation Act 1999 </w:t>
      </w:r>
      <w:r w:rsidRPr="00FC45E9">
        <w:rPr>
          <w:rFonts w:cs="Arial"/>
        </w:rPr>
        <w:t>with regard to Matters of National Environmental Significance including protected flora and fauna), along with specifying the methods and procedures for measurement of the prescribed standards.</w:t>
      </w:r>
    </w:p>
    <w:p w14:paraId="66E936D7" w14:textId="77777777" w:rsidR="001556F0" w:rsidRPr="00FC45E9" w:rsidRDefault="001556F0" w:rsidP="001556F0">
      <w:pPr>
        <w:pStyle w:val="ListParagraph"/>
        <w:numPr>
          <w:ilvl w:val="0"/>
          <w:numId w:val="13"/>
        </w:numPr>
        <w:spacing w:line="264" w:lineRule="auto"/>
        <w:rPr>
          <w:rFonts w:cs="Arial"/>
        </w:rPr>
      </w:pPr>
      <w:r w:rsidRPr="00FC45E9">
        <w:rPr>
          <w:rFonts w:cs="Arial"/>
        </w:rPr>
        <w:t xml:space="preserve">Review planning applications for projects and recommend/require permit conditions related to the environmental standards. Environmental standard conditions in permits should clearly state the process for how the measurements are to be undertaken and reported as well as provide the opportunity for peer review of the process, calculations and results. </w:t>
      </w:r>
    </w:p>
    <w:p w14:paraId="1BE9BC89" w14:textId="77777777" w:rsidR="001556F0" w:rsidRPr="00FC45E9" w:rsidRDefault="001556F0" w:rsidP="001556F0">
      <w:pPr>
        <w:pStyle w:val="ListParagraph"/>
        <w:numPr>
          <w:ilvl w:val="0"/>
          <w:numId w:val="13"/>
        </w:numPr>
        <w:spacing w:line="264" w:lineRule="auto"/>
        <w:rPr>
          <w:rFonts w:cs="Arial"/>
        </w:rPr>
      </w:pPr>
      <w:r w:rsidRPr="00FC45E9">
        <w:rPr>
          <w:rFonts w:cs="Arial"/>
        </w:rPr>
        <w:t>Provide or facilitate peer review and audit of expert reports, including review of testing and modelling programs, submitted by the developer related to permit requirements</w:t>
      </w:r>
      <w:r>
        <w:rPr>
          <w:rFonts w:cs="Arial"/>
        </w:rPr>
        <w:t xml:space="preserve"> (see also Section 6)</w:t>
      </w:r>
      <w:r w:rsidRPr="00FC45E9">
        <w:rPr>
          <w:rFonts w:cs="Arial"/>
        </w:rPr>
        <w:t>.</w:t>
      </w:r>
    </w:p>
    <w:p w14:paraId="70F292DB" w14:textId="77777777" w:rsidR="001556F0" w:rsidRPr="00FC45E9" w:rsidRDefault="001556F0" w:rsidP="001556F0">
      <w:pPr>
        <w:pStyle w:val="ListParagraph"/>
        <w:numPr>
          <w:ilvl w:val="0"/>
          <w:numId w:val="13"/>
        </w:numPr>
        <w:spacing w:line="264" w:lineRule="auto"/>
        <w:rPr>
          <w:rFonts w:cs="Arial"/>
        </w:rPr>
      </w:pPr>
      <w:r w:rsidRPr="00FC45E9">
        <w:rPr>
          <w:rFonts w:cs="Arial"/>
        </w:rPr>
        <w:t xml:space="preserve">Where appropriate, license the </w:t>
      </w:r>
      <w:r>
        <w:rPr>
          <w:rFonts w:cs="Arial"/>
        </w:rPr>
        <w:t xml:space="preserve">facility </w:t>
      </w:r>
      <w:r w:rsidRPr="00FC45E9">
        <w:rPr>
          <w:rFonts w:cs="Arial"/>
        </w:rPr>
        <w:t xml:space="preserve">once it is constructed and issue and monitor license conditions for the operation of the </w:t>
      </w:r>
      <w:r>
        <w:rPr>
          <w:rFonts w:cs="Arial"/>
        </w:rPr>
        <w:t xml:space="preserve">asset </w:t>
      </w:r>
      <w:r w:rsidRPr="00FC45E9">
        <w:rPr>
          <w:rFonts w:cs="Arial"/>
        </w:rPr>
        <w:t>that may be subjec</w:t>
      </w:r>
      <w:r>
        <w:rPr>
          <w:rFonts w:cs="Arial"/>
        </w:rPr>
        <w:t>t to review and renewal. State g</w:t>
      </w:r>
      <w:r w:rsidRPr="00FC45E9">
        <w:rPr>
          <w:rFonts w:cs="Arial"/>
        </w:rPr>
        <w:t xml:space="preserve">overnments should also receive and review regular reporting against those licence conditions from the </w:t>
      </w:r>
      <w:r>
        <w:rPr>
          <w:rFonts w:cs="Arial"/>
        </w:rPr>
        <w:t xml:space="preserve">project </w:t>
      </w:r>
      <w:r w:rsidRPr="00FC45E9">
        <w:rPr>
          <w:rFonts w:cs="Arial"/>
        </w:rPr>
        <w:t>operator and may withdraw licences in the event of unrectified material breaches of applicable license and permit conditions.</w:t>
      </w:r>
    </w:p>
    <w:p w14:paraId="24F8D984" w14:textId="77777777" w:rsidR="001556F0" w:rsidRPr="00FC45E9" w:rsidRDefault="001556F0" w:rsidP="001556F0">
      <w:pPr>
        <w:pStyle w:val="ListParagraph"/>
        <w:numPr>
          <w:ilvl w:val="0"/>
          <w:numId w:val="13"/>
        </w:numPr>
        <w:spacing w:line="264" w:lineRule="auto"/>
        <w:rPr>
          <w:rFonts w:cs="Arial"/>
        </w:rPr>
      </w:pPr>
      <w:r w:rsidRPr="00FC45E9">
        <w:rPr>
          <w:rFonts w:cs="Arial"/>
        </w:rPr>
        <w:t>Receive and investigate complaints related to environmental standards, including alleged breaches of non-compliance with permit requirements or relevant laws.</w:t>
      </w:r>
    </w:p>
    <w:p w14:paraId="79BD5D77" w14:textId="77777777" w:rsidR="001556F0" w:rsidRPr="00FC45E9" w:rsidRDefault="001556F0" w:rsidP="001556F0">
      <w:pPr>
        <w:pStyle w:val="ListParagraph"/>
        <w:numPr>
          <w:ilvl w:val="0"/>
          <w:numId w:val="13"/>
        </w:numPr>
        <w:spacing w:line="264" w:lineRule="auto"/>
        <w:rPr>
          <w:rFonts w:cs="Arial"/>
        </w:rPr>
      </w:pPr>
      <w:r w:rsidRPr="00FC45E9">
        <w:rPr>
          <w:rFonts w:cs="Arial"/>
        </w:rPr>
        <w:t>Confirm as required the co</w:t>
      </w:r>
      <w:r>
        <w:rPr>
          <w:rFonts w:cs="Arial"/>
        </w:rPr>
        <w:t xml:space="preserve">mpliance or non-compliance of an operating project </w:t>
      </w:r>
      <w:r w:rsidRPr="00FC45E9">
        <w:rPr>
          <w:rFonts w:cs="Arial"/>
        </w:rPr>
        <w:t>with regard to environmental standards, related permit conditions and relevant laws.</w:t>
      </w:r>
    </w:p>
    <w:p w14:paraId="70B78721" w14:textId="77777777" w:rsidR="001556F0" w:rsidRPr="00FC45E9" w:rsidRDefault="001556F0" w:rsidP="001556F0">
      <w:pPr>
        <w:pStyle w:val="ListParagraph"/>
        <w:numPr>
          <w:ilvl w:val="0"/>
          <w:numId w:val="13"/>
        </w:numPr>
        <w:spacing w:line="264" w:lineRule="auto"/>
        <w:rPr>
          <w:rFonts w:cs="Arial"/>
        </w:rPr>
      </w:pPr>
      <w:r w:rsidRPr="00FC45E9">
        <w:rPr>
          <w:rFonts w:cs="Arial"/>
        </w:rPr>
        <w:t>Report material breaches and investigations to the Clean Energy Regulator and other relevant agencies.</w:t>
      </w:r>
    </w:p>
    <w:p w14:paraId="4BC7E237" w14:textId="77777777" w:rsidR="001556F0" w:rsidRPr="00FC45E9" w:rsidRDefault="001556F0" w:rsidP="001556F0">
      <w:pPr>
        <w:pStyle w:val="ListParagraph"/>
        <w:numPr>
          <w:ilvl w:val="0"/>
          <w:numId w:val="13"/>
        </w:numPr>
        <w:spacing w:line="264" w:lineRule="auto"/>
        <w:rPr>
          <w:rFonts w:cs="Arial"/>
        </w:rPr>
      </w:pPr>
      <w:r w:rsidRPr="00FC45E9">
        <w:rPr>
          <w:rFonts w:cs="Arial"/>
        </w:rPr>
        <w:t xml:space="preserve">Liaise with other agencies (e.g. Civil Aviation Safety Authority, Australian Government </w:t>
      </w:r>
      <w:r w:rsidRPr="003C2236">
        <w:rPr>
          <w:rFonts w:cs="Arial"/>
        </w:rPr>
        <w:t xml:space="preserve">Department of </w:t>
      </w:r>
      <w:r w:rsidRPr="000A05A6">
        <w:rPr>
          <w:rFonts w:cs="Arial"/>
        </w:rPr>
        <w:t xml:space="preserve">Agriculture, Water and </w:t>
      </w:r>
      <w:r w:rsidRPr="003C2236">
        <w:rPr>
          <w:rFonts w:cs="Arial"/>
        </w:rPr>
        <w:t>the Environment</w:t>
      </w:r>
      <w:r w:rsidRPr="00FC45E9">
        <w:rPr>
          <w:rFonts w:cs="Arial"/>
        </w:rPr>
        <w:t>) on assessments and compliance matters that involve such agencies.</w:t>
      </w:r>
    </w:p>
    <w:p w14:paraId="4E3E411B" w14:textId="77777777" w:rsidR="001556F0" w:rsidRPr="00FC45E9" w:rsidRDefault="001556F0" w:rsidP="001556F0">
      <w:pPr>
        <w:pStyle w:val="ListParagraph"/>
        <w:numPr>
          <w:ilvl w:val="2"/>
          <w:numId w:val="8"/>
        </w:numPr>
        <w:spacing w:line="264" w:lineRule="auto"/>
        <w:rPr>
          <w:rFonts w:cs="Arial"/>
        </w:rPr>
      </w:pPr>
      <w:r w:rsidRPr="00FC45E9">
        <w:rPr>
          <w:rFonts w:cs="Arial"/>
        </w:rPr>
        <w:t xml:space="preserve">Planning permits (and/or applicable licenses) for </w:t>
      </w:r>
      <w:r>
        <w:rPr>
          <w:rFonts w:cs="Arial"/>
        </w:rPr>
        <w:t xml:space="preserve">projects </w:t>
      </w:r>
      <w:r w:rsidRPr="00FC45E9">
        <w:rPr>
          <w:rFonts w:cs="Arial"/>
        </w:rPr>
        <w:t>should clearly state:</w:t>
      </w:r>
    </w:p>
    <w:p w14:paraId="45547C94" w14:textId="77777777" w:rsidR="001556F0" w:rsidRPr="00FC45E9" w:rsidRDefault="001556F0" w:rsidP="001556F0">
      <w:pPr>
        <w:pStyle w:val="ListParagraph"/>
        <w:numPr>
          <w:ilvl w:val="0"/>
          <w:numId w:val="14"/>
        </w:numPr>
        <w:spacing w:line="264" w:lineRule="auto"/>
        <w:rPr>
          <w:rFonts w:cs="Arial"/>
        </w:rPr>
      </w:pPr>
      <w:r w:rsidRPr="00FC45E9">
        <w:rPr>
          <w:rFonts w:cs="Arial"/>
        </w:rPr>
        <w:lastRenderedPageBreak/>
        <w:t xml:space="preserve">The oversight organisation(s) or person(s) accountable for determining compliance of a </w:t>
      </w:r>
      <w:r>
        <w:rPr>
          <w:rFonts w:cs="Arial"/>
        </w:rPr>
        <w:t xml:space="preserve">project </w:t>
      </w:r>
      <w:r w:rsidRPr="00FC45E9">
        <w:rPr>
          <w:rFonts w:cs="Arial"/>
        </w:rPr>
        <w:t>with its permit (and</w:t>
      </w:r>
      <w:r>
        <w:rPr>
          <w:rFonts w:cs="Arial"/>
        </w:rPr>
        <w:t>/or</w:t>
      </w:r>
      <w:r w:rsidRPr="00FC45E9">
        <w:rPr>
          <w:rFonts w:cs="Arial"/>
        </w:rPr>
        <w:t xml:space="preserve"> license) conditions, both at post-construction and ongoing operational stages.</w:t>
      </w:r>
    </w:p>
    <w:p w14:paraId="553C1673" w14:textId="77777777" w:rsidR="001556F0" w:rsidRPr="00FC45E9" w:rsidRDefault="001556F0" w:rsidP="001556F0">
      <w:pPr>
        <w:pStyle w:val="ListParagraph"/>
        <w:numPr>
          <w:ilvl w:val="0"/>
          <w:numId w:val="14"/>
        </w:numPr>
        <w:spacing w:line="264" w:lineRule="auto"/>
        <w:rPr>
          <w:rFonts w:cs="Arial"/>
        </w:rPr>
      </w:pPr>
      <w:r w:rsidRPr="00FC45E9">
        <w:rPr>
          <w:rFonts w:cs="Arial"/>
        </w:rPr>
        <w:t>The process and contact details for lodging a complaint or alleged breach of permit (and/or license) compliance.</w:t>
      </w:r>
    </w:p>
    <w:p w14:paraId="7D362E10" w14:textId="77777777" w:rsidR="001556F0" w:rsidRPr="00FC45E9" w:rsidRDefault="001556F0" w:rsidP="001556F0">
      <w:pPr>
        <w:pStyle w:val="ListParagraph"/>
        <w:numPr>
          <w:ilvl w:val="0"/>
          <w:numId w:val="14"/>
        </w:numPr>
        <w:spacing w:line="264" w:lineRule="auto"/>
        <w:rPr>
          <w:rFonts w:cs="Arial"/>
        </w:rPr>
      </w:pPr>
      <w:r w:rsidRPr="00FC45E9">
        <w:rPr>
          <w:rFonts w:cs="Arial"/>
        </w:rPr>
        <w:t>The process to be followed if a</w:t>
      </w:r>
      <w:r>
        <w:rPr>
          <w:rFonts w:cs="Arial"/>
        </w:rPr>
        <w:t xml:space="preserve">n operating project </w:t>
      </w:r>
      <w:r w:rsidRPr="00FC45E9">
        <w:rPr>
          <w:rFonts w:cs="Arial"/>
        </w:rPr>
        <w:t>is found to be non-compliant with one or more of the permit (and/or license) conditions.</w:t>
      </w:r>
    </w:p>
    <w:p w14:paraId="2292186C" w14:textId="77777777" w:rsidR="001556F0" w:rsidRPr="00FC45E9" w:rsidRDefault="001556F0" w:rsidP="001556F0">
      <w:pPr>
        <w:pStyle w:val="ListParagraph"/>
        <w:numPr>
          <w:ilvl w:val="0"/>
          <w:numId w:val="14"/>
        </w:numPr>
        <w:spacing w:line="264" w:lineRule="auto"/>
        <w:rPr>
          <w:rFonts w:cs="Arial"/>
        </w:rPr>
      </w:pPr>
      <w:r w:rsidRPr="00FC45E9">
        <w:rPr>
          <w:rFonts w:cs="Arial"/>
        </w:rPr>
        <w:t xml:space="preserve">A requirement for the developer or operator to publish transparently, on the </w:t>
      </w:r>
      <w:r>
        <w:rPr>
          <w:rFonts w:cs="Arial"/>
        </w:rPr>
        <w:t>project</w:t>
      </w:r>
      <w:r w:rsidRPr="00FC45E9">
        <w:rPr>
          <w:rFonts w:cs="Arial"/>
        </w:rPr>
        <w:t xml:space="preserve"> website, the process and contact details to make a complaint or alleged compliance breach to the designated oversight organisation.</w:t>
      </w:r>
    </w:p>
    <w:p w14:paraId="59BF9D68"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During the period between the commencement of a </w:t>
      </w:r>
      <w:r>
        <w:rPr>
          <w:rFonts w:cs="Arial"/>
        </w:rPr>
        <w:t>project</w:t>
      </w:r>
      <w:r w:rsidRPr="00FC45E9">
        <w:rPr>
          <w:rFonts w:cs="Arial"/>
        </w:rPr>
        <w:t xml:space="preserve">’s commissioning/operation and the completion of any required post-construction assessments, the </w:t>
      </w:r>
      <w:r>
        <w:rPr>
          <w:rFonts w:cs="Arial"/>
        </w:rPr>
        <w:t>project</w:t>
      </w:r>
      <w:r w:rsidRPr="00FC45E9">
        <w:rPr>
          <w:rFonts w:cs="Arial"/>
        </w:rPr>
        <w:t xml:space="preserve"> could be designated to be in </w:t>
      </w:r>
      <w:r>
        <w:rPr>
          <w:rFonts w:cs="Arial"/>
        </w:rPr>
        <w:t>‘</w:t>
      </w:r>
      <w:r w:rsidRPr="00FC45E9">
        <w:rPr>
          <w:rFonts w:cs="Arial"/>
        </w:rPr>
        <w:t>provisional</w:t>
      </w:r>
      <w:r>
        <w:rPr>
          <w:rFonts w:cs="Arial"/>
        </w:rPr>
        <w:t>’</w:t>
      </w:r>
      <w:r w:rsidRPr="00FC45E9">
        <w:rPr>
          <w:rFonts w:cs="Arial"/>
        </w:rPr>
        <w:t xml:space="preserve"> or </w:t>
      </w:r>
      <w:r>
        <w:rPr>
          <w:rFonts w:cs="Arial"/>
        </w:rPr>
        <w:t>‘</w:t>
      </w:r>
      <w:r w:rsidRPr="00FC45E9">
        <w:rPr>
          <w:rFonts w:cs="Arial"/>
        </w:rPr>
        <w:t>deemed</w:t>
      </w:r>
      <w:r>
        <w:rPr>
          <w:rFonts w:cs="Arial"/>
        </w:rPr>
        <w:t>’</w:t>
      </w:r>
      <w:r w:rsidRPr="00FC45E9">
        <w:rPr>
          <w:rFonts w:cs="Arial"/>
        </w:rPr>
        <w:t xml:space="preserve"> compliance, pending the results of the assessments. In this scenario, a </w:t>
      </w:r>
      <w:r>
        <w:rPr>
          <w:rFonts w:cs="Arial"/>
        </w:rPr>
        <w:t xml:space="preserve">project </w:t>
      </w:r>
      <w:r w:rsidRPr="00FC45E9">
        <w:rPr>
          <w:rFonts w:cs="Arial"/>
        </w:rPr>
        <w:t xml:space="preserve">can only move from </w:t>
      </w:r>
      <w:r>
        <w:rPr>
          <w:rFonts w:cs="Arial"/>
        </w:rPr>
        <w:t>‘</w:t>
      </w:r>
      <w:r w:rsidRPr="00FC45E9">
        <w:rPr>
          <w:rFonts w:cs="Arial"/>
        </w:rPr>
        <w:t>provisional compliance</w:t>
      </w:r>
      <w:r>
        <w:rPr>
          <w:rFonts w:cs="Arial"/>
        </w:rPr>
        <w:t>’</w:t>
      </w:r>
      <w:r w:rsidRPr="00FC45E9">
        <w:rPr>
          <w:rFonts w:cs="Arial"/>
        </w:rPr>
        <w:t xml:space="preserve"> </w:t>
      </w:r>
      <w:r>
        <w:rPr>
          <w:rFonts w:cs="Arial"/>
        </w:rPr>
        <w:t xml:space="preserve">status </w:t>
      </w:r>
      <w:r w:rsidRPr="00FC45E9">
        <w:rPr>
          <w:rFonts w:cs="Arial"/>
        </w:rPr>
        <w:t xml:space="preserve">to being confirmed as </w:t>
      </w:r>
      <w:r>
        <w:rPr>
          <w:rFonts w:cs="Arial"/>
        </w:rPr>
        <w:t>‘</w:t>
      </w:r>
      <w:r w:rsidRPr="00FC45E9">
        <w:rPr>
          <w:rFonts w:cs="Arial"/>
        </w:rPr>
        <w:t>compliant</w:t>
      </w:r>
      <w:r>
        <w:rPr>
          <w:rFonts w:cs="Arial"/>
        </w:rPr>
        <w:t>’</w:t>
      </w:r>
      <w:r w:rsidRPr="00FC45E9">
        <w:rPr>
          <w:rFonts w:cs="Arial"/>
        </w:rPr>
        <w:t xml:space="preserve"> once the responsible authority has confirmed it is satisfied that the </w:t>
      </w:r>
      <w:r>
        <w:rPr>
          <w:rFonts w:cs="Arial"/>
        </w:rPr>
        <w:t>project</w:t>
      </w:r>
      <w:r w:rsidRPr="00FC45E9">
        <w:rPr>
          <w:rFonts w:cs="Arial"/>
        </w:rPr>
        <w:t xml:space="preserve"> is compliant as a result of any post-construction assessments. </w:t>
      </w:r>
      <w:r>
        <w:rPr>
          <w:rFonts w:cs="Arial"/>
        </w:rPr>
        <w:t xml:space="preserve">While the project is in ‘provisional compliance’ it is deemed to be compliant. </w:t>
      </w:r>
      <w:r w:rsidRPr="00FC45E9">
        <w:rPr>
          <w:rFonts w:cs="Arial"/>
        </w:rPr>
        <w:t xml:space="preserve">Once a </w:t>
      </w:r>
      <w:r>
        <w:rPr>
          <w:rFonts w:cs="Arial"/>
        </w:rPr>
        <w:t>project</w:t>
      </w:r>
      <w:r w:rsidRPr="00FC45E9">
        <w:rPr>
          <w:rFonts w:cs="Arial"/>
        </w:rPr>
        <w:t xml:space="preserve"> has completed </w:t>
      </w:r>
      <w:r>
        <w:rPr>
          <w:rFonts w:cs="Arial"/>
        </w:rPr>
        <w:t xml:space="preserve">its </w:t>
      </w:r>
      <w:r w:rsidRPr="00FC45E9">
        <w:rPr>
          <w:rFonts w:cs="Arial"/>
        </w:rPr>
        <w:t>post-construction assessments and confirmed to be complian</w:t>
      </w:r>
      <w:r>
        <w:rPr>
          <w:rFonts w:cs="Arial"/>
        </w:rPr>
        <w:t>t by the responsible authority,</w:t>
      </w:r>
      <w:r w:rsidRPr="00FC45E9">
        <w:rPr>
          <w:rFonts w:cs="Arial"/>
        </w:rPr>
        <w:t xml:space="preserve"> ongoing compliance is </w:t>
      </w:r>
      <w:r>
        <w:rPr>
          <w:rFonts w:cs="Arial"/>
        </w:rPr>
        <w:t xml:space="preserve">then </w:t>
      </w:r>
      <w:r w:rsidRPr="00FC45E9">
        <w:rPr>
          <w:rFonts w:cs="Arial"/>
        </w:rPr>
        <w:t xml:space="preserve">overseen by the designated agency or responsible </w:t>
      </w:r>
      <w:r>
        <w:rPr>
          <w:rFonts w:cs="Arial"/>
        </w:rPr>
        <w:t xml:space="preserve">compliance </w:t>
      </w:r>
      <w:r w:rsidRPr="00FC45E9">
        <w:rPr>
          <w:rFonts w:cs="Arial"/>
        </w:rPr>
        <w:t>authority.</w:t>
      </w:r>
      <w:r>
        <w:rPr>
          <w:rFonts w:cs="Arial"/>
        </w:rPr>
        <w:t xml:space="preserve"> For the avoidance of doubt, a project that has been constructed in a way that is consistent with the requirements of any predictive assessments would be deemed compliant unless proven otherwise.</w:t>
      </w:r>
    </w:p>
    <w:p w14:paraId="27068523" w14:textId="77777777" w:rsidR="001556F0" w:rsidRPr="002A6FB5" w:rsidRDefault="001556F0" w:rsidP="001556F0">
      <w:pPr>
        <w:pStyle w:val="ListParagraph"/>
        <w:numPr>
          <w:ilvl w:val="2"/>
          <w:numId w:val="8"/>
        </w:numPr>
        <w:spacing w:line="264" w:lineRule="auto"/>
        <w:ind w:left="1400" w:hanging="680"/>
        <w:rPr>
          <w:rFonts w:cs="Arial"/>
        </w:rPr>
      </w:pPr>
      <w:r w:rsidRPr="002A6FB5">
        <w:rPr>
          <w:rFonts w:cs="Arial"/>
        </w:rPr>
        <w:t xml:space="preserve">If a </w:t>
      </w:r>
      <w:r>
        <w:rPr>
          <w:rFonts w:cs="Arial"/>
        </w:rPr>
        <w:t>project</w:t>
      </w:r>
      <w:r w:rsidRPr="002A6FB5">
        <w:rPr>
          <w:rFonts w:cs="Arial"/>
        </w:rPr>
        <w:t>’s facilities are deemed by a re</w:t>
      </w:r>
      <w:r>
        <w:rPr>
          <w:rFonts w:cs="Arial"/>
        </w:rPr>
        <w:t xml:space="preserve">sponsible </w:t>
      </w:r>
      <w:r w:rsidRPr="002A6FB5">
        <w:rPr>
          <w:rFonts w:cs="Arial"/>
        </w:rPr>
        <w:t xml:space="preserve">authority to be in an unrectified material breach of compliance, the </w:t>
      </w:r>
      <w:r>
        <w:rPr>
          <w:rFonts w:cs="Arial"/>
        </w:rPr>
        <w:t>project</w:t>
      </w:r>
      <w:r w:rsidRPr="002A6FB5">
        <w:rPr>
          <w:rFonts w:cs="Arial"/>
        </w:rPr>
        <w:t xml:space="preserve"> should be required by the responsible compliance authority to cease operating or curtail the non-</w:t>
      </w:r>
      <w:r>
        <w:rPr>
          <w:rFonts w:cs="Arial"/>
        </w:rPr>
        <w:t xml:space="preserve">compliant </w:t>
      </w:r>
      <w:r w:rsidRPr="002A6FB5">
        <w:rPr>
          <w:rFonts w:cs="Arial"/>
        </w:rPr>
        <w:t xml:space="preserve">facilities until compliance </w:t>
      </w:r>
      <w:r>
        <w:rPr>
          <w:rFonts w:cs="Arial"/>
        </w:rPr>
        <w:t>is</w:t>
      </w:r>
      <w:r w:rsidRPr="002A6FB5">
        <w:rPr>
          <w:rFonts w:cs="Arial"/>
        </w:rPr>
        <w:t xml:space="preserve"> achieved.</w:t>
      </w:r>
    </w:p>
    <w:p w14:paraId="402E47D6" w14:textId="631E398A" w:rsidR="001556F0" w:rsidRPr="002A6FB5" w:rsidRDefault="001556F0" w:rsidP="001556F0">
      <w:pPr>
        <w:pStyle w:val="ListParagraph"/>
        <w:numPr>
          <w:ilvl w:val="2"/>
          <w:numId w:val="8"/>
        </w:numPr>
        <w:spacing w:line="264" w:lineRule="auto"/>
        <w:ind w:left="1400" w:hanging="680"/>
        <w:rPr>
          <w:rFonts w:cs="Arial"/>
        </w:rPr>
      </w:pPr>
      <w:r w:rsidRPr="002A6FB5">
        <w:t xml:space="preserve">The Federal Government </w:t>
      </w:r>
      <w:r w:rsidR="009D2A57">
        <w:t>c</w:t>
      </w:r>
      <w:r w:rsidR="009D2A57" w:rsidRPr="002A6FB5">
        <w:t xml:space="preserve">ould </w:t>
      </w:r>
      <w:r w:rsidRPr="002A6FB5">
        <w:t xml:space="preserve">review the compliance enforcement powers and actions that may be taken by the Clean Energy Regulator in the event of a suspected or </w:t>
      </w:r>
      <w:r>
        <w:t xml:space="preserve">confirmed </w:t>
      </w:r>
      <w:r w:rsidRPr="002A6FB5">
        <w:t>unrectified material breach of compliance</w:t>
      </w:r>
      <w:r>
        <w:t>, including the Regulator’s ability to directly take punitive actions against a non-compliant project.</w:t>
      </w:r>
    </w:p>
    <w:p w14:paraId="4A86B874"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Governments should consider reviewing the primary standards across all jurisdictions for noise limits and setback distances. </w:t>
      </w:r>
      <w:r>
        <w:rPr>
          <w:rFonts w:cs="Arial"/>
        </w:rPr>
        <w:t>The following relate to wind farms only:</w:t>
      </w:r>
    </w:p>
    <w:p w14:paraId="2D5F2092" w14:textId="77777777" w:rsidR="001556F0" w:rsidRPr="00E21C48" w:rsidRDefault="001556F0" w:rsidP="001556F0">
      <w:pPr>
        <w:pStyle w:val="ListParagraph"/>
        <w:numPr>
          <w:ilvl w:val="3"/>
          <w:numId w:val="8"/>
        </w:numPr>
        <w:spacing w:line="264" w:lineRule="auto"/>
        <w:ind w:left="1985" w:hanging="905"/>
        <w:rPr>
          <w:rFonts w:cs="Arial"/>
        </w:rPr>
      </w:pPr>
      <w:r w:rsidRPr="00E21C48">
        <w:rPr>
          <w:rFonts w:cs="Arial"/>
        </w:rPr>
        <w:t>Based on current observations and the findings of the World Health Organi</w:t>
      </w:r>
      <w:r>
        <w:rPr>
          <w:rFonts w:cs="Arial"/>
        </w:rPr>
        <w:t>z</w:t>
      </w:r>
      <w:r w:rsidRPr="00E21C48">
        <w:rPr>
          <w:rFonts w:cs="Arial"/>
        </w:rPr>
        <w:t>ation, it would appear that an appropriate level for a consistent wind farm noise limit would be 35 dB(A)</w:t>
      </w:r>
      <w:r w:rsidRPr="00E21C48">
        <w:rPr>
          <w:rStyle w:val="FootnoteReference"/>
          <w:rFonts w:cs="Arial"/>
        </w:rPr>
        <w:footnoteReference w:customMarkFollows="1" w:id="8"/>
        <w:t>*</w:t>
      </w:r>
      <w:r w:rsidRPr="00E21C48">
        <w:rPr>
          <w:rFonts w:cs="Arial"/>
        </w:rPr>
        <w:t>, measured outside of the residence.</w:t>
      </w:r>
      <w:r>
        <w:rPr>
          <w:rFonts w:cs="Arial"/>
        </w:rPr>
        <w:t xml:space="preserve"> Noise standards that specify ‘high’ and ‘low’ amenity noise level limits must have clear guidance that define where those limits are applicable.</w:t>
      </w:r>
      <w:r w:rsidRPr="00E21C48">
        <w:rPr>
          <w:rFonts w:cs="Arial"/>
        </w:rPr>
        <w:t xml:space="preserve">  </w:t>
      </w:r>
    </w:p>
    <w:p w14:paraId="35714021" w14:textId="77777777" w:rsidR="001556F0" w:rsidRDefault="001556F0" w:rsidP="001556F0">
      <w:pPr>
        <w:pStyle w:val="ListParagraph"/>
        <w:numPr>
          <w:ilvl w:val="3"/>
          <w:numId w:val="8"/>
        </w:numPr>
        <w:spacing w:line="264" w:lineRule="auto"/>
        <w:ind w:left="1985" w:hanging="905"/>
        <w:rPr>
          <w:rFonts w:cs="Arial"/>
        </w:rPr>
      </w:pPr>
      <w:r w:rsidRPr="00FC45E9">
        <w:rPr>
          <w:rFonts w:cs="Arial"/>
        </w:rPr>
        <w:t xml:space="preserve">Applied penalties for specific noise conditions such as tonality and special audible characteristics </w:t>
      </w:r>
      <w:r>
        <w:rPr>
          <w:rFonts w:cs="Arial"/>
        </w:rPr>
        <w:t xml:space="preserve">continue to </w:t>
      </w:r>
      <w:r w:rsidRPr="00FC45E9">
        <w:rPr>
          <w:rFonts w:cs="Arial"/>
        </w:rPr>
        <w:t xml:space="preserve">be set at 5 dB(A), however such noise complaints should also be assessed on a subjective and reasonableness test by an approved, independent expert. Protocols should be developed and in place to clarify interpretation of </w:t>
      </w:r>
      <w:r>
        <w:rPr>
          <w:rFonts w:cs="Arial"/>
        </w:rPr>
        <w:t>‘</w:t>
      </w:r>
      <w:r w:rsidRPr="00FC45E9">
        <w:rPr>
          <w:rFonts w:cs="Arial"/>
        </w:rPr>
        <w:t>borrowed</w:t>
      </w:r>
      <w:r>
        <w:rPr>
          <w:rFonts w:cs="Arial"/>
        </w:rPr>
        <w:t>’</w:t>
      </w:r>
      <w:r w:rsidRPr="00FC45E9">
        <w:rPr>
          <w:rFonts w:cs="Arial"/>
        </w:rPr>
        <w:t xml:space="preserve"> noise standards</w:t>
      </w:r>
      <w:r>
        <w:rPr>
          <w:rFonts w:cs="Arial"/>
        </w:rPr>
        <w:t xml:space="preserve"> from other jurisdictions</w:t>
      </w:r>
      <w:r w:rsidRPr="00FC45E9">
        <w:rPr>
          <w:rFonts w:cs="Arial"/>
        </w:rPr>
        <w:t>.</w:t>
      </w:r>
      <w:r>
        <w:rPr>
          <w:rFonts w:cs="Arial"/>
        </w:rPr>
        <w:t xml:space="preserve">  </w:t>
      </w:r>
    </w:p>
    <w:p w14:paraId="54B60994" w14:textId="77777777" w:rsidR="001556F0" w:rsidRDefault="001556F0" w:rsidP="001556F0">
      <w:pPr>
        <w:pStyle w:val="ListParagraph"/>
        <w:numPr>
          <w:ilvl w:val="3"/>
          <w:numId w:val="8"/>
        </w:numPr>
        <w:spacing w:line="264" w:lineRule="auto"/>
        <w:ind w:left="1985" w:hanging="905"/>
        <w:rPr>
          <w:rFonts w:cs="Arial"/>
        </w:rPr>
      </w:pPr>
      <w:r>
        <w:rPr>
          <w:rFonts w:cs="Arial"/>
        </w:rPr>
        <w:t>A</w:t>
      </w:r>
      <w:r w:rsidRPr="00FC45E9">
        <w:rPr>
          <w:rFonts w:cs="Arial"/>
        </w:rPr>
        <w:t xml:space="preserve"> </w:t>
      </w:r>
      <w:r>
        <w:rPr>
          <w:rFonts w:cs="Arial"/>
        </w:rPr>
        <w:t>default</w:t>
      </w:r>
      <w:r w:rsidRPr="00FC45E9">
        <w:rPr>
          <w:rFonts w:cs="Arial"/>
        </w:rPr>
        <w:t xml:space="preserve"> setback distance of 1.5 km between a residence </w:t>
      </w:r>
      <w:r>
        <w:rPr>
          <w:rFonts w:cs="Arial"/>
        </w:rPr>
        <w:t xml:space="preserve">or dwelling </w:t>
      </w:r>
      <w:r w:rsidRPr="00FC45E9">
        <w:rPr>
          <w:rFonts w:cs="Arial"/>
        </w:rPr>
        <w:t>and the nearest turbine (note: for turbines with a tip height of 200</w:t>
      </w:r>
      <w:r>
        <w:rPr>
          <w:rFonts w:cs="Arial"/>
        </w:rPr>
        <w:t xml:space="preserve"> </w:t>
      </w:r>
      <w:r w:rsidRPr="00FC45E9">
        <w:rPr>
          <w:rFonts w:cs="Arial"/>
        </w:rPr>
        <w:t>m</w:t>
      </w:r>
      <w:r>
        <w:rPr>
          <w:rFonts w:cs="Arial"/>
        </w:rPr>
        <w:t>etres</w:t>
      </w:r>
      <w:r w:rsidRPr="00FC45E9">
        <w:rPr>
          <w:rFonts w:cs="Arial"/>
        </w:rPr>
        <w:t xml:space="preserve"> or greater, a </w:t>
      </w:r>
      <w:r>
        <w:rPr>
          <w:rFonts w:cs="Arial"/>
        </w:rPr>
        <w:t xml:space="preserve">greater </w:t>
      </w:r>
      <w:r w:rsidRPr="00FC45E9">
        <w:rPr>
          <w:rFonts w:cs="Arial"/>
        </w:rPr>
        <w:t xml:space="preserve">setback distance may be more appropriate to </w:t>
      </w:r>
      <w:r>
        <w:rPr>
          <w:rFonts w:cs="Arial"/>
        </w:rPr>
        <w:t xml:space="preserve">accommodate increased </w:t>
      </w:r>
      <w:r w:rsidRPr="00FC45E9">
        <w:rPr>
          <w:rFonts w:cs="Arial"/>
        </w:rPr>
        <w:t xml:space="preserve">visual amenity impacts). </w:t>
      </w:r>
      <w:r>
        <w:rPr>
          <w:rFonts w:cs="Arial"/>
        </w:rPr>
        <w:lastRenderedPageBreak/>
        <w:t>Local topography, existing trees and vegetation as well as terrain need to be also considered when applying any default setback measures.</w:t>
      </w:r>
    </w:p>
    <w:p w14:paraId="669A5991" w14:textId="000501C0" w:rsidR="001556F0" w:rsidRDefault="001556F0" w:rsidP="001556F0">
      <w:pPr>
        <w:pStyle w:val="ListParagraph"/>
        <w:numPr>
          <w:ilvl w:val="3"/>
          <w:numId w:val="8"/>
        </w:numPr>
        <w:spacing w:line="264" w:lineRule="auto"/>
        <w:ind w:left="1985" w:hanging="905"/>
        <w:rPr>
          <w:rFonts w:cs="Arial"/>
        </w:rPr>
      </w:pPr>
      <w:r w:rsidRPr="00FC45E9">
        <w:rPr>
          <w:rFonts w:cs="Arial"/>
        </w:rPr>
        <w:t xml:space="preserve">In addition to a setback distance between a turbine and a residence, a </w:t>
      </w:r>
      <w:r w:rsidR="00F11384">
        <w:rPr>
          <w:rFonts w:cs="Arial"/>
        </w:rPr>
        <w:t>minimum setback distance of 200 metres</w:t>
      </w:r>
      <w:r w:rsidRPr="00FC45E9">
        <w:rPr>
          <w:rFonts w:cs="Arial"/>
        </w:rPr>
        <w:t xml:space="preserve"> </w:t>
      </w:r>
      <w:r>
        <w:rPr>
          <w:rFonts w:cs="Arial"/>
        </w:rPr>
        <w:t>(as measured at ground level from the centre of the tower or 150</w:t>
      </w:r>
      <w:r w:rsidR="00F11384">
        <w:rPr>
          <w:rFonts w:cs="Arial"/>
        </w:rPr>
        <w:t xml:space="preserve"> metres</w:t>
      </w:r>
      <w:r w:rsidRPr="00FC45E9">
        <w:rPr>
          <w:rFonts w:cs="Arial"/>
        </w:rPr>
        <w:t xml:space="preserve"> from the extended horizontal blade tip, whichever is the greater) </w:t>
      </w:r>
      <w:r w:rsidRPr="003C0896">
        <w:rPr>
          <w:rFonts w:cs="Arial"/>
        </w:rPr>
        <w:t>and a neighbour’s boundary fence line or public road carriageway, should also be considered</w:t>
      </w:r>
      <w:r w:rsidR="0079034D">
        <w:rPr>
          <w:rFonts w:cs="Arial"/>
        </w:rPr>
        <w:t xml:space="preserve"> to mitigate potential safety risks</w:t>
      </w:r>
      <w:r w:rsidRPr="00AF0A20">
        <w:rPr>
          <w:rFonts w:cs="Arial"/>
        </w:rPr>
        <w:t xml:space="preserve">. </w:t>
      </w:r>
    </w:p>
    <w:p w14:paraId="06D27C94" w14:textId="49C263ED" w:rsidR="0079034D" w:rsidRPr="0079034D" w:rsidRDefault="0079034D" w:rsidP="001556F0">
      <w:pPr>
        <w:pStyle w:val="ListParagraph"/>
        <w:numPr>
          <w:ilvl w:val="3"/>
          <w:numId w:val="8"/>
        </w:numPr>
        <w:spacing w:line="264" w:lineRule="auto"/>
        <w:ind w:left="1985" w:hanging="905"/>
        <w:rPr>
          <w:rFonts w:cs="Arial"/>
        </w:rPr>
      </w:pPr>
      <w:r w:rsidRPr="0079034D">
        <w:rPr>
          <w:rFonts w:cs="Arial"/>
        </w:rPr>
        <w:t xml:space="preserve">In relation to </w:t>
      </w:r>
      <w:r w:rsidR="00161CB1">
        <w:rPr>
          <w:rFonts w:cs="Arial"/>
        </w:rPr>
        <w:t xml:space="preserve">proposed </w:t>
      </w:r>
      <w:r w:rsidRPr="0079034D">
        <w:rPr>
          <w:rFonts w:cs="Arial"/>
        </w:rPr>
        <w:t xml:space="preserve">transmission lines, a </w:t>
      </w:r>
      <w:r w:rsidR="00161CB1">
        <w:rPr>
          <w:rFonts w:cs="Arial"/>
        </w:rPr>
        <w:t xml:space="preserve">transmission </w:t>
      </w:r>
      <w:r w:rsidRPr="0079034D">
        <w:rPr>
          <w:rFonts w:cs="Arial"/>
        </w:rPr>
        <w:t>line that is less than 220</w:t>
      </w:r>
      <w:r w:rsidR="00A458C5">
        <w:rPr>
          <w:rFonts w:cs="Arial"/>
        </w:rPr>
        <w:t xml:space="preserve"> </w:t>
      </w:r>
      <w:r w:rsidRPr="0079034D">
        <w:rPr>
          <w:rFonts w:cs="Arial"/>
        </w:rPr>
        <w:t xml:space="preserve">kV should have a setback </w:t>
      </w:r>
      <w:r w:rsidR="00A458C5">
        <w:rPr>
          <w:rFonts w:cs="Arial"/>
        </w:rPr>
        <w:t xml:space="preserve">distance </w:t>
      </w:r>
      <w:r w:rsidRPr="0079034D">
        <w:rPr>
          <w:rFonts w:cs="Arial"/>
        </w:rPr>
        <w:t>of 100 metres from a residence</w:t>
      </w:r>
      <w:r w:rsidR="00A458C5">
        <w:rPr>
          <w:rFonts w:cs="Arial"/>
        </w:rPr>
        <w:t>, while</w:t>
      </w:r>
      <w:r w:rsidRPr="0079034D">
        <w:rPr>
          <w:rFonts w:cs="Arial"/>
        </w:rPr>
        <w:t xml:space="preserve"> a powerline that is 220</w:t>
      </w:r>
      <w:r w:rsidR="00A458C5">
        <w:rPr>
          <w:rFonts w:cs="Arial"/>
        </w:rPr>
        <w:t xml:space="preserve"> kV </w:t>
      </w:r>
      <w:r w:rsidRPr="0079034D">
        <w:rPr>
          <w:rFonts w:cs="Arial"/>
        </w:rPr>
        <w:t xml:space="preserve">or greater should have a setback </w:t>
      </w:r>
      <w:r w:rsidR="00A458C5">
        <w:rPr>
          <w:rFonts w:cs="Arial"/>
        </w:rPr>
        <w:t xml:space="preserve">distance </w:t>
      </w:r>
      <w:r w:rsidRPr="0079034D">
        <w:rPr>
          <w:rFonts w:cs="Arial"/>
        </w:rPr>
        <w:t>of 200 </w:t>
      </w:r>
      <w:r w:rsidRPr="00161CB1">
        <w:rPr>
          <w:rFonts w:cs="Arial"/>
        </w:rPr>
        <w:t>metres</w:t>
      </w:r>
      <w:r w:rsidR="00A458C5">
        <w:rPr>
          <w:rFonts w:cs="Arial"/>
        </w:rPr>
        <w:t xml:space="preserve">. Transmission lines should also be set back from public roads, with the suggested setback distance of the transmission line towers measured as the </w:t>
      </w:r>
      <w:r w:rsidRPr="0079034D">
        <w:rPr>
          <w:rFonts w:cs="Arial"/>
        </w:rPr>
        <w:t>tower height plus 20 metres.</w:t>
      </w:r>
    </w:p>
    <w:p w14:paraId="4A6AF19B" w14:textId="77777777" w:rsidR="001556F0" w:rsidRPr="00FC45E9" w:rsidRDefault="001556F0" w:rsidP="001556F0">
      <w:pPr>
        <w:pStyle w:val="ListParagraph"/>
        <w:numPr>
          <w:ilvl w:val="3"/>
          <w:numId w:val="8"/>
        </w:numPr>
        <w:spacing w:line="264" w:lineRule="auto"/>
        <w:ind w:left="1985" w:hanging="905"/>
        <w:rPr>
          <w:rFonts w:cs="Arial"/>
        </w:rPr>
      </w:pPr>
      <w:r>
        <w:rPr>
          <w:rFonts w:cs="Arial"/>
        </w:rPr>
        <w:t>C</w:t>
      </w:r>
      <w:r w:rsidRPr="00FC45E9">
        <w:rPr>
          <w:rFonts w:cs="Arial"/>
        </w:rPr>
        <w:t xml:space="preserve">onsideration should be given to setback distances between a wind farm and a </w:t>
      </w:r>
      <w:r>
        <w:rPr>
          <w:rFonts w:cs="Arial"/>
        </w:rPr>
        <w:t xml:space="preserve">materially populated </w:t>
      </w:r>
      <w:r w:rsidRPr="00FC45E9">
        <w:rPr>
          <w:rFonts w:cs="Arial"/>
        </w:rPr>
        <w:t xml:space="preserve">township or city boundary. A distance of 5 km may be appropriate to preserve amenity and provide some flexibility for planning growth of the township (note – consideration of </w:t>
      </w:r>
      <w:r>
        <w:rPr>
          <w:rFonts w:cs="Arial"/>
        </w:rPr>
        <w:t xml:space="preserve">reducing </w:t>
      </w:r>
      <w:r w:rsidRPr="00FC45E9">
        <w:rPr>
          <w:rFonts w:cs="Arial"/>
        </w:rPr>
        <w:t xml:space="preserve">these </w:t>
      </w:r>
      <w:r>
        <w:rPr>
          <w:rFonts w:cs="Arial"/>
        </w:rPr>
        <w:t xml:space="preserve">suggested </w:t>
      </w:r>
      <w:r w:rsidRPr="00FC45E9">
        <w:rPr>
          <w:rFonts w:cs="Arial"/>
        </w:rPr>
        <w:t>setback provisions may be appropriate in the case of a small-scale, community-supported and owned wind energy facility).</w:t>
      </w:r>
    </w:p>
    <w:p w14:paraId="03C3B0A9"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The noise assessment design and compliance testing conditions should include assessment and testing of the </w:t>
      </w:r>
      <w:r>
        <w:rPr>
          <w:rFonts w:cs="Arial"/>
        </w:rPr>
        <w:t>project</w:t>
      </w:r>
      <w:r w:rsidRPr="00FC45E9">
        <w:rPr>
          <w:rFonts w:cs="Arial"/>
        </w:rPr>
        <w:t>’s electrical infrastructure (transformers, substations, back-up generators etc.) and noise levels from these sources need to be compliant with the applicable standards.</w:t>
      </w:r>
      <w:r>
        <w:rPr>
          <w:rFonts w:cs="Arial"/>
        </w:rPr>
        <w:t xml:space="preserve"> </w:t>
      </w:r>
    </w:p>
    <w:p w14:paraId="055D05B6" w14:textId="09B6C7FA" w:rsidR="001556F0" w:rsidRDefault="001556F0" w:rsidP="001556F0">
      <w:pPr>
        <w:pStyle w:val="ListParagraph"/>
        <w:numPr>
          <w:ilvl w:val="2"/>
          <w:numId w:val="8"/>
        </w:numPr>
        <w:spacing w:line="264" w:lineRule="auto"/>
        <w:ind w:left="1400" w:hanging="680"/>
        <w:rPr>
          <w:rFonts w:cs="Arial"/>
        </w:rPr>
      </w:pPr>
      <w:r w:rsidRPr="00D80E3A">
        <w:rPr>
          <w:rFonts w:cs="Arial"/>
        </w:rPr>
        <w:t>A setback distance between a residence and other infrastructure associated with the project, such as transmission lines, should also be considered to help alleviate visual amenity impacts and noise considerations. This would include a s</w:t>
      </w:r>
      <w:r w:rsidRPr="00D80E3A">
        <w:rPr>
          <w:rFonts w:eastAsiaTheme="minorHAnsi" w:cs="Arial"/>
          <w:color w:val="000000"/>
        </w:rPr>
        <w:t xml:space="preserve">etback distance between a residence and major transformer or generation infrastructure, such as a terminal substation. </w:t>
      </w:r>
      <w:r w:rsidRPr="00D80E3A">
        <w:rPr>
          <w:rFonts w:cs="Arial"/>
        </w:rPr>
        <w:t xml:space="preserve">Where possible, transmission infrastructure should be placed underground and/or well away from residences and road reserves. If this is not possible, a </w:t>
      </w:r>
      <w:r w:rsidR="00F11384">
        <w:rPr>
          <w:rFonts w:cs="Arial"/>
        </w:rPr>
        <w:t>minimum setback distance of 100 metres</w:t>
      </w:r>
      <w:r w:rsidRPr="00D80E3A">
        <w:rPr>
          <w:rFonts w:cs="Arial"/>
        </w:rPr>
        <w:t xml:space="preserve"> </w:t>
      </w:r>
      <w:r>
        <w:rPr>
          <w:rFonts w:cs="Arial"/>
        </w:rPr>
        <w:t xml:space="preserve">between a rural residence and powerline infrastructure </w:t>
      </w:r>
      <w:r w:rsidRPr="00D80E3A">
        <w:rPr>
          <w:rFonts w:cs="Arial"/>
        </w:rPr>
        <w:t>should be considered in planning guidelines for powerlines of 66</w:t>
      </w:r>
      <w:r>
        <w:rPr>
          <w:rFonts w:cs="Arial"/>
        </w:rPr>
        <w:t xml:space="preserve"> </w:t>
      </w:r>
      <w:r w:rsidRPr="00D80E3A">
        <w:rPr>
          <w:rFonts w:cs="Arial"/>
        </w:rPr>
        <w:t xml:space="preserve">kV or greater. </w:t>
      </w:r>
    </w:p>
    <w:p w14:paraId="5CB0C113"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Power poles installed in the road reserve must comply with relevant standards and guidelines for setback distances from the carriageway, comply with any road safety requirements and road safety barrier specifications, and pole locations must be pre-approved by the responsible authority.</w:t>
      </w:r>
    </w:p>
    <w:p w14:paraId="03EBEB52" w14:textId="77777777" w:rsidR="001556F0" w:rsidRPr="00D80E3A" w:rsidRDefault="001556F0" w:rsidP="001556F0">
      <w:pPr>
        <w:pStyle w:val="ListParagraph"/>
        <w:numPr>
          <w:ilvl w:val="2"/>
          <w:numId w:val="8"/>
        </w:numPr>
        <w:spacing w:line="264" w:lineRule="auto"/>
        <w:ind w:left="1400" w:hanging="680"/>
        <w:rPr>
          <w:rFonts w:cs="Arial"/>
        </w:rPr>
      </w:pPr>
      <w:r w:rsidRPr="00D80E3A">
        <w:rPr>
          <w:rFonts w:cs="Arial"/>
        </w:rPr>
        <w:t xml:space="preserve">Consideration should also be given to the current standards for </w:t>
      </w:r>
      <w:r>
        <w:rPr>
          <w:rFonts w:cs="Arial"/>
        </w:rPr>
        <w:t xml:space="preserve">wind turbine </w:t>
      </w:r>
      <w:r w:rsidRPr="00D80E3A">
        <w:rPr>
          <w:rFonts w:cs="Arial"/>
        </w:rPr>
        <w:t xml:space="preserve">shadow flicker. A typical standard at present is a limit of 30 hours of shadow flicker per year at a resident’s external window or garden area. A more appropriate standard </w:t>
      </w:r>
      <w:r>
        <w:rPr>
          <w:rFonts w:cs="Arial"/>
        </w:rPr>
        <w:t xml:space="preserve">could </w:t>
      </w:r>
      <w:r w:rsidRPr="00D80E3A">
        <w:rPr>
          <w:rFonts w:cs="Arial"/>
        </w:rPr>
        <w:t>be no more than a total 15 hours of actual shadow flicker per year at a residence and no more than 30 minutes of shadow flicker should be experienced on a given day. Neighbours experiencing (or likely to experience) shadow flicker that is annoying should also be provided with the opportunity for having visual screening installed.</w:t>
      </w:r>
    </w:p>
    <w:p w14:paraId="0CAF4E1B" w14:textId="18EE7B2D" w:rsidR="001556F0" w:rsidRDefault="001556F0" w:rsidP="001556F0">
      <w:pPr>
        <w:pStyle w:val="ListParagraph"/>
        <w:numPr>
          <w:ilvl w:val="2"/>
          <w:numId w:val="8"/>
        </w:numPr>
        <w:spacing w:line="264" w:lineRule="auto"/>
        <w:ind w:left="1400" w:hanging="680"/>
        <w:rPr>
          <w:rFonts w:cs="Arial"/>
        </w:rPr>
      </w:pPr>
      <w:r w:rsidRPr="00FC45E9">
        <w:rPr>
          <w:rFonts w:cs="Arial"/>
        </w:rPr>
        <w:t>Final siting adjustments for turbines during construction (</w:t>
      </w:r>
      <w:r>
        <w:rPr>
          <w:rFonts w:cs="Arial"/>
        </w:rPr>
        <w:t>‘</w:t>
      </w:r>
      <w:r w:rsidRPr="00FC45E9">
        <w:rPr>
          <w:rFonts w:cs="Arial"/>
        </w:rPr>
        <w:t>micro-siting’) should be limited to a distance of no more than 100</w:t>
      </w:r>
      <w:r w:rsidR="00F11384">
        <w:rPr>
          <w:rFonts w:cs="Arial"/>
        </w:rPr>
        <w:t xml:space="preserve"> metres</w:t>
      </w:r>
      <w:r w:rsidRPr="00FC45E9">
        <w:rPr>
          <w:rFonts w:cs="Arial"/>
        </w:rPr>
        <w:t xml:space="preserve"> from the approved site location, be no closer to a residence (or property boundary </w:t>
      </w:r>
      <w:r>
        <w:rPr>
          <w:rFonts w:cs="Arial"/>
        </w:rPr>
        <w:t xml:space="preserve">as </w:t>
      </w:r>
      <w:r w:rsidRPr="00FC45E9">
        <w:rPr>
          <w:rFonts w:cs="Arial"/>
        </w:rPr>
        <w:t>per Recommendation 5.2.7) and be properly documented, including the reasons for the change. Micro-siting of a distance greater than 100</w:t>
      </w:r>
      <w:r w:rsidR="00F11384">
        <w:rPr>
          <w:rFonts w:cs="Arial"/>
        </w:rPr>
        <w:t xml:space="preserve"> metres</w:t>
      </w:r>
      <w:r w:rsidRPr="00FC45E9">
        <w:rPr>
          <w:rFonts w:cs="Arial"/>
        </w:rPr>
        <w:t xml:space="preserve"> should require written approval from the responsible authority. </w:t>
      </w:r>
    </w:p>
    <w:p w14:paraId="3C5426D1" w14:textId="77777777" w:rsidR="001556F0" w:rsidRPr="00ED5C4C" w:rsidRDefault="001556F0" w:rsidP="001556F0">
      <w:pPr>
        <w:pStyle w:val="ListParagraph"/>
        <w:numPr>
          <w:ilvl w:val="0"/>
          <w:numId w:val="0"/>
        </w:numPr>
        <w:spacing w:line="264" w:lineRule="auto"/>
        <w:ind w:left="360"/>
        <w:rPr>
          <w:rFonts w:cs="Arial"/>
        </w:rPr>
      </w:pPr>
    </w:p>
    <w:p w14:paraId="036204EF" w14:textId="77777777" w:rsidR="001556F0" w:rsidRPr="00FC45E9" w:rsidRDefault="001556F0" w:rsidP="001556F0">
      <w:pPr>
        <w:pStyle w:val="Heading2"/>
        <w:numPr>
          <w:ilvl w:val="0"/>
          <w:numId w:val="8"/>
        </w:numPr>
      </w:pPr>
      <w:bookmarkStart w:id="45" w:name="_Toc51224053"/>
      <w:bookmarkStart w:id="46" w:name="_Toc84430834"/>
      <w:r w:rsidRPr="00FC45E9">
        <w:lastRenderedPageBreak/>
        <w:t>Use and selection of Experts</w:t>
      </w:r>
      <w:bookmarkEnd w:id="45"/>
      <w:bookmarkEnd w:id="46"/>
    </w:p>
    <w:p w14:paraId="6263F29B" w14:textId="77777777" w:rsidR="001556F0" w:rsidRPr="00FC45E9" w:rsidRDefault="001556F0" w:rsidP="001556F0">
      <w:pPr>
        <w:pStyle w:val="ListParagraph"/>
        <w:numPr>
          <w:ilvl w:val="1"/>
          <w:numId w:val="8"/>
        </w:numPr>
        <w:spacing w:line="264" w:lineRule="auto"/>
        <w:rPr>
          <w:rFonts w:cs="Arial"/>
          <w:b/>
        </w:rPr>
      </w:pPr>
      <w:r w:rsidRPr="00FC45E9">
        <w:rPr>
          <w:rFonts w:cs="Arial"/>
          <w:b/>
        </w:rPr>
        <w:t>Observations</w:t>
      </w:r>
    </w:p>
    <w:p w14:paraId="2F5EFD79"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The design and approval of a proposed wind</w:t>
      </w:r>
      <w:r>
        <w:rPr>
          <w:rFonts w:cs="Arial"/>
        </w:rPr>
        <w:t xml:space="preserve"> or solar</w:t>
      </w:r>
      <w:r w:rsidRPr="00FC45E9">
        <w:rPr>
          <w:rFonts w:cs="Arial"/>
        </w:rPr>
        <w:t xml:space="preserve"> farm relies heavily on third-party consultants (or ‘experts’) to prepare a range of reports including assessments related to noise, visual amenity, shadow flicker, aviation</w:t>
      </w:r>
      <w:r>
        <w:rPr>
          <w:rFonts w:cs="Arial"/>
        </w:rPr>
        <w:t xml:space="preserve">, flora and fauna, hydrology, vegetation </w:t>
      </w:r>
      <w:r w:rsidRPr="00FC45E9">
        <w:rPr>
          <w:rFonts w:cs="Arial"/>
        </w:rPr>
        <w:t xml:space="preserve">and various </w:t>
      </w:r>
      <w:r>
        <w:rPr>
          <w:rFonts w:cs="Arial"/>
        </w:rPr>
        <w:t xml:space="preserve">other </w:t>
      </w:r>
      <w:r w:rsidRPr="00FC45E9">
        <w:rPr>
          <w:rFonts w:cs="Arial"/>
        </w:rPr>
        <w:t>environmental assessments.</w:t>
      </w:r>
    </w:p>
    <w:p w14:paraId="6A2EEAA3"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Experts are selected and paid for by the developer. The expert reports are typically included with the developer’s </w:t>
      </w:r>
      <w:r>
        <w:rPr>
          <w:rFonts w:cs="Arial"/>
        </w:rPr>
        <w:t xml:space="preserve">planning permit </w:t>
      </w:r>
      <w:r w:rsidRPr="00FC45E9">
        <w:rPr>
          <w:rFonts w:cs="Arial"/>
        </w:rPr>
        <w:t>submission to the responsible authority when seeking approval</w:t>
      </w:r>
      <w:r>
        <w:rPr>
          <w:rFonts w:cs="Arial"/>
        </w:rPr>
        <w:t>s</w:t>
      </w:r>
      <w:r w:rsidRPr="00FC45E9">
        <w:rPr>
          <w:rFonts w:cs="Arial"/>
        </w:rPr>
        <w:t xml:space="preserve"> for the project. Many of the assessment reports rely on complex calculations or results from predictive computer modelling. </w:t>
      </w:r>
      <w:r>
        <w:rPr>
          <w:rFonts w:cs="Arial"/>
        </w:rPr>
        <w:t xml:space="preserve">These reports also rely on assessing the project against standards that are not always clearly defined. </w:t>
      </w:r>
    </w:p>
    <w:p w14:paraId="24EC6DB2"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The accuracy of the assessment reports and recommendations is therefore highly dependent on the quality and precision of the assumptions used, correct application of calculations, the integrity of computer modelling applications, the accuracy of the data used and the skills of the expert in interpreting the output of the resulting analysis.</w:t>
      </w:r>
    </w:p>
    <w:p w14:paraId="1D391085"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Once the wind </w:t>
      </w:r>
      <w:r>
        <w:rPr>
          <w:rFonts w:cs="Arial"/>
        </w:rPr>
        <w:t xml:space="preserve">or solar </w:t>
      </w:r>
      <w:r w:rsidRPr="00FC45E9">
        <w:rPr>
          <w:rFonts w:cs="Arial"/>
        </w:rPr>
        <w:t xml:space="preserve">farm is built, experts are </w:t>
      </w:r>
      <w:r>
        <w:rPr>
          <w:rFonts w:cs="Arial"/>
        </w:rPr>
        <w:t xml:space="preserve">then </w:t>
      </w:r>
      <w:r w:rsidRPr="00FC45E9">
        <w:rPr>
          <w:rFonts w:cs="Arial"/>
        </w:rPr>
        <w:t xml:space="preserve">engaged to carry out </w:t>
      </w:r>
      <w:r>
        <w:rPr>
          <w:rFonts w:cs="Arial"/>
        </w:rPr>
        <w:t xml:space="preserve">any required </w:t>
      </w:r>
      <w:r w:rsidRPr="00FC45E9">
        <w:rPr>
          <w:rFonts w:cs="Arial"/>
        </w:rPr>
        <w:t>post-construction assessments. These assessment</w:t>
      </w:r>
      <w:r>
        <w:rPr>
          <w:rFonts w:cs="Arial"/>
        </w:rPr>
        <w:t>s, and resulting</w:t>
      </w:r>
      <w:r w:rsidRPr="00FC45E9">
        <w:rPr>
          <w:rFonts w:cs="Arial"/>
        </w:rPr>
        <w:t xml:space="preserve"> reports</w:t>
      </w:r>
      <w:r>
        <w:rPr>
          <w:rFonts w:cs="Arial"/>
        </w:rPr>
        <w:t>,</w:t>
      </w:r>
      <w:r w:rsidRPr="00FC45E9">
        <w:rPr>
          <w:rFonts w:cs="Arial"/>
        </w:rPr>
        <w:t xml:space="preserve"> utilise actual data from the </w:t>
      </w:r>
      <w:r>
        <w:rPr>
          <w:rFonts w:cs="Arial"/>
        </w:rPr>
        <w:t>operating project</w:t>
      </w:r>
      <w:r w:rsidRPr="00FC45E9">
        <w:rPr>
          <w:rFonts w:cs="Arial"/>
        </w:rPr>
        <w:t xml:space="preserve">, however </w:t>
      </w:r>
      <w:r>
        <w:rPr>
          <w:rFonts w:cs="Arial"/>
        </w:rPr>
        <w:t xml:space="preserve">may </w:t>
      </w:r>
      <w:r w:rsidRPr="00FC45E9">
        <w:rPr>
          <w:rFonts w:cs="Arial"/>
        </w:rPr>
        <w:t xml:space="preserve">still rely on assumptions and modelling to </w:t>
      </w:r>
      <w:r>
        <w:rPr>
          <w:rFonts w:cs="Arial"/>
        </w:rPr>
        <w:t xml:space="preserve">collect and </w:t>
      </w:r>
      <w:r w:rsidRPr="00FC45E9">
        <w:rPr>
          <w:rFonts w:cs="Arial"/>
        </w:rPr>
        <w:t xml:space="preserve">analyse the data and </w:t>
      </w:r>
      <w:r>
        <w:rPr>
          <w:rFonts w:cs="Arial"/>
        </w:rPr>
        <w:t xml:space="preserve">to then </w:t>
      </w:r>
      <w:r w:rsidRPr="00FC45E9">
        <w:rPr>
          <w:rFonts w:cs="Arial"/>
        </w:rPr>
        <w:t xml:space="preserve">present in a format to </w:t>
      </w:r>
      <w:r>
        <w:rPr>
          <w:rFonts w:cs="Arial"/>
        </w:rPr>
        <w:t>support the</w:t>
      </w:r>
      <w:r w:rsidRPr="00FC45E9">
        <w:rPr>
          <w:rFonts w:cs="Arial"/>
        </w:rPr>
        <w:t xml:space="preserve"> conclusions.</w:t>
      </w:r>
    </w:p>
    <w:p w14:paraId="313B8367"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It is very common practice that experts engaged to perform the design </w:t>
      </w:r>
      <w:r>
        <w:rPr>
          <w:rFonts w:cs="Arial"/>
        </w:rPr>
        <w:t xml:space="preserve">and predictive </w:t>
      </w:r>
      <w:r w:rsidRPr="00FC45E9">
        <w:rPr>
          <w:rFonts w:cs="Arial"/>
        </w:rPr>
        <w:t>assessments during the planning phase are the same experts engaged by the developer to perform the post-construction assessments. Developers may also often use the same experts on multiple projects</w:t>
      </w:r>
      <w:r>
        <w:rPr>
          <w:rFonts w:cs="Arial"/>
        </w:rPr>
        <w:t>, establishing long-term relationships between the parties</w:t>
      </w:r>
      <w:r w:rsidRPr="00FC45E9">
        <w:rPr>
          <w:rFonts w:cs="Arial"/>
        </w:rPr>
        <w:t>.</w:t>
      </w:r>
    </w:p>
    <w:p w14:paraId="532CCC07"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The selection and use of the same expert in both the design and then post-construction phases of a </w:t>
      </w:r>
      <w:r>
        <w:rPr>
          <w:rFonts w:cs="Arial"/>
        </w:rPr>
        <w:t xml:space="preserve">project </w:t>
      </w:r>
      <w:r w:rsidRPr="00FC45E9">
        <w:rPr>
          <w:rFonts w:cs="Arial"/>
        </w:rPr>
        <w:t>may give rise to perceived or real conflicts of interest between the developer and the expert</w:t>
      </w:r>
      <w:r>
        <w:rPr>
          <w:rFonts w:cs="Arial"/>
        </w:rPr>
        <w:t>,</w:t>
      </w:r>
      <w:r w:rsidRPr="00FC45E9">
        <w:rPr>
          <w:rFonts w:cs="Arial"/>
        </w:rPr>
        <w:t xml:space="preserve"> a</w:t>
      </w:r>
      <w:r>
        <w:rPr>
          <w:rFonts w:cs="Arial"/>
        </w:rPr>
        <w:t>s well as</w:t>
      </w:r>
      <w:r w:rsidRPr="00FC45E9">
        <w:rPr>
          <w:rFonts w:cs="Arial"/>
        </w:rPr>
        <w:t xml:space="preserve"> </w:t>
      </w:r>
      <w:r>
        <w:rPr>
          <w:rFonts w:cs="Arial"/>
        </w:rPr>
        <w:t xml:space="preserve">client </w:t>
      </w:r>
      <w:r w:rsidRPr="00FC45E9">
        <w:rPr>
          <w:rFonts w:cs="Arial"/>
        </w:rPr>
        <w:t xml:space="preserve">expectations </w:t>
      </w:r>
      <w:r>
        <w:rPr>
          <w:rFonts w:cs="Arial"/>
        </w:rPr>
        <w:t xml:space="preserve">effectively </w:t>
      </w:r>
      <w:r w:rsidRPr="00FC45E9">
        <w:rPr>
          <w:rFonts w:cs="Arial"/>
        </w:rPr>
        <w:t xml:space="preserve">placed upon the expert to confirm </w:t>
      </w:r>
      <w:r>
        <w:rPr>
          <w:rFonts w:cs="Arial"/>
        </w:rPr>
        <w:t>the</w:t>
      </w:r>
      <w:r w:rsidRPr="00FC45E9">
        <w:rPr>
          <w:rFonts w:cs="Arial"/>
        </w:rPr>
        <w:t xml:space="preserve"> </w:t>
      </w:r>
      <w:r>
        <w:rPr>
          <w:rFonts w:cs="Arial"/>
        </w:rPr>
        <w:t>project</w:t>
      </w:r>
      <w:r w:rsidRPr="00FC45E9">
        <w:rPr>
          <w:rFonts w:cs="Arial"/>
        </w:rPr>
        <w:t xml:space="preserve">’s compliance. </w:t>
      </w:r>
    </w:p>
    <w:p w14:paraId="789BF890"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As a hypothetical example, an acoustician engaged to assess </w:t>
      </w:r>
      <w:r>
        <w:rPr>
          <w:rFonts w:cs="Arial"/>
        </w:rPr>
        <w:t>a</w:t>
      </w:r>
      <w:r w:rsidRPr="00FC45E9">
        <w:rPr>
          <w:rFonts w:cs="Arial"/>
        </w:rPr>
        <w:t xml:space="preserve"> proposed wind farm’s design for compliance with the noise standard </w:t>
      </w:r>
      <w:r>
        <w:rPr>
          <w:rFonts w:cs="Arial"/>
        </w:rPr>
        <w:t xml:space="preserve">– is </w:t>
      </w:r>
      <w:r w:rsidRPr="00FC45E9">
        <w:rPr>
          <w:rFonts w:cs="Arial"/>
        </w:rPr>
        <w:t xml:space="preserve">then engaged to assess the </w:t>
      </w:r>
      <w:r>
        <w:rPr>
          <w:rFonts w:cs="Arial"/>
        </w:rPr>
        <w:t xml:space="preserve">constructed, </w:t>
      </w:r>
      <w:r w:rsidRPr="00FC45E9">
        <w:rPr>
          <w:rFonts w:cs="Arial"/>
        </w:rPr>
        <w:t xml:space="preserve">operating wind farm </w:t>
      </w:r>
      <w:r>
        <w:rPr>
          <w:rFonts w:cs="Arial"/>
        </w:rPr>
        <w:t xml:space="preserve">to confirm </w:t>
      </w:r>
      <w:r w:rsidRPr="00FC45E9">
        <w:rPr>
          <w:rFonts w:cs="Arial"/>
        </w:rPr>
        <w:t>compliance</w:t>
      </w:r>
      <w:r>
        <w:rPr>
          <w:rFonts w:cs="Arial"/>
        </w:rPr>
        <w:t xml:space="preserve"> with the noise standard. The expert acoustician </w:t>
      </w:r>
      <w:r w:rsidRPr="00FC45E9">
        <w:rPr>
          <w:rFonts w:cs="Arial"/>
        </w:rPr>
        <w:t xml:space="preserve">may </w:t>
      </w:r>
      <w:r>
        <w:rPr>
          <w:rFonts w:cs="Arial"/>
        </w:rPr>
        <w:t xml:space="preserve">then </w:t>
      </w:r>
      <w:r w:rsidRPr="00FC45E9">
        <w:rPr>
          <w:rFonts w:cs="Arial"/>
        </w:rPr>
        <w:t xml:space="preserve">be placed in a difficult situation if the acoustician discovers some aspects of the operating wind farm </w:t>
      </w:r>
      <w:r>
        <w:rPr>
          <w:rFonts w:cs="Arial"/>
        </w:rPr>
        <w:t xml:space="preserve">are potentially </w:t>
      </w:r>
      <w:r w:rsidRPr="00FC45E9">
        <w:rPr>
          <w:rFonts w:cs="Arial"/>
        </w:rPr>
        <w:t xml:space="preserve">non-compliant, particularly if </w:t>
      </w:r>
      <w:r>
        <w:rPr>
          <w:rFonts w:cs="Arial"/>
        </w:rPr>
        <w:t xml:space="preserve">those </w:t>
      </w:r>
      <w:r w:rsidRPr="00FC45E9">
        <w:rPr>
          <w:rFonts w:cs="Arial"/>
        </w:rPr>
        <w:t xml:space="preserve">areas of non-compliance may be a result of errors </w:t>
      </w:r>
      <w:r>
        <w:rPr>
          <w:rFonts w:cs="Arial"/>
        </w:rPr>
        <w:t xml:space="preserve">or assumptions </w:t>
      </w:r>
      <w:r w:rsidRPr="00FC45E9">
        <w:rPr>
          <w:rFonts w:cs="Arial"/>
        </w:rPr>
        <w:t xml:space="preserve">made in the acoustician’s </w:t>
      </w:r>
      <w:r>
        <w:rPr>
          <w:rFonts w:cs="Arial"/>
        </w:rPr>
        <w:t>predictive</w:t>
      </w:r>
      <w:r w:rsidRPr="00FC45E9">
        <w:rPr>
          <w:rFonts w:cs="Arial"/>
        </w:rPr>
        <w:t xml:space="preserve"> assessment.</w:t>
      </w:r>
      <w:r>
        <w:rPr>
          <w:rFonts w:cs="Arial"/>
        </w:rPr>
        <w:t xml:space="preserve"> Enormous pressure could be placed on the expert acoustician to measure and/or interpret the post-construction operating noise data in such a way that would demonstrate compliance, rather than non-compliance, of the operating asset.</w:t>
      </w:r>
    </w:p>
    <w:p w14:paraId="129BAC38" w14:textId="787C4E05" w:rsidR="001556F0" w:rsidRPr="00FC45E9" w:rsidRDefault="001556F0" w:rsidP="001556F0">
      <w:pPr>
        <w:pStyle w:val="ListParagraph"/>
        <w:numPr>
          <w:ilvl w:val="0"/>
          <w:numId w:val="0"/>
        </w:numPr>
        <w:spacing w:line="264" w:lineRule="auto"/>
        <w:ind w:left="360"/>
        <w:rPr>
          <w:rFonts w:cs="Arial"/>
        </w:rPr>
      </w:pPr>
      <w:r>
        <w:rPr>
          <w:rFonts w:cs="Arial"/>
        </w:rPr>
        <w:t xml:space="preserve">Expert reports submitted to the proponent and, in turn, submitted by the proponent to the </w:t>
      </w:r>
      <w:r w:rsidR="000549BA">
        <w:rPr>
          <w:rFonts w:cs="Arial"/>
        </w:rPr>
        <w:t xml:space="preserve">responsible </w:t>
      </w:r>
      <w:r>
        <w:rPr>
          <w:rFonts w:cs="Arial"/>
        </w:rPr>
        <w:t>authority and other relevant agencies, would be assisted greatly if such reports were subject to an independent audit carried out by an accredited independent audit.</w:t>
      </w:r>
    </w:p>
    <w:p w14:paraId="792A9637"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There is certainly scope for a </w:t>
      </w:r>
      <w:r>
        <w:rPr>
          <w:rFonts w:cs="Arial"/>
        </w:rPr>
        <w:t xml:space="preserve">clearer </w:t>
      </w:r>
      <w:r w:rsidRPr="00FC45E9">
        <w:rPr>
          <w:rFonts w:cs="Arial"/>
        </w:rPr>
        <w:t xml:space="preserve">separation between the experts used for the predictive assessments </w:t>
      </w:r>
      <w:r>
        <w:rPr>
          <w:rFonts w:cs="Arial"/>
        </w:rPr>
        <w:t xml:space="preserve">during </w:t>
      </w:r>
      <w:r w:rsidRPr="00FC45E9">
        <w:rPr>
          <w:rFonts w:cs="Arial"/>
        </w:rPr>
        <w:t>the design</w:t>
      </w:r>
      <w:r>
        <w:rPr>
          <w:rFonts w:cs="Arial"/>
        </w:rPr>
        <w:t xml:space="preserve">/application stage </w:t>
      </w:r>
      <w:r w:rsidRPr="00FC45E9">
        <w:rPr>
          <w:rFonts w:cs="Arial"/>
        </w:rPr>
        <w:t xml:space="preserve">versus the experts used for the post-construction assessments of a </w:t>
      </w:r>
      <w:r>
        <w:rPr>
          <w:rFonts w:cs="Arial"/>
        </w:rPr>
        <w:t>project</w:t>
      </w:r>
      <w:r w:rsidRPr="00FC45E9">
        <w:rPr>
          <w:rFonts w:cs="Arial"/>
        </w:rPr>
        <w:t xml:space="preserve">, along with the </w:t>
      </w:r>
      <w:r>
        <w:rPr>
          <w:rFonts w:cs="Arial"/>
        </w:rPr>
        <w:t xml:space="preserve">inclusion </w:t>
      </w:r>
      <w:r w:rsidRPr="00FC45E9">
        <w:rPr>
          <w:rFonts w:cs="Arial"/>
        </w:rPr>
        <w:t xml:space="preserve">of </w:t>
      </w:r>
      <w:r>
        <w:rPr>
          <w:rFonts w:cs="Arial"/>
        </w:rPr>
        <w:t xml:space="preserve">independent </w:t>
      </w:r>
      <w:r w:rsidRPr="00FC45E9">
        <w:rPr>
          <w:rFonts w:cs="Arial"/>
        </w:rPr>
        <w:t xml:space="preserve">audits of the expert’s </w:t>
      </w:r>
      <w:r>
        <w:rPr>
          <w:rFonts w:cs="Arial"/>
        </w:rPr>
        <w:t xml:space="preserve">reports. A more rigorous process would yield a range of material benefits, including </w:t>
      </w:r>
      <w:r w:rsidRPr="00FC45E9">
        <w:rPr>
          <w:rFonts w:cs="Arial"/>
        </w:rPr>
        <w:t>minimis</w:t>
      </w:r>
      <w:r>
        <w:rPr>
          <w:rFonts w:cs="Arial"/>
        </w:rPr>
        <w:t>ing</w:t>
      </w:r>
      <w:r w:rsidRPr="00FC45E9">
        <w:rPr>
          <w:rFonts w:cs="Arial"/>
        </w:rPr>
        <w:t xml:space="preserve"> </w:t>
      </w:r>
      <w:r>
        <w:rPr>
          <w:rFonts w:cs="Arial"/>
        </w:rPr>
        <w:t xml:space="preserve">costly expert </w:t>
      </w:r>
      <w:r w:rsidRPr="00FC45E9">
        <w:rPr>
          <w:rFonts w:cs="Arial"/>
        </w:rPr>
        <w:t>errors</w:t>
      </w:r>
      <w:r>
        <w:rPr>
          <w:rFonts w:cs="Arial"/>
        </w:rPr>
        <w:t xml:space="preserve"> during the assessment phase,</w:t>
      </w:r>
      <w:r w:rsidRPr="00FC45E9">
        <w:rPr>
          <w:rFonts w:cs="Arial"/>
        </w:rPr>
        <w:t xml:space="preserve"> </w:t>
      </w:r>
      <w:r>
        <w:rPr>
          <w:rFonts w:cs="Arial"/>
        </w:rPr>
        <w:t xml:space="preserve">minimise or eliminate </w:t>
      </w:r>
      <w:r w:rsidRPr="00FC45E9">
        <w:rPr>
          <w:rFonts w:cs="Arial"/>
        </w:rPr>
        <w:t>perceived or real conflicts of interest</w:t>
      </w:r>
      <w:r>
        <w:rPr>
          <w:rFonts w:cs="Arial"/>
        </w:rPr>
        <w:t xml:space="preserve"> and give all stakeholders greater confidence in the integrity and reliability of the expert’s advice and reports.</w:t>
      </w:r>
    </w:p>
    <w:p w14:paraId="5501C755" w14:textId="77777777" w:rsidR="008613CC" w:rsidRDefault="008613CC" w:rsidP="001556F0">
      <w:pPr>
        <w:pStyle w:val="ListParagraph"/>
        <w:numPr>
          <w:ilvl w:val="0"/>
          <w:numId w:val="0"/>
        </w:numPr>
        <w:spacing w:line="264" w:lineRule="auto"/>
        <w:ind w:left="360"/>
        <w:rPr>
          <w:rFonts w:cs="Arial"/>
        </w:rPr>
      </w:pPr>
    </w:p>
    <w:p w14:paraId="4048E265" w14:textId="77777777" w:rsidR="008613CC" w:rsidRDefault="008613CC" w:rsidP="001556F0">
      <w:pPr>
        <w:pStyle w:val="ListParagraph"/>
        <w:numPr>
          <w:ilvl w:val="0"/>
          <w:numId w:val="0"/>
        </w:numPr>
        <w:spacing w:line="264" w:lineRule="auto"/>
        <w:ind w:left="360"/>
        <w:rPr>
          <w:rFonts w:cs="Arial"/>
        </w:rPr>
      </w:pPr>
    </w:p>
    <w:p w14:paraId="71D1ACD2" w14:textId="77777777" w:rsidR="001556F0" w:rsidRPr="00FC45E9" w:rsidRDefault="001556F0" w:rsidP="001556F0">
      <w:pPr>
        <w:pStyle w:val="ListParagraph"/>
        <w:numPr>
          <w:ilvl w:val="0"/>
          <w:numId w:val="0"/>
        </w:numPr>
        <w:spacing w:line="264" w:lineRule="auto"/>
        <w:ind w:left="360"/>
        <w:rPr>
          <w:rFonts w:cs="Arial"/>
        </w:rPr>
      </w:pPr>
      <w:r>
        <w:rPr>
          <w:rFonts w:cs="Arial"/>
        </w:rPr>
        <w:lastRenderedPageBreak/>
        <w:t>B</w:t>
      </w:r>
      <w:r w:rsidRPr="00FC45E9">
        <w:rPr>
          <w:rFonts w:cs="Arial"/>
        </w:rPr>
        <w:t>est practice</w:t>
      </w:r>
      <w:r>
        <w:rPr>
          <w:rFonts w:cs="Arial"/>
        </w:rPr>
        <w:t>s</w:t>
      </w:r>
      <w:r w:rsidRPr="00FC45E9">
        <w:rPr>
          <w:rFonts w:cs="Arial"/>
        </w:rPr>
        <w:t xml:space="preserve"> that has been observed </w:t>
      </w:r>
      <w:r>
        <w:rPr>
          <w:rFonts w:cs="Arial"/>
        </w:rPr>
        <w:t>are</w:t>
      </w:r>
      <w:r w:rsidRPr="00FC45E9">
        <w:rPr>
          <w:rFonts w:cs="Arial"/>
        </w:rPr>
        <w:t xml:space="preserve"> as follows:</w:t>
      </w:r>
    </w:p>
    <w:p w14:paraId="13DFE369" w14:textId="18C0E454" w:rsidR="001556F0" w:rsidRPr="00FC45E9" w:rsidRDefault="001556F0" w:rsidP="001556F0">
      <w:pPr>
        <w:pStyle w:val="ListBullet"/>
        <w:spacing w:line="264" w:lineRule="auto"/>
        <w:ind w:left="1089"/>
        <w:rPr>
          <w:rFonts w:cs="Arial"/>
        </w:rPr>
      </w:pPr>
      <w:r>
        <w:rPr>
          <w:rFonts w:cs="Arial"/>
        </w:rPr>
        <w:t>A</w:t>
      </w:r>
      <w:r w:rsidRPr="00FC45E9">
        <w:rPr>
          <w:rFonts w:cs="Arial"/>
        </w:rPr>
        <w:t xml:space="preserve"> suitably qualified expert </w:t>
      </w:r>
      <w:r>
        <w:rPr>
          <w:rFonts w:cs="Arial"/>
        </w:rPr>
        <w:t>be</w:t>
      </w:r>
      <w:r w:rsidRPr="00FC45E9">
        <w:rPr>
          <w:rFonts w:cs="Arial"/>
        </w:rPr>
        <w:t xml:space="preserve"> appointed by </w:t>
      </w:r>
      <w:r>
        <w:rPr>
          <w:rFonts w:cs="Arial"/>
        </w:rPr>
        <w:t xml:space="preserve">a </w:t>
      </w:r>
      <w:r w:rsidRPr="00FC45E9">
        <w:rPr>
          <w:rFonts w:cs="Arial"/>
        </w:rPr>
        <w:t>developer to carry out</w:t>
      </w:r>
      <w:r>
        <w:rPr>
          <w:rFonts w:cs="Arial"/>
        </w:rPr>
        <w:t xml:space="preserve"> the</w:t>
      </w:r>
      <w:r w:rsidRPr="00FC45E9">
        <w:rPr>
          <w:rFonts w:cs="Arial"/>
        </w:rPr>
        <w:t xml:space="preserve"> relevant </w:t>
      </w:r>
      <w:r w:rsidR="00A458C5">
        <w:rPr>
          <w:rFonts w:cs="Arial"/>
        </w:rPr>
        <w:t xml:space="preserve">predictive </w:t>
      </w:r>
      <w:r w:rsidRPr="00FC45E9">
        <w:rPr>
          <w:rFonts w:cs="Arial"/>
        </w:rPr>
        <w:t xml:space="preserve">assessment </w:t>
      </w:r>
      <w:r w:rsidR="00A458C5">
        <w:rPr>
          <w:rFonts w:cs="Arial"/>
        </w:rPr>
        <w:t>as required for the</w:t>
      </w:r>
      <w:r>
        <w:rPr>
          <w:rFonts w:cs="Arial"/>
        </w:rPr>
        <w:t xml:space="preserve"> </w:t>
      </w:r>
      <w:r w:rsidRPr="00FC45E9">
        <w:rPr>
          <w:rFonts w:cs="Arial"/>
        </w:rPr>
        <w:t xml:space="preserve">planning </w:t>
      </w:r>
      <w:r>
        <w:rPr>
          <w:rFonts w:cs="Arial"/>
        </w:rPr>
        <w:t>application</w:t>
      </w:r>
      <w:r w:rsidRPr="00FC45E9">
        <w:rPr>
          <w:rFonts w:cs="Arial"/>
        </w:rPr>
        <w:t xml:space="preserve">. The </w:t>
      </w:r>
      <w:r>
        <w:rPr>
          <w:rFonts w:cs="Arial"/>
        </w:rPr>
        <w:t xml:space="preserve">appointed </w:t>
      </w:r>
      <w:r w:rsidRPr="00FC45E9">
        <w:rPr>
          <w:rFonts w:cs="Arial"/>
        </w:rPr>
        <w:t>expert must be free of any real or perceived conflicts of interest</w:t>
      </w:r>
      <w:r>
        <w:rPr>
          <w:rFonts w:cs="Arial"/>
        </w:rPr>
        <w:t xml:space="preserve"> and/or declare any potential conflict of interest and advise how it will be managed</w:t>
      </w:r>
      <w:r w:rsidRPr="00FC45E9">
        <w:rPr>
          <w:rFonts w:cs="Arial"/>
        </w:rPr>
        <w:t>.</w:t>
      </w:r>
    </w:p>
    <w:p w14:paraId="0F23F503" w14:textId="77777777" w:rsidR="001556F0" w:rsidRPr="00FC45E9" w:rsidRDefault="001556F0" w:rsidP="001556F0">
      <w:pPr>
        <w:pStyle w:val="ListBullet"/>
        <w:spacing w:line="264" w:lineRule="auto"/>
        <w:ind w:left="1089"/>
        <w:rPr>
          <w:rFonts w:cs="Arial"/>
        </w:rPr>
      </w:pPr>
      <w:r>
        <w:rPr>
          <w:rFonts w:cs="Arial"/>
        </w:rPr>
        <w:t>Before submitting the project’s design or planning application, a</w:t>
      </w:r>
      <w:r w:rsidRPr="00FC45E9">
        <w:rPr>
          <w:rFonts w:cs="Arial"/>
        </w:rPr>
        <w:t>n independent</w:t>
      </w:r>
      <w:r>
        <w:rPr>
          <w:rFonts w:cs="Arial"/>
        </w:rPr>
        <w:t xml:space="preserve">, accredited </w:t>
      </w:r>
      <w:r w:rsidRPr="00FC45E9">
        <w:rPr>
          <w:rFonts w:cs="Arial"/>
        </w:rPr>
        <w:t xml:space="preserve">auditor </w:t>
      </w:r>
      <w:r>
        <w:rPr>
          <w:rFonts w:cs="Arial"/>
        </w:rPr>
        <w:t>is</w:t>
      </w:r>
      <w:r w:rsidRPr="00FC45E9">
        <w:rPr>
          <w:rFonts w:cs="Arial"/>
        </w:rPr>
        <w:t xml:space="preserve"> appointed to scrutinise and review </w:t>
      </w:r>
      <w:r>
        <w:rPr>
          <w:rFonts w:cs="Arial"/>
        </w:rPr>
        <w:t xml:space="preserve">the </w:t>
      </w:r>
      <w:r w:rsidRPr="00FC45E9">
        <w:rPr>
          <w:rFonts w:cs="Arial"/>
        </w:rPr>
        <w:t>expert’s assessment/design report</w:t>
      </w:r>
      <w:r>
        <w:rPr>
          <w:rFonts w:cs="Arial"/>
        </w:rPr>
        <w:t xml:space="preserve">. The auditor’s report and </w:t>
      </w:r>
      <w:r w:rsidRPr="00FC45E9">
        <w:rPr>
          <w:rFonts w:cs="Arial"/>
        </w:rPr>
        <w:t xml:space="preserve">findings/recommendations </w:t>
      </w:r>
      <w:r>
        <w:rPr>
          <w:rFonts w:cs="Arial"/>
        </w:rPr>
        <w:t xml:space="preserve">are provided </w:t>
      </w:r>
      <w:r w:rsidRPr="00FC45E9">
        <w:rPr>
          <w:rFonts w:cs="Arial"/>
        </w:rPr>
        <w:t xml:space="preserve">to </w:t>
      </w:r>
      <w:r>
        <w:rPr>
          <w:rFonts w:cs="Arial"/>
        </w:rPr>
        <w:t xml:space="preserve">the </w:t>
      </w:r>
      <w:r w:rsidRPr="00FC45E9">
        <w:rPr>
          <w:rFonts w:cs="Arial"/>
        </w:rPr>
        <w:t xml:space="preserve">developer, </w:t>
      </w:r>
      <w:r>
        <w:rPr>
          <w:rFonts w:cs="Arial"/>
        </w:rPr>
        <w:t xml:space="preserve">the developer’s expert, </w:t>
      </w:r>
      <w:r w:rsidRPr="00FC45E9">
        <w:rPr>
          <w:rFonts w:cs="Arial"/>
        </w:rPr>
        <w:t xml:space="preserve">the responsible </w:t>
      </w:r>
      <w:r>
        <w:rPr>
          <w:rFonts w:cs="Arial"/>
        </w:rPr>
        <w:t xml:space="preserve">planning </w:t>
      </w:r>
      <w:r w:rsidRPr="00FC45E9">
        <w:rPr>
          <w:rFonts w:cs="Arial"/>
        </w:rPr>
        <w:t>authority and other relevant agencies</w:t>
      </w:r>
      <w:r>
        <w:rPr>
          <w:rFonts w:cs="Arial"/>
        </w:rPr>
        <w:t xml:space="preserve"> for the subject matter</w:t>
      </w:r>
      <w:r w:rsidRPr="00FC45E9">
        <w:rPr>
          <w:rFonts w:cs="Arial"/>
        </w:rPr>
        <w:t xml:space="preserve"> (e.g. Civil Aviation Safety Authority, Country Fire Authority, Environment Protection Authority, </w:t>
      </w:r>
      <w:r>
        <w:rPr>
          <w:rFonts w:cs="Arial"/>
        </w:rPr>
        <w:t>Australian Government Department of Agriculture, Water and the Environment, local Council</w:t>
      </w:r>
      <w:r w:rsidRPr="00FC45E9">
        <w:rPr>
          <w:rFonts w:cs="Arial"/>
        </w:rPr>
        <w:t xml:space="preserve"> etc.)</w:t>
      </w:r>
      <w:r>
        <w:rPr>
          <w:rFonts w:cs="Arial"/>
        </w:rPr>
        <w:t>.</w:t>
      </w:r>
    </w:p>
    <w:p w14:paraId="717B1A9A" w14:textId="77777777" w:rsidR="001556F0" w:rsidRPr="00FC45E9" w:rsidRDefault="001556F0" w:rsidP="001556F0">
      <w:pPr>
        <w:pStyle w:val="ListBullet"/>
        <w:spacing w:line="264" w:lineRule="auto"/>
        <w:ind w:left="1089"/>
        <w:rPr>
          <w:rFonts w:cs="Arial"/>
        </w:rPr>
      </w:pPr>
      <w:r>
        <w:rPr>
          <w:rFonts w:cs="Arial"/>
        </w:rPr>
        <w:t>O</w:t>
      </w:r>
      <w:r w:rsidRPr="00FC45E9">
        <w:rPr>
          <w:rFonts w:cs="Arial"/>
        </w:rPr>
        <w:t xml:space="preserve">nce the </w:t>
      </w:r>
      <w:r>
        <w:rPr>
          <w:rFonts w:cs="Arial"/>
        </w:rPr>
        <w:t xml:space="preserve">project </w:t>
      </w:r>
      <w:r w:rsidRPr="00FC45E9">
        <w:rPr>
          <w:rFonts w:cs="Arial"/>
        </w:rPr>
        <w:t>is constructed, a different expert (</w:t>
      </w:r>
      <w:r>
        <w:rPr>
          <w:rFonts w:cs="Arial"/>
        </w:rPr>
        <w:t xml:space="preserve">that is, different and unrelated </w:t>
      </w:r>
      <w:r w:rsidRPr="00FC45E9">
        <w:rPr>
          <w:rFonts w:cs="Arial"/>
        </w:rPr>
        <w:t xml:space="preserve">to the </w:t>
      </w:r>
      <w:r>
        <w:rPr>
          <w:rFonts w:cs="Arial"/>
        </w:rPr>
        <w:t xml:space="preserve">‘predictive </w:t>
      </w:r>
      <w:r w:rsidRPr="00FC45E9">
        <w:rPr>
          <w:rFonts w:cs="Arial"/>
        </w:rPr>
        <w:t>assessment</w:t>
      </w:r>
      <w:r>
        <w:rPr>
          <w:rFonts w:cs="Arial"/>
        </w:rPr>
        <w:t>’</w:t>
      </w:r>
      <w:r w:rsidRPr="00FC45E9">
        <w:rPr>
          <w:rFonts w:cs="Arial"/>
        </w:rPr>
        <w:t xml:space="preserve"> expert) </w:t>
      </w:r>
      <w:r>
        <w:rPr>
          <w:rFonts w:cs="Arial"/>
        </w:rPr>
        <w:t>be</w:t>
      </w:r>
      <w:r w:rsidRPr="00FC45E9">
        <w:rPr>
          <w:rFonts w:cs="Arial"/>
        </w:rPr>
        <w:t xml:space="preserve"> appointed to carry out required post-construction compliance assessments</w:t>
      </w:r>
      <w:r>
        <w:rPr>
          <w:rFonts w:cs="Arial"/>
        </w:rPr>
        <w:t>, as specified by the planning permit or equivalent instrument.</w:t>
      </w:r>
    </w:p>
    <w:p w14:paraId="1AB86DB9" w14:textId="77777777" w:rsidR="001556F0" w:rsidRDefault="001556F0" w:rsidP="001556F0">
      <w:pPr>
        <w:pStyle w:val="ListBullet"/>
        <w:spacing w:line="264" w:lineRule="auto"/>
        <w:ind w:left="1089"/>
        <w:rPr>
          <w:rFonts w:cs="Arial"/>
        </w:rPr>
      </w:pPr>
      <w:r>
        <w:rPr>
          <w:rFonts w:cs="Arial"/>
        </w:rPr>
        <w:t>T</w:t>
      </w:r>
      <w:r w:rsidRPr="00FC45E9">
        <w:rPr>
          <w:rFonts w:cs="Arial"/>
        </w:rPr>
        <w:t>he post-construction compliance report is then reviewed by a different</w:t>
      </w:r>
      <w:r>
        <w:rPr>
          <w:rFonts w:cs="Arial"/>
        </w:rPr>
        <w:t xml:space="preserve"> independent, accredited auditor (that is, different to the auditor of the ‘predictive assessment’ report)</w:t>
      </w:r>
      <w:r w:rsidRPr="00FC45E9">
        <w:rPr>
          <w:rFonts w:cs="Arial"/>
        </w:rPr>
        <w:t xml:space="preserve"> </w:t>
      </w:r>
      <w:r>
        <w:rPr>
          <w:rFonts w:cs="Arial"/>
        </w:rPr>
        <w:t xml:space="preserve">to confirm the </w:t>
      </w:r>
      <w:r w:rsidRPr="00FC45E9">
        <w:rPr>
          <w:rFonts w:cs="Arial"/>
        </w:rPr>
        <w:t>accuracy and integrity</w:t>
      </w:r>
      <w:r>
        <w:rPr>
          <w:rFonts w:cs="Arial"/>
        </w:rPr>
        <w:t xml:space="preserve"> of the post-construction report</w:t>
      </w:r>
      <w:r w:rsidRPr="00FC45E9">
        <w:rPr>
          <w:rFonts w:cs="Arial"/>
        </w:rPr>
        <w:t>. Th</w:t>
      </w:r>
      <w:r>
        <w:rPr>
          <w:rFonts w:cs="Arial"/>
        </w:rPr>
        <w:t>e</w:t>
      </w:r>
      <w:r w:rsidRPr="00FC45E9">
        <w:rPr>
          <w:rFonts w:cs="Arial"/>
        </w:rPr>
        <w:t xml:space="preserve"> auditor</w:t>
      </w:r>
      <w:r>
        <w:rPr>
          <w:rFonts w:cs="Arial"/>
        </w:rPr>
        <w:t>’s</w:t>
      </w:r>
      <w:r w:rsidRPr="00FC45E9">
        <w:rPr>
          <w:rFonts w:cs="Arial"/>
        </w:rPr>
        <w:t xml:space="preserve"> findings/recommendations </w:t>
      </w:r>
      <w:r>
        <w:rPr>
          <w:rFonts w:cs="Arial"/>
        </w:rPr>
        <w:t xml:space="preserve">are issued </w:t>
      </w:r>
      <w:r w:rsidRPr="00FC45E9">
        <w:rPr>
          <w:rFonts w:cs="Arial"/>
        </w:rPr>
        <w:t xml:space="preserve">to </w:t>
      </w:r>
      <w:r>
        <w:rPr>
          <w:rFonts w:cs="Arial"/>
        </w:rPr>
        <w:t xml:space="preserve">the </w:t>
      </w:r>
      <w:r w:rsidRPr="00FC45E9">
        <w:rPr>
          <w:rFonts w:cs="Arial"/>
        </w:rPr>
        <w:t>developer</w:t>
      </w:r>
      <w:r>
        <w:rPr>
          <w:rFonts w:cs="Arial"/>
        </w:rPr>
        <w:t xml:space="preserve">, </w:t>
      </w:r>
      <w:r w:rsidRPr="00FC45E9">
        <w:rPr>
          <w:rFonts w:cs="Arial"/>
        </w:rPr>
        <w:t>responsible authority</w:t>
      </w:r>
      <w:r>
        <w:rPr>
          <w:rFonts w:cs="Arial"/>
        </w:rPr>
        <w:t xml:space="preserve"> and other relevant agencies</w:t>
      </w:r>
      <w:r w:rsidRPr="00FC45E9">
        <w:rPr>
          <w:rFonts w:cs="Arial"/>
        </w:rPr>
        <w:t>.</w:t>
      </w:r>
    </w:p>
    <w:p w14:paraId="30561BB7" w14:textId="77777777" w:rsidR="001556F0" w:rsidRPr="00FC45E9" w:rsidRDefault="001556F0" w:rsidP="001556F0">
      <w:pPr>
        <w:pStyle w:val="ListBullet"/>
        <w:spacing w:line="264" w:lineRule="auto"/>
        <w:ind w:left="1089"/>
        <w:rPr>
          <w:rFonts w:cs="Arial"/>
        </w:rPr>
      </w:pPr>
      <w:r>
        <w:rPr>
          <w:rFonts w:cs="Arial"/>
        </w:rPr>
        <w:t>Project compliance is confirmed once the responsible authority is satisfied with the findings of the experts, accompanied by unqualified audit reports.</w:t>
      </w:r>
    </w:p>
    <w:p w14:paraId="7271F639" w14:textId="77777777" w:rsidR="001556F0" w:rsidRPr="00FC45E9" w:rsidRDefault="001556F0" w:rsidP="001556F0">
      <w:pPr>
        <w:pStyle w:val="ListBullet"/>
        <w:numPr>
          <w:ilvl w:val="0"/>
          <w:numId w:val="0"/>
        </w:numPr>
        <w:spacing w:line="264" w:lineRule="auto"/>
        <w:ind w:left="369" w:hanging="9"/>
        <w:rPr>
          <w:rFonts w:cs="Arial"/>
        </w:rPr>
      </w:pPr>
      <w:r w:rsidRPr="00FC45E9">
        <w:rPr>
          <w:rFonts w:cs="Arial"/>
        </w:rPr>
        <w:t xml:space="preserve">These additional steps and </w:t>
      </w:r>
      <w:r>
        <w:rPr>
          <w:rFonts w:cs="Arial"/>
        </w:rPr>
        <w:t xml:space="preserve">appropriate </w:t>
      </w:r>
      <w:r w:rsidRPr="00FC45E9">
        <w:rPr>
          <w:rFonts w:cs="Arial"/>
        </w:rPr>
        <w:t xml:space="preserve">separation of experts and auditors will go a long way to </w:t>
      </w:r>
      <w:r>
        <w:rPr>
          <w:rFonts w:cs="Arial"/>
        </w:rPr>
        <w:t xml:space="preserve">facilitate </w:t>
      </w:r>
      <w:r w:rsidRPr="00FC45E9">
        <w:rPr>
          <w:rFonts w:cs="Arial"/>
        </w:rPr>
        <w:t xml:space="preserve">confidence for all stakeholders in the significant decisions </w:t>
      </w:r>
      <w:r>
        <w:rPr>
          <w:rFonts w:cs="Arial"/>
        </w:rPr>
        <w:t xml:space="preserve">that are </w:t>
      </w:r>
      <w:r w:rsidRPr="00FC45E9">
        <w:rPr>
          <w:rFonts w:cs="Arial"/>
        </w:rPr>
        <w:t xml:space="preserve">made on the basis of expert reports. The process will also </w:t>
      </w:r>
      <w:r>
        <w:rPr>
          <w:rFonts w:cs="Arial"/>
        </w:rPr>
        <w:t>provide better protection for</w:t>
      </w:r>
      <w:r w:rsidRPr="00FC45E9">
        <w:rPr>
          <w:rFonts w:cs="Arial"/>
        </w:rPr>
        <w:t xml:space="preserve"> industry from very costly errors and risks of </w:t>
      </w:r>
      <w:r>
        <w:rPr>
          <w:rFonts w:cs="Arial"/>
        </w:rPr>
        <w:t xml:space="preserve">subsequently </w:t>
      </w:r>
      <w:r w:rsidRPr="00FC45E9">
        <w:rPr>
          <w:rFonts w:cs="Arial"/>
        </w:rPr>
        <w:t xml:space="preserve">being </w:t>
      </w:r>
      <w:r>
        <w:rPr>
          <w:rFonts w:cs="Arial"/>
        </w:rPr>
        <w:t xml:space="preserve">found to be </w:t>
      </w:r>
      <w:r w:rsidRPr="00FC45E9">
        <w:rPr>
          <w:rFonts w:cs="Arial"/>
        </w:rPr>
        <w:t>non-compliant.</w:t>
      </w:r>
    </w:p>
    <w:p w14:paraId="18FFD222" w14:textId="77777777" w:rsidR="001556F0" w:rsidRDefault="001556F0" w:rsidP="001556F0">
      <w:pPr>
        <w:pStyle w:val="ListBullet"/>
        <w:numPr>
          <w:ilvl w:val="0"/>
          <w:numId w:val="0"/>
        </w:numPr>
        <w:spacing w:line="264" w:lineRule="auto"/>
        <w:ind w:left="369" w:hanging="9"/>
        <w:rPr>
          <w:rFonts w:cs="Arial"/>
        </w:rPr>
      </w:pPr>
      <w:r>
        <w:rPr>
          <w:rFonts w:cs="Arial"/>
        </w:rPr>
        <w:t>T</w:t>
      </w:r>
      <w:r w:rsidRPr="00FC45E9">
        <w:rPr>
          <w:rFonts w:cs="Arial"/>
        </w:rPr>
        <w:t xml:space="preserve">his </w:t>
      </w:r>
      <w:r>
        <w:rPr>
          <w:rFonts w:cs="Arial"/>
        </w:rPr>
        <w:t xml:space="preserve">type of </w:t>
      </w:r>
      <w:r w:rsidRPr="00FC45E9">
        <w:rPr>
          <w:rFonts w:cs="Arial"/>
        </w:rPr>
        <w:t xml:space="preserve">approach for noise assessments </w:t>
      </w:r>
      <w:r>
        <w:rPr>
          <w:rFonts w:cs="Arial"/>
        </w:rPr>
        <w:t xml:space="preserve">was piloted, on a voluntary basis, </w:t>
      </w:r>
      <w:r w:rsidRPr="00FC45E9">
        <w:rPr>
          <w:rFonts w:cs="Arial"/>
        </w:rPr>
        <w:t>at a proposed Victorian wind farm</w:t>
      </w:r>
      <w:r>
        <w:rPr>
          <w:rFonts w:cs="Arial"/>
        </w:rPr>
        <w:t>. In applying a more conservative approach than the initial assessment, the process found that a material number of turbines at that wind farm were at risk of breaching compliance if deployed as planned.</w:t>
      </w:r>
      <w:r w:rsidRPr="00FC45E9">
        <w:rPr>
          <w:rFonts w:cs="Arial"/>
        </w:rPr>
        <w:t xml:space="preserve"> </w:t>
      </w:r>
      <w:r>
        <w:rPr>
          <w:rFonts w:cs="Arial"/>
        </w:rPr>
        <w:t>Early identification of these issues allowed the proponent to adjust the operational design and parameters accordingly to ensure compliance – before construction commenced.</w:t>
      </w:r>
    </w:p>
    <w:p w14:paraId="292D2BB5" w14:textId="77777777" w:rsidR="001556F0" w:rsidRPr="00FC45E9" w:rsidRDefault="001556F0" w:rsidP="001556F0">
      <w:pPr>
        <w:pStyle w:val="ListBullet"/>
        <w:numPr>
          <w:ilvl w:val="0"/>
          <w:numId w:val="0"/>
        </w:numPr>
        <w:spacing w:line="264" w:lineRule="auto"/>
        <w:ind w:left="369" w:hanging="9"/>
        <w:rPr>
          <w:rFonts w:cs="Arial"/>
        </w:rPr>
      </w:pPr>
      <w:r>
        <w:rPr>
          <w:rFonts w:cs="Arial"/>
        </w:rPr>
        <w:t>The Victorian G</w:t>
      </w:r>
      <w:r w:rsidRPr="00FC45E9">
        <w:rPr>
          <w:rFonts w:cs="Arial"/>
        </w:rPr>
        <w:t xml:space="preserve">overnment has </w:t>
      </w:r>
      <w:r>
        <w:rPr>
          <w:rFonts w:cs="Arial"/>
        </w:rPr>
        <w:t xml:space="preserve">now </w:t>
      </w:r>
      <w:r w:rsidRPr="00FC45E9">
        <w:rPr>
          <w:rFonts w:cs="Arial"/>
        </w:rPr>
        <w:t xml:space="preserve">formally adopted </w:t>
      </w:r>
      <w:r>
        <w:rPr>
          <w:rFonts w:cs="Arial"/>
        </w:rPr>
        <w:t xml:space="preserve">the accredited noise assessment auditor </w:t>
      </w:r>
      <w:r w:rsidRPr="00FC45E9">
        <w:rPr>
          <w:rFonts w:cs="Arial"/>
        </w:rPr>
        <w:t xml:space="preserve">framework for all new and modified wind farm planning permits. Other states have implemented or </w:t>
      </w:r>
      <w:r>
        <w:rPr>
          <w:rFonts w:cs="Arial"/>
        </w:rPr>
        <w:t xml:space="preserve">are </w:t>
      </w:r>
      <w:r w:rsidRPr="00FC45E9">
        <w:rPr>
          <w:rFonts w:cs="Arial"/>
        </w:rPr>
        <w:t>considering implementing variations on the above.</w:t>
      </w:r>
      <w:r>
        <w:rPr>
          <w:rFonts w:cs="Arial"/>
        </w:rPr>
        <w:t xml:space="preserve"> In some cases, industry proponents have also adopted some or all of these best practices, even if not required, to ensure integrity and accuracy of the expert reports they are relying on. The practice of utilising a different expert to undertake the post-construction compliance testing program is also being increasingly adopted by industry and recommended by auditors.</w:t>
      </w:r>
    </w:p>
    <w:p w14:paraId="44F291ED" w14:textId="77777777" w:rsidR="001556F0" w:rsidRPr="00FC45E9" w:rsidRDefault="001556F0" w:rsidP="001556F0">
      <w:pPr>
        <w:pStyle w:val="ListBullet"/>
        <w:numPr>
          <w:ilvl w:val="0"/>
          <w:numId w:val="0"/>
        </w:numPr>
        <w:spacing w:line="264" w:lineRule="auto"/>
        <w:ind w:left="369" w:hanging="9"/>
        <w:rPr>
          <w:rFonts w:cs="Arial"/>
        </w:rPr>
      </w:pPr>
      <w:r w:rsidRPr="00FC45E9">
        <w:rPr>
          <w:rFonts w:cs="Arial"/>
        </w:rPr>
        <w:t xml:space="preserve">In addition to noise assessments, other expert disciplines that </w:t>
      </w:r>
      <w:r>
        <w:rPr>
          <w:rFonts w:cs="Arial"/>
        </w:rPr>
        <w:t xml:space="preserve">have </w:t>
      </w:r>
      <w:r w:rsidRPr="00FC45E9">
        <w:rPr>
          <w:rFonts w:cs="Arial"/>
        </w:rPr>
        <w:t xml:space="preserve">led to material issues in </w:t>
      </w:r>
      <w:r>
        <w:rPr>
          <w:rFonts w:cs="Arial"/>
        </w:rPr>
        <w:t xml:space="preserve">recent times </w:t>
      </w:r>
      <w:r w:rsidRPr="00FC45E9">
        <w:rPr>
          <w:rFonts w:cs="Arial"/>
        </w:rPr>
        <w:t>included aviation safety assessments</w:t>
      </w:r>
      <w:r>
        <w:rPr>
          <w:rFonts w:cs="Arial"/>
        </w:rPr>
        <w:t>, measurement of turbines from dwellings</w:t>
      </w:r>
      <w:r w:rsidRPr="00FC45E9">
        <w:rPr>
          <w:rFonts w:cs="Arial"/>
        </w:rPr>
        <w:t xml:space="preserve"> and vegetation clearing assessments for transportation routes.</w:t>
      </w:r>
      <w:r>
        <w:rPr>
          <w:rFonts w:cs="Arial"/>
        </w:rPr>
        <w:t xml:space="preserve"> Errors and/or omissions in those assessments lead to either significant project cost overruns or cancellation of the project as a result. </w:t>
      </w:r>
    </w:p>
    <w:p w14:paraId="28D4FC67" w14:textId="77777777" w:rsidR="001556F0" w:rsidRDefault="001556F0" w:rsidP="001556F0">
      <w:pPr>
        <w:pStyle w:val="ListBullet"/>
        <w:numPr>
          <w:ilvl w:val="0"/>
          <w:numId w:val="0"/>
        </w:numPr>
        <w:spacing w:line="264" w:lineRule="auto"/>
        <w:ind w:left="369" w:hanging="9"/>
        <w:rPr>
          <w:rFonts w:cs="Arial"/>
        </w:rPr>
      </w:pPr>
      <w:r w:rsidRPr="00FC45E9">
        <w:rPr>
          <w:rFonts w:cs="Arial"/>
        </w:rPr>
        <w:t xml:space="preserve">Finally, it is expected that these reforms will increase the </w:t>
      </w:r>
      <w:r>
        <w:rPr>
          <w:rFonts w:cs="Arial"/>
        </w:rPr>
        <w:t xml:space="preserve">market </w:t>
      </w:r>
      <w:r w:rsidRPr="00FC45E9">
        <w:rPr>
          <w:rFonts w:cs="Arial"/>
        </w:rPr>
        <w:t>opportunities for additional experts and auditors as well as help facilitate growth of skills and firms in the relevant disciplines.</w:t>
      </w:r>
    </w:p>
    <w:p w14:paraId="4722005A" w14:textId="77777777" w:rsidR="008613CC" w:rsidRPr="00FC45E9" w:rsidRDefault="008613CC" w:rsidP="001556F0">
      <w:pPr>
        <w:pStyle w:val="ListBullet"/>
        <w:numPr>
          <w:ilvl w:val="0"/>
          <w:numId w:val="0"/>
        </w:numPr>
        <w:spacing w:line="264" w:lineRule="auto"/>
        <w:ind w:left="369" w:hanging="9"/>
        <w:rPr>
          <w:rFonts w:cs="Arial"/>
        </w:rPr>
      </w:pPr>
    </w:p>
    <w:p w14:paraId="0DE3C3F4" w14:textId="77777777" w:rsidR="001556F0" w:rsidRPr="00FC45E9" w:rsidRDefault="001556F0" w:rsidP="001556F0">
      <w:pPr>
        <w:pStyle w:val="ListParagraph"/>
        <w:numPr>
          <w:ilvl w:val="1"/>
          <w:numId w:val="8"/>
        </w:numPr>
        <w:spacing w:line="264" w:lineRule="auto"/>
        <w:rPr>
          <w:rFonts w:cs="Arial"/>
          <w:b/>
        </w:rPr>
      </w:pPr>
      <w:r w:rsidRPr="00FC45E9">
        <w:rPr>
          <w:rFonts w:cs="Arial"/>
          <w:b/>
        </w:rPr>
        <w:lastRenderedPageBreak/>
        <w:t>Recommendations</w:t>
      </w:r>
    </w:p>
    <w:p w14:paraId="75E11485" w14:textId="77777777" w:rsidR="001556F0" w:rsidRDefault="001556F0" w:rsidP="001556F0">
      <w:pPr>
        <w:pStyle w:val="ListParagraph"/>
        <w:numPr>
          <w:ilvl w:val="2"/>
          <w:numId w:val="8"/>
        </w:numPr>
        <w:spacing w:line="264" w:lineRule="auto"/>
        <w:ind w:left="1400" w:hanging="680"/>
        <w:rPr>
          <w:rFonts w:cs="Arial"/>
        </w:rPr>
      </w:pPr>
      <w:r w:rsidRPr="00D74798">
        <w:rPr>
          <w:rFonts w:cs="Arial"/>
        </w:rPr>
        <w:t xml:space="preserve">Given the heavy reliance on </w:t>
      </w:r>
      <w:r>
        <w:rPr>
          <w:rFonts w:cs="Arial"/>
        </w:rPr>
        <w:t xml:space="preserve">advice and </w:t>
      </w:r>
      <w:r w:rsidRPr="00D74798">
        <w:rPr>
          <w:rFonts w:cs="Arial"/>
        </w:rPr>
        <w:t xml:space="preserve">assessments provided by experts in </w:t>
      </w:r>
      <w:r>
        <w:rPr>
          <w:rFonts w:cs="Arial"/>
        </w:rPr>
        <w:t xml:space="preserve">a </w:t>
      </w:r>
      <w:r w:rsidRPr="00D74798">
        <w:rPr>
          <w:rFonts w:cs="Arial"/>
        </w:rPr>
        <w:t>project</w:t>
      </w:r>
      <w:r>
        <w:rPr>
          <w:rFonts w:cs="Arial"/>
        </w:rPr>
        <w:t>’s</w:t>
      </w:r>
      <w:r w:rsidRPr="00D74798">
        <w:rPr>
          <w:rFonts w:cs="Arial"/>
        </w:rPr>
        <w:t xml:space="preserve"> design, planning, construction and compliance decision-making, qualified experts used for assessment engagements should be ideally selected from an accredited panel or list. The panel or list could be maintained by the relevant responsible authority (or environmental regulator). Alternately, the panel or list could be maintained by a relevant industry body or association. </w:t>
      </w:r>
    </w:p>
    <w:p w14:paraId="56DD2AF3" w14:textId="77777777" w:rsidR="001556F0" w:rsidRPr="00D74798" w:rsidRDefault="001556F0" w:rsidP="001556F0">
      <w:pPr>
        <w:pStyle w:val="ListParagraph"/>
        <w:numPr>
          <w:ilvl w:val="2"/>
          <w:numId w:val="8"/>
        </w:numPr>
        <w:spacing w:line="264" w:lineRule="auto"/>
        <w:ind w:left="1400" w:hanging="680"/>
        <w:rPr>
          <w:rFonts w:cs="Arial"/>
        </w:rPr>
      </w:pPr>
      <w:r w:rsidRPr="00D74798">
        <w:rPr>
          <w:rFonts w:cs="Arial"/>
        </w:rPr>
        <w:t xml:space="preserve">To ensure independence and remove any real or perceived conflicts of interest, the expert organisation (or expert) selected to perform post-construction compliance assessments </w:t>
      </w:r>
      <w:r>
        <w:rPr>
          <w:rFonts w:cs="Arial"/>
        </w:rPr>
        <w:t xml:space="preserve">of </w:t>
      </w:r>
      <w:r w:rsidRPr="00D74798">
        <w:rPr>
          <w:rFonts w:cs="Arial"/>
        </w:rPr>
        <w:t xml:space="preserve">a </w:t>
      </w:r>
      <w:r>
        <w:rPr>
          <w:rFonts w:cs="Arial"/>
        </w:rPr>
        <w:t>project</w:t>
      </w:r>
      <w:r w:rsidRPr="00D74798">
        <w:rPr>
          <w:rFonts w:cs="Arial"/>
        </w:rPr>
        <w:t xml:space="preserve"> should be a different expert organisation (or expert) to the one engaged for the design</w:t>
      </w:r>
      <w:r>
        <w:rPr>
          <w:rFonts w:cs="Arial"/>
        </w:rPr>
        <w:t xml:space="preserve"> and predictive assessment </w:t>
      </w:r>
      <w:r w:rsidRPr="00D74798">
        <w:rPr>
          <w:rFonts w:cs="Arial"/>
        </w:rPr>
        <w:t>planning phase</w:t>
      </w:r>
      <w:r>
        <w:rPr>
          <w:rFonts w:cs="Arial"/>
        </w:rPr>
        <w:t>s</w:t>
      </w:r>
      <w:r w:rsidRPr="00D74798">
        <w:rPr>
          <w:rFonts w:cs="Arial"/>
        </w:rPr>
        <w:t xml:space="preserve"> of that </w:t>
      </w:r>
      <w:r>
        <w:rPr>
          <w:rFonts w:cs="Arial"/>
        </w:rPr>
        <w:t>project</w:t>
      </w:r>
      <w:r w:rsidRPr="00D74798">
        <w:rPr>
          <w:rFonts w:cs="Arial"/>
        </w:rPr>
        <w:t>.</w:t>
      </w:r>
    </w:p>
    <w:p w14:paraId="7DC59732"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Expert reports, assessments and techniques used for planning submissions, such as the predictive noise assessment, should be reviewed and assessed by an independent auditor, appointed or accredited by the responsible authority and/or relevant regulator. Further, expert reports prepared with respect to post-construction compliance should also be reviewed and assessed by a different, independent auditor, also appointed or accredited by the responsible authority and/or relevant regulator. </w:t>
      </w:r>
    </w:p>
    <w:p w14:paraId="20466116"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The appointed independent auditors (refer to Recommendation 6.2.3) should be suitably qualified, experienced and accredited, have the ability to assess the integrity and accuracy of the expert’s report and be able to identify and confirm compliance or non-compliance with the relevant permit conditions and/or prescribed standards.</w:t>
      </w:r>
    </w:p>
    <w:p w14:paraId="47074FA6"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Planning </w:t>
      </w:r>
      <w:r>
        <w:rPr>
          <w:rFonts w:cs="Arial"/>
        </w:rPr>
        <w:t xml:space="preserve">permit </w:t>
      </w:r>
      <w:r w:rsidRPr="00FC45E9">
        <w:rPr>
          <w:rFonts w:cs="Arial"/>
        </w:rPr>
        <w:t xml:space="preserve">approval processes should carefully take into account the advice of </w:t>
      </w:r>
      <w:r>
        <w:rPr>
          <w:rFonts w:cs="Arial"/>
        </w:rPr>
        <w:t xml:space="preserve">independent </w:t>
      </w:r>
      <w:r w:rsidRPr="00FC45E9">
        <w:rPr>
          <w:rFonts w:cs="Arial"/>
        </w:rPr>
        <w:t>auditors and</w:t>
      </w:r>
      <w:r>
        <w:rPr>
          <w:rFonts w:cs="Arial"/>
        </w:rPr>
        <w:t>/or</w:t>
      </w:r>
      <w:r w:rsidRPr="00FC45E9">
        <w:rPr>
          <w:rFonts w:cs="Arial"/>
        </w:rPr>
        <w:t xml:space="preserve"> referral agencies, such as CASA, before deciding on whether to approve a project. </w:t>
      </w:r>
      <w:r>
        <w:rPr>
          <w:rFonts w:cs="Arial"/>
        </w:rPr>
        <w:t>Where appropriate</w:t>
      </w:r>
      <w:r w:rsidRPr="00FC45E9">
        <w:rPr>
          <w:rFonts w:cs="Arial"/>
        </w:rPr>
        <w:t>, designated authorities</w:t>
      </w:r>
      <w:r>
        <w:rPr>
          <w:rFonts w:cs="Arial"/>
        </w:rPr>
        <w:t xml:space="preserve"> (e.g. the relevant road authority)</w:t>
      </w:r>
      <w:r w:rsidRPr="00FC45E9">
        <w:rPr>
          <w:rFonts w:cs="Arial"/>
        </w:rPr>
        <w:t xml:space="preserve">, </w:t>
      </w:r>
      <w:r>
        <w:rPr>
          <w:rFonts w:cs="Arial"/>
        </w:rPr>
        <w:t xml:space="preserve">may be </w:t>
      </w:r>
      <w:r w:rsidRPr="00FC45E9">
        <w:rPr>
          <w:rFonts w:cs="Arial"/>
        </w:rPr>
        <w:t xml:space="preserve">deemed to be </w:t>
      </w:r>
      <w:r>
        <w:rPr>
          <w:rFonts w:cs="Arial"/>
        </w:rPr>
        <w:t xml:space="preserve">a </w:t>
      </w:r>
      <w:r w:rsidRPr="00FC45E9">
        <w:rPr>
          <w:rFonts w:cs="Arial"/>
        </w:rPr>
        <w:t>statutory referral agenc</w:t>
      </w:r>
      <w:r>
        <w:rPr>
          <w:rFonts w:cs="Arial"/>
        </w:rPr>
        <w:t>y,</w:t>
      </w:r>
      <w:r w:rsidRPr="00FC45E9">
        <w:rPr>
          <w:rFonts w:cs="Arial"/>
        </w:rPr>
        <w:t xml:space="preserve"> whereby their advice and recommendations must be adhered to by the responsible planning authority. </w:t>
      </w:r>
    </w:p>
    <w:p w14:paraId="7E877828" w14:textId="77777777" w:rsidR="001556F0" w:rsidRPr="00FC45E9" w:rsidRDefault="001556F0" w:rsidP="001556F0">
      <w:pPr>
        <w:pStyle w:val="ListParagraph"/>
        <w:numPr>
          <w:ilvl w:val="0"/>
          <w:numId w:val="0"/>
        </w:numPr>
        <w:spacing w:line="264" w:lineRule="auto"/>
        <w:ind w:left="1400"/>
        <w:rPr>
          <w:rFonts w:cs="Arial"/>
        </w:rPr>
      </w:pPr>
    </w:p>
    <w:p w14:paraId="2E19831B" w14:textId="77777777" w:rsidR="001556F0" w:rsidRPr="00FC45E9" w:rsidRDefault="001556F0" w:rsidP="001556F0">
      <w:pPr>
        <w:pStyle w:val="Heading2"/>
        <w:numPr>
          <w:ilvl w:val="0"/>
          <w:numId w:val="8"/>
        </w:numPr>
      </w:pPr>
      <w:bookmarkStart w:id="47" w:name="_Toc51224054"/>
      <w:bookmarkStart w:id="48" w:name="_Toc84430835"/>
      <w:r w:rsidRPr="00FC45E9">
        <w:t>Complaint Handling and Emergency Procedures</w:t>
      </w:r>
      <w:bookmarkEnd w:id="47"/>
      <w:bookmarkEnd w:id="48"/>
    </w:p>
    <w:p w14:paraId="23C75DEE" w14:textId="77777777" w:rsidR="001556F0" w:rsidRPr="00FC45E9" w:rsidRDefault="001556F0" w:rsidP="001556F0">
      <w:pPr>
        <w:pStyle w:val="ListParagraph"/>
        <w:numPr>
          <w:ilvl w:val="1"/>
          <w:numId w:val="8"/>
        </w:numPr>
        <w:spacing w:line="264" w:lineRule="auto"/>
        <w:rPr>
          <w:rFonts w:cs="Arial"/>
          <w:b/>
        </w:rPr>
      </w:pPr>
      <w:r w:rsidRPr="00FC45E9">
        <w:rPr>
          <w:rFonts w:cs="Arial"/>
          <w:b/>
        </w:rPr>
        <w:t>Observations</w:t>
      </w:r>
    </w:p>
    <w:p w14:paraId="326B3300" w14:textId="77777777" w:rsidR="001556F0" w:rsidRPr="00BC5539" w:rsidRDefault="001556F0" w:rsidP="001556F0">
      <w:pPr>
        <w:pStyle w:val="ListParagraph"/>
        <w:numPr>
          <w:ilvl w:val="0"/>
          <w:numId w:val="0"/>
        </w:numPr>
        <w:spacing w:line="264" w:lineRule="auto"/>
        <w:ind w:left="360"/>
        <w:rPr>
          <w:rFonts w:cs="Arial"/>
          <w:b/>
        </w:rPr>
      </w:pPr>
      <w:r w:rsidRPr="00BC5539">
        <w:rPr>
          <w:rFonts w:cs="Arial"/>
          <w:b/>
        </w:rPr>
        <w:t xml:space="preserve">Complaint </w:t>
      </w:r>
      <w:r>
        <w:rPr>
          <w:rFonts w:cs="Arial"/>
          <w:b/>
        </w:rPr>
        <w:t>h</w:t>
      </w:r>
      <w:r w:rsidRPr="00BC5539">
        <w:rPr>
          <w:rFonts w:cs="Arial"/>
          <w:b/>
        </w:rPr>
        <w:t>andling</w:t>
      </w:r>
    </w:p>
    <w:p w14:paraId="55906209"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Wind </w:t>
      </w:r>
      <w:r>
        <w:rPr>
          <w:rFonts w:cs="Arial"/>
        </w:rPr>
        <w:t xml:space="preserve">and solar </w:t>
      </w:r>
      <w:r w:rsidRPr="00FC45E9">
        <w:rPr>
          <w:rFonts w:cs="Arial"/>
        </w:rPr>
        <w:t>farms are typically required to establish a complaint handling procedure</w:t>
      </w:r>
      <w:r>
        <w:rPr>
          <w:rFonts w:cs="Arial"/>
        </w:rPr>
        <w:t xml:space="preserve">, together with </w:t>
      </w:r>
      <w:r w:rsidRPr="00FC45E9">
        <w:rPr>
          <w:rFonts w:cs="Arial"/>
        </w:rPr>
        <w:t>supporting systems and processes</w:t>
      </w:r>
      <w:r>
        <w:rPr>
          <w:rFonts w:cs="Arial"/>
        </w:rPr>
        <w:t>,</w:t>
      </w:r>
      <w:r w:rsidRPr="00FC45E9">
        <w:rPr>
          <w:rFonts w:cs="Arial"/>
        </w:rPr>
        <w:t xml:space="preserve"> to comply with planning permit conditions. It is also common sense that the </w:t>
      </w:r>
      <w:r>
        <w:rPr>
          <w:rFonts w:cs="Arial"/>
        </w:rPr>
        <w:t>project</w:t>
      </w:r>
      <w:r w:rsidRPr="00FC45E9">
        <w:rPr>
          <w:rFonts w:cs="Arial"/>
        </w:rPr>
        <w:t xml:space="preserve"> </w:t>
      </w:r>
      <w:r>
        <w:rPr>
          <w:rFonts w:cs="Arial"/>
        </w:rPr>
        <w:t>is</w:t>
      </w:r>
      <w:r w:rsidRPr="00FC45E9">
        <w:rPr>
          <w:rFonts w:cs="Arial"/>
        </w:rPr>
        <w:t xml:space="preserve"> able to properly receive, investigate and resolve complaints as part of normal facility operations and effective community engagement.</w:t>
      </w:r>
    </w:p>
    <w:p w14:paraId="1F0DE7B6"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Complaint handling procedures are generally required to be submitted and endorsed by the responsible authority. However, currently, requirements for complaint procedures are often limited to noise and construction complaints only. </w:t>
      </w:r>
      <w:r>
        <w:rPr>
          <w:rFonts w:cs="Arial"/>
        </w:rPr>
        <w:t>In many cases, l</w:t>
      </w:r>
      <w:r w:rsidRPr="00FC45E9">
        <w:rPr>
          <w:rFonts w:cs="Arial"/>
        </w:rPr>
        <w:t>imited guidance is provided in permit conditions as to the process, scope, requirements and standards that the complaint handling procedure should adhere to.</w:t>
      </w:r>
    </w:p>
    <w:p w14:paraId="737EEEEE"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While </w:t>
      </w:r>
      <w:r>
        <w:rPr>
          <w:rFonts w:cs="Arial"/>
        </w:rPr>
        <w:t>many projects</w:t>
      </w:r>
      <w:r w:rsidRPr="00FC45E9">
        <w:rPr>
          <w:rFonts w:cs="Arial"/>
        </w:rPr>
        <w:t xml:space="preserve"> are likely to be compliant with the requirement to submit and have an endorsed complaint handling procedure, </w:t>
      </w:r>
      <w:r>
        <w:rPr>
          <w:rFonts w:cs="Arial"/>
        </w:rPr>
        <w:t xml:space="preserve">our </w:t>
      </w:r>
      <w:r w:rsidRPr="00FC45E9">
        <w:rPr>
          <w:rFonts w:cs="Arial"/>
        </w:rPr>
        <w:t xml:space="preserve">observations have been that a number of </w:t>
      </w:r>
      <w:r>
        <w:rPr>
          <w:rFonts w:cs="Arial"/>
        </w:rPr>
        <w:t>projects</w:t>
      </w:r>
      <w:r w:rsidRPr="00FC45E9">
        <w:rPr>
          <w:rFonts w:cs="Arial"/>
        </w:rPr>
        <w:t xml:space="preserve"> (or proponents) have not published the procedure or communicated the procedure to the community. This lack of transparency can make it difficult for community members to know how to make a complaint and the process by which they should expect their complaint to be handled.</w:t>
      </w:r>
    </w:p>
    <w:p w14:paraId="67A11B0B"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lastRenderedPageBreak/>
        <w:t xml:space="preserve">It is pleasing to see that many </w:t>
      </w:r>
      <w:r>
        <w:rPr>
          <w:rFonts w:cs="Arial"/>
        </w:rPr>
        <w:t>projects</w:t>
      </w:r>
      <w:r w:rsidRPr="00FC45E9">
        <w:rPr>
          <w:rFonts w:cs="Arial"/>
        </w:rPr>
        <w:t xml:space="preserve"> have adopted </w:t>
      </w:r>
      <w:r>
        <w:rPr>
          <w:rFonts w:cs="Arial"/>
        </w:rPr>
        <w:t>the Commissioner’s</w:t>
      </w:r>
      <w:r w:rsidRPr="00FC45E9">
        <w:rPr>
          <w:rFonts w:cs="Arial"/>
        </w:rPr>
        <w:t xml:space="preserve"> suggestions</w:t>
      </w:r>
      <w:r>
        <w:rPr>
          <w:rFonts w:cs="Arial"/>
        </w:rPr>
        <w:t xml:space="preserve">, making </w:t>
      </w:r>
      <w:r w:rsidRPr="00FC45E9">
        <w:rPr>
          <w:rFonts w:cs="Arial"/>
        </w:rPr>
        <w:t xml:space="preserve">their </w:t>
      </w:r>
      <w:r>
        <w:rPr>
          <w:rFonts w:cs="Arial"/>
        </w:rPr>
        <w:t xml:space="preserve">complaint handling </w:t>
      </w:r>
      <w:r w:rsidRPr="00FC45E9">
        <w:rPr>
          <w:rFonts w:cs="Arial"/>
        </w:rPr>
        <w:t>procedures transparent and available</w:t>
      </w:r>
      <w:r>
        <w:rPr>
          <w:rFonts w:cs="Arial"/>
        </w:rPr>
        <w:t xml:space="preserve"> and demonstrating c</w:t>
      </w:r>
      <w:r w:rsidRPr="00FC45E9">
        <w:rPr>
          <w:rFonts w:cs="Arial"/>
        </w:rPr>
        <w:t>ompliance with their processes for complaint handling. However, there are still further opportunities for proponents to ensure they are following their own documented procedures when handling complaints and avoid situations including:</w:t>
      </w:r>
    </w:p>
    <w:p w14:paraId="2A975521" w14:textId="77777777" w:rsidR="001556F0" w:rsidRPr="00FC45E9" w:rsidRDefault="001556F0" w:rsidP="007A1D42">
      <w:pPr>
        <w:pStyle w:val="ListParagraph"/>
        <w:numPr>
          <w:ilvl w:val="0"/>
          <w:numId w:val="17"/>
        </w:numPr>
        <w:spacing w:line="264" w:lineRule="auto"/>
        <w:rPr>
          <w:rFonts w:cs="Arial"/>
        </w:rPr>
      </w:pPr>
      <w:r>
        <w:rPr>
          <w:rFonts w:cs="Arial"/>
        </w:rPr>
        <w:t xml:space="preserve">projects </w:t>
      </w:r>
      <w:r w:rsidRPr="00FC45E9">
        <w:rPr>
          <w:rFonts w:cs="Arial"/>
        </w:rPr>
        <w:t>not following their own published procedure for handling complaints</w:t>
      </w:r>
    </w:p>
    <w:p w14:paraId="0AA9AE8E" w14:textId="77777777" w:rsidR="001556F0" w:rsidRPr="00FC45E9" w:rsidRDefault="001556F0" w:rsidP="007A1D42">
      <w:pPr>
        <w:pStyle w:val="ListParagraph"/>
        <w:numPr>
          <w:ilvl w:val="0"/>
          <w:numId w:val="17"/>
        </w:numPr>
        <w:spacing w:line="264" w:lineRule="auto"/>
        <w:rPr>
          <w:rFonts w:cs="Arial"/>
        </w:rPr>
      </w:pPr>
      <w:r>
        <w:rPr>
          <w:rFonts w:cs="Arial"/>
        </w:rPr>
        <w:t xml:space="preserve">projects </w:t>
      </w:r>
      <w:r w:rsidRPr="00FC45E9">
        <w:rPr>
          <w:rFonts w:cs="Arial"/>
        </w:rPr>
        <w:t xml:space="preserve">failing to internally escalate the complaint </w:t>
      </w:r>
      <w:r>
        <w:rPr>
          <w:rFonts w:cs="Arial"/>
        </w:rPr>
        <w:t xml:space="preserve">for review </w:t>
      </w:r>
      <w:r w:rsidRPr="00FC45E9">
        <w:rPr>
          <w:rFonts w:cs="Arial"/>
        </w:rPr>
        <w:t>when the complaint has not been resolved</w:t>
      </w:r>
    </w:p>
    <w:p w14:paraId="2A9A2FB7" w14:textId="77777777" w:rsidR="001556F0" w:rsidRPr="00FC45E9" w:rsidRDefault="001556F0" w:rsidP="007A1D42">
      <w:pPr>
        <w:pStyle w:val="ListParagraph"/>
        <w:numPr>
          <w:ilvl w:val="0"/>
          <w:numId w:val="17"/>
        </w:numPr>
        <w:spacing w:line="264" w:lineRule="auto"/>
        <w:rPr>
          <w:rFonts w:cs="Arial"/>
        </w:rPr>
      </w:pPr>
      <w:r w:rsidRPr="00FC45E9">
        <w:rPr>
          <w:rFonts w:cs="Arial"/>
        </w:rPr>
        <w:t>multiple complaints from a resident about the same issue</w:t>
      </w:r>
      <w:r>
        <w:rPr>
          <w:rFonts w:cs="Arial"/>
        </w:rPr>
        <w:t xml:space="preserve"> or issues</w:t>
      </w:r>
      <w:r w:rsidRPr="00FC45E9">
        <w:rPr>
          <w:rFonts w:cs="Arial"/>
        </w:rPr>
        <w:t xml:space="preserve"> – with no visible action being taken by the </w:t>
      </w:r>
      <w:r>
        <w:rPr>
          <w:rFonts w:cs="Arial"/>
        </w:rPr>
        <w:t xml:space="preserve">proponent </w:t>
      </w:r>
      <w:r w:rsidRPr="00FC45E9">
        <w:rPr>
          <w:rFonts w:cs="Arial"/>
        </w:rPr>
        <w:t>to investigate or resolve</w:t>
      </w:r>
    </w:p>
    <w:p w14:paraId="782546CF" w14:textId="77777777" w:rsidR="001556F0" w:rsidRDefault="001556F0" w:rsidP="007A1D42">
      <w:pPr>
        <w:pStyle w:val="ListParagraph"/>
        <w:numPr>
          <w:ilvl w:val="0"/>
          <w:numId w:val="17"/>
        </w:numPr>
        <w:spacing w:line="264" w:lineRule="auto"/>
        <w:rPr>
          <w:rFonts w:cs="Arial"/>
        </w:rPr>
      </w:pPr>
      <w:r w:rsidRPr="00FC45E9">
        <w:rPr>
          <w:rFonts w:cs="Arial"/>
        </w:rPr>
        <w:t xml:space="preserve">a lack of rigour </w:t>
      </w:r>
      <w:r>
        <w:rPr>
          <w:rFonts w:cs="Arial"/>
        </w:rPr>
        <w:t xml:space="preserve">or process </w:t>
      </w:r>
      <w:r w:rsidRPr="00FC45E9">
        <w:rPr>
          <w:rFonts w:cs="Arial"/>
        </w:rPr>
        <w:t xml:space="preserve">in </w:t>
      </w:r>
      <w:r>
        <w:rPr>
          <w:rFonts w:cs="Arial"/>
        </w:rPr>
        <w:t xml:space="preserve">complaint </w:t>
      </w:r>
      <w:r w:rsidRPr="00FC45E9">
        <w:rPr>
          <w:rFonts w:cs="Arial"/>
        </w:rPr>
        <w:t>investigations</w:t>
      </w:r>
      <w:r>
        <w:rPr>
          <w:rFonts w:cs="Arial"/>
        </w:rPr>
        <w:t xml:space="preserve"> and poor clarity in correspondence to the complainant</w:t>
      </w:r>
    </w:p>
    <w:p w14:paraId="491A7067" w14:textId="77777777" w:rsidR="001556F0" w:rsidRPr="00FC45E9" w:rsidRDefault="001556F0" w:rsidP="007A1D42">
      <w:pPr>
        <w:pStyle w:val="ListParagraph"/>
        <w:numPr>
          <w:ilvl w:val="0"/>
          <w:numId w:val="17"/>
        </w:numPr>
        <w:spacing w:line="264" w:lineRule="auto"/>
        <w:rPr>
          <w:rFonts w:cs="Arial"/>
        </w:rPr>
      </w:pPr>
      <w:r>
        <w:rPr>
          <w:rFonts w:cs="Arial"/>
        </w:rPr>
        <w:t xml:space="preserve">complaints remaining open when they should have been closed, </w:t>
      </w:r>
      <w:r w:rsidRPr="00FC45E9">
        <w:rPr>
          <w:rFonts w:cs="Arial"/>
        </w:rPr>
        <w:t>and</w:t>
      </w:r>
    </w:p>
    <w:p w14:paraId="16570D57" w14:textId="77777777" w:rsidR="001556F0" w:rsidRPr="00FC45E9" w:rsidRDefault="001556F0" w:rsidP="007A1D42">
      <w:pPr>
        <w:pStyle w:val="ListParagraph"/>
        <w:numPr>
          <w:ilvl w:val="0"/>
          <w:numId w:val="17"/>
        </w:numPr>
        <w:spacing w:line="264" w:lineRule="auto"/>
        <w:rPr>
          <w:rFonts w:cs="Arial"/>
        </w:rPr>
      </w:pPr>
      <w:r w:rsidRPr="00FC45E9">
        <w:rPr>
          <w:rFonts w:cs="Arial"/>
        </w:rPr>
        <w:t xml:space="preserve">a lack of clarity regarding next steps in the </w:t>
      </w:r>
      <w:r>
        <w:rPr>
          <w:rFonts w:cs="Arial"/>
        </w:rPr>
        <w:t xml:space="preserve">complaint handling </w:t>
      </w:r>
      <w:r w:rsidRPr="00FC45E9">
        <w:rPr>
          <w:rFonts w:cs="Arial"/>
        </w:rPr>
        <w:t xml:space="preserve">process </w:t>
      </w:r>
      <w:r>
        <w:rPr>
          <w:rFonts w:cs="Arial"/>
        </w:rPr>
        <w:t xml:space="preserve">– leading </w:t>
      </w:r>
      <w:r w:rsidRPr="00FC45E9">
        <w:rPr>
          <w:rFonts w:cs="Arial"/>
        </w:rPr>
        <w:t>to numerous complaints that remain unresolved and/or not closed.</w:t>
      </w:r>
    </w:p>
    <w:p w14:paraId="24A787FE" w14:textId="77777777" w:rsidR="001556F0" w:rsidRPr="00FC45E9" w:rsidRDefault="001556F0" w:rsidP="001556F0">
      <w:pPr>
        <w:pStyle w:val="ListParagraph"/>
        <w:numPr>
          <w:ilvl w:val="0"/>
          <w:numId w:val="0"/>
        </w:numPr>
        <w:spacing w:line="264" w:lineRule="auto"/>
        <w:ind w:left="360"/>
        <w:rPr>
          <w:rFonts w:cs="Arial"/>
        </w:rPr>
      </w:pPr>
      <w:r>
        <w:rPr>
          <w:rFonts w:cs="Arial"/>
        </w:rPr>
        <w:t>T</w:t>
      </w:r>
      <w:r w:rsidRPr="00FC45E9">
        <w:rPr>
          <w:rFonts w:cs="Arial"/>
        </w:rPr>
        <w:t xml:space="preserve">here is also a wide range of </w:t>
      </w:r>
      <w:r>
        <w:rPr>
          <w:rFonts w:cs="Arial"/>
        </w:rPr>
        <w:t xml:space="preserve">project </w:t>
      </w:r>
      <w:r w:rsidRPr="00FC45E9">
        <w:rPr>
          <w:rFonts w:cs="Arial"/>
        </w:rPr>
        <w:t xml:space="preserve">complaint handling procedures in place that vary by </w:t>
      </w:r>
      <w:r>
        <w:rPr>
          <w:rFonts w:cs="Arial"/>
        </w:rPr>
        <w:t xml:space="preserve">proponent </w:t>
      </w:r>
      <w:r w:rsidRPr="00FC45E9">
        <w:rPr>
          <w:rFonts w:cs="Arial"/>
        </w:rPr>
        <w:t xml:space="preserve">and project, </w:t>
      </w:r>
      <w:r>
        <w:rPr>
          <w:rFonts w:cs="Arial"/>
        </w:rPr>
        <w:t xml:space="preserve">often </w:t>
      </w:r>
      <w:r w:rsidRPr="00FC45E9">
        <w:rPr>
          <w:rFonts w:cs="Arial"/>
        </w:rPr>
        <w:t xml:space="preserve">resulting in a </w:t>
      </w:r>
      <w:r>
        <w:rPr>
          <w:rFonts w:cs="Arial"/>
        </w:rPr>
        <w:t xml:space="preserve">mix </w:t>
      </w:r>
      <w:r w:rsidRPr="00FC45E9">
        <w:rPr>
          <w:rFonts w:cs="Arial"/>
        </w:rPr>
        <w:t>of consistency in the quality and effectiveness of the procedures. A</w:t>
      </w:r>
      <w:r>
        <w:rPr>
          <w:rFonts w:cs="Arial"/>
        </w:rPr>
        <w:t>l</w:t>
      </w:r>
      <w:r w:rsidRPr="00FC45E9">
        <w:rPr>
          <w:rFonts w:cs="Arial"/>
        </w:rPr>
        <w:t>s</w:t>
      </w:r>
      <w:r>
        <w:rPr>
          <w:rFonts w:cs="Arial"/>
        </w:rPr>
        <w:t>o,</w:t>
      </w:r>
      <w:r w:rsidRPr="00FC45E9">
        <w:rPr>
          <w:rFonts w:cs="Arial"/>
        </w:rPr>
        <w:t xml:space="preserve"> </w:t>
      </w:r>
      <w:r>
        <w:rPr>
          <w:rFonts w:cs="Arial"/>
        </w:rPr>
        <w:t xml:space="preserve">project </w:t>
      </w:r>
      <w:r w:rsidRPr="00FC45E9">
        <w:rPr>
          <w:rFonts w:cs="Arial"/>
        </w:rPr>
        <w:t xml:space="preserve">operators </w:t>
      </w:r>
      <w:r>
        <w:rPr>
          <w:rFonts w:cs="Arial"/>
        </w:rPr>
        <w:t>may</w:t>
      </w:r>
      <w:r w:rsidRPr="00FC45E9">
        <w:rPr>
          <w:rFonts w:cs="Arial"/>
        </w:rPr>
        <w:t xml:space="preserve"> </w:t>
      </w:r>
      <w:r>
        <w:rPr>
          <w:rFonts w:cs="Arial"/>
        </w:rPr>
        <w:t xml:space="preserve">possess varying degrees of </w:t>
      </w:r>
      <w:r w:rsidRPr="00FC45E9">
        <w:rPr>
          <w:rFonts w:cs="Arial"/>
        </w:rPr>
        <w:t>complaint handling skills</w:t>
      </w:r>
      <w:r>
        <w:rPr>
          <w:rFonts w:cs="Arial"/>
        </w:rPr>
        <w:t>.</w:t>
      </w:r>
      <w:r w:rsidRPr="00FC45E9">
        <w:rPr>
          <w:rFonts w:cs="Arial"/>
        </w:rPr>
        <w:t xml:space="preserve"> </w:t>
      </w:r>
      <w:r>
        <w:rPr>
          <w:rFonts w:cs="Arial"/>
        </w:rPr>
        <w:t xml:space="preserve">As such, </w:t>
      </w:r>
      <w:r w:rsidRPr="00FC45E9">
        <w:rPr>
          <w:rFonts w:cs="Arial"/>
        </w:rPr>
        <w:t>there continue to be further opportunities to improve the capability of staff and effectiveness of the industry’s complaint handling procedures</w:t>
      </w:r>
      <w:r>
        <w:rPr>
          <w:rFonts w:cs="Arial"/>
        </w:rPr>
        <w:t>.</w:t>
      </w:r>
    </w:p>
    <w:p w14:paraId="4A18D664" w14:textId="77777777" w:rsidR="001556F0" w:rsidRPr="00FC45E9" w:rsidRDefault="001556F0" w:rsidP="001556F0">
      <w:pPr>
        <w:pStyle w:val="ListParagraph"/>
        <w:numPr>
          <w:ilvl w:val="0"/>
          <w:numId w:val="0"/>
        </w:numPr>
        <w:spacing w:line="264" w:lineRule="auto"/>
        <w:ind w:left="360"/>
        <w:rPr>
          <w:rFonts w:cs="Arial"/>
        </w:rPr>
      </w:pPr>
      <w:r>
        <w:rPr>
          <w:rFonts w:cs="Arial"/>
        </w:rPr>
        <w:t>The Commissioner</w:t>
      </w:r>
      <w:r w:rsidRPr="00FC45E9">
        <w:rPr>
          <w:rFonts w:cs="Arial"/>
        </w:rPr>
        <w:t xml:space="preserve"> </w:t>
      </w:r>
      <w:r>
        <w:rPr>
          <w:rFonts w:cs="Arial"/>
        </w:rPr>
        <w:t>has</w:t>
      </w:r>
      <w:r w:rsidRPr="00FC45E9">
        <w:rPr>
          <w:rFonts w:cs="Arial"/>
        </w:rPr>
        <w:t xml:space="preserve"> </w:t>
      </w:r>
      <w:r>
        <w:rPr>
          <w:rFonts w:cs="Arial"/>
        </w:rPr>
        <w:t xml:space="preserve">successfully </w:t>
      </w:r>
      <w:r w:rsidRPr="00FC45E9">
        <w:rPr>
          <w:rFonts w:cs="Arial"/>
        </w:rPr>
        <w:t>encouraged a number of developers and operators to voluntarily publish their complaint handling procedures on the</w:t>
      </w:r>
      <w:r>
        <w:rPr>
          <w:rFonts w:cs="Arial"/>
        </w:rPr>
        <w:t xml:space="preserve">ir project </w:t>
      </w:r>
      <w:r w:rsidRPr="00FC45E9">
        <w:rPr>
          <w:rFonts w:cs="Arial"/>
        </w:rPr>
        <w:t xml:space="preserve">website. Many </w:t>
      </w:r>
      <w:r>
        <w:rPr>
          <w:rFonts w:cs="Arial"/>
        </w:rPr>
        <w:t>proponents</w:t>
      </w:r>
      <w:r w:rsidRPr="00FC45E9">
        <w:rPr>
          <w:rFonts w:cs="Arial"/>
        </w:rPr>
        <w:t xml:space="preserve"> have now complied with this request. Some proponents have also revised their complaint handling procedures as a result of discussions with </w:t>
      </w:r>
      <w:r>
        <w:rPr>
          <w:rFonts w:cs="Arial"/>
        </w:rPr>
        <w:t>the</w:t>
      </w:r>
      <w:r w:rsidRPr="00FC45E9">
        <w:rPr>
          <w:rFonts w:cs="Arial"/>
        </w:rPr>
        <w:t xml:space="preserve"> Office. The </w:t>
      </w:r>
      <w:r>
        <w:rPr>
          <w:rFonts w:cs="Arial"/>
        </w:rPr>
        <w:t>Commissioner</w:t>
      </w:r>
      <w:r w:rsidRPr="00FC45E9">
        <w:rPr>
          <w:rFonts w:cs="Arial"/>
        </w:rPr>
        <w:t xml:space="preserve"> continues to make suggestions to improve existing complaint handling procedures to the many industry members who have sought assistance</w:t>
      </w:r>
      <w:r>
        <w:rPr>
          <w:rFonts w:cs="Arial"/>
        </w:rPr>
        <w:t xml:space="preserve"> from the Office</w:t>
      </w:r>
      <w:r w:rsidRPr="00FC45E9">
        <w:rPr>
          <w:rFonts w:cs="Arial"/>
        </w:rPr>
        <w:t>.</w:t>
      </w:r>
      <w:r>
        <w:rPr>
          <w:rFonts w:cs="Arial"/>
        </w:rPr>
        <w:t xml:space="preserve"> Proponents also often seek assistance from the Office on suggestions for handling specific complaints that they may be dealing with.</w:t>
      </w:r>
    </w:p>
    <w:p w14:paraId="35E5A03B" w14:textId="77777777" w:rsidR="001556F0" w:rsidRPr="00BC5539" w:rsidRDefault="001556F0" w:rsidP="001556F0">
      <w:pPr>
        <w:pStyle w:val="ListParagraph"/>
        <w:numPr>
          <w:ilvl w:val="0"/>
          <w:numId w:val="0"/>
        </w:numPr>
        <w:spacing w:line="264" w:lineRule="auto"/>
        <w:ind w:left="360"/>
        <w:rPr>
          <w:rFonts w:cs="Arial"/>
          <w:b/>
        </w:rPr>
      </w:pPr>
      <w:r w:rsidRPr="00BC5539">
        <w:rPr>
          <w:rFonts w:cs="Arial"/>
          <w:b/>
        </w:rPr>
        <w:t>Noise considerations</w:t>
      </w:r>
    </w:p>
    <w:p w14:paraId="4540D279"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While objective measures and standards are used to determine compliance with noise restrictions, it is also evident that there is further scope to investigate complaints relating to noise emissions from turbines and other infrastructure. In assessing noise-related complaints, the objective ‘tests’ currently in place do not necessarily capture the tonal character of noise emissions that a complainant may be experiencing. For instance, maintenance or operating issues with infrastructure (such as a turbine or a substation transformer) may lead to harmonic frequencies that produce a harsher tone to the human ear. While this is not typically represented in noise assessment data, contemporary noise measurement or recording devices can be used to indicate that the tonal character of a particular noise emission may reasonably be considered to be disturbing or offensive to a complainant.</w:t>
      </w:r>
    </w:p>
    <w:p w14:paraId="62D73A08"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Other events can cause abnormal noise annoyance from wind turbines. These include loose bolts, </w:t>
      </w:r>
      <w:r>
        <w:rPr>
          <w:rFonts w:cs="Arial"/>
        </w:rPr>
        <w:t xml:space="preserve">whining gearboxes, </w:t>
      </w:r>
      <w:r w:rsidRPr="00FC45E9">
        <w:rPr>
          <w:rFonts w:cs="Arial"/>
        </w:rPr>
        <w:t xml:space="preserve">lack of greasing of the rotating nacelle </w:t>
      </w:r>
      <w:r>
        <w:rPr>
          <w:rFonts w:cs="Arial"/>
        </w:rPr>
        <w:t xml:space="preserve">causing a screeching noise </w:t>
      </w:r>
      <w:r w:rsidRPr="00FC45E9">
        <w:rPr>
          <w:rFonts w:cs="Arial"/>
        </w:rPr>
        <w:t xml:space="preserve">during the yaw </w:t>
      </w:r>
      <w:r>
        <w:rPr>
          <w:rFonts w:cs="Arial"/>
        </w:rPr>
        <w:t xml:space="preserve">breaking </w:t>
      </w:r>
      <w:r w:rsidRPr="00FC45E9">
        <w:rPr>
          <w:rFonts w:cs="Arial"/>
        </w:rPr>
        <w:t xml:space="preserve">process and lightning strike of a blade </w:t>
      </w:r>
      <w:r>
        <w:rPr>
          <w:rFonts w:cs="Arial"/>
        </w:rPr>
        <w:t xml:space="preserve">tip </w:t>
      </w:r>
      <w:r w:rsidRPr="00FC45E9">
        <w:rPr>
          <w:rFonts w:cs="Arial"/>
        </w:rPr>
        <w:t xml:space="preserve">(piercing a hole in the turbine blade that causes a high-pitched whistling sound). These situations require a rapid response to a complaint and it is in everyone’s interest that the </w:t>
      </w:r>
      <w:r>
        <w:rPr>
          <w:rFonts w:cs="Arial"/>
        </w:rPr>
        <w:t>asset</w:t>
      </w:r>
      <w:r w:rsidRPr="00FC45E9">
        <w:rPr>
          <w:rFonts w:cs="Arial"/>
        </w:rPr>
        <w:t xml:space="preserve"> be repaired and the noise emission rectified.</w:t>
      </w:r>
    </w:p>
    <w:p w14:paraId="27968172" w14:textId="77777777" w:rsidR="00F11384" w:rsidRDefault="00F11384" w:rsidP="001556F0">
      <w:pPr>
        <w:pStyle w:val="ListParagraph"/>
        <w:numPr>
          <w:ilvl w:val="0"/>
          <w:numId w:val="0"/>
        </w:numPr>
        <w:spacing w:line="264" w:lineRule="auto"/>
        <w:ind w:left="360"/>
        <w:rPr>
          <w:rFonts w:cs="Arial"/>
          <w:b/>
        </w:rPr>
      </w:pPr>
    </w:p>
    <w:p w14:paraId="53F0AAAF" w14:textId="77777777" w:rsidR="00F11384" w:rsidRDefault="00F11384" w:rsidP="001556F0">
      <w:pPr>
        <w:pStyle w:val="ListParagraph"/>
        <w:numPr>
          <w:ilvl w:val="0"/>
          <w:numId w:val="0"/>
        </w:numPr>
        <w:spacing w:line="264" w:lineRule="auto"/>
        <w:ind w:left="360"/>
        <w:rPr>
          <w:rFonts w:cs="Arial"/>
          <w:b/>
        </w:rPr>
      </w:pPr>
    </w:p>
    <w:p w14:paraId="75DA2915" w14:textId="77777777" w:rsidR="001556F0" w:rsidRPr="00BC5539" w:rsidRDefault="001556F0" w:rsidP="001556F0">
      <w:pPr>
        <w:pStyle w:val="ListParagraph"/>
        <w:numPr>
          <w:ilvl w:val="0"/>
          <w:numId w:val="0"/>
        </w:numPr>
        <w:spacing w:line="264" w:lineRule="auto"/>
        <w:ind w:left="360"/>
        <w:rPr>
          <w:rFonts w:cs="Arial"/>
          <w:b/>
        </w:rPr>
      </w:pPr>
      <w:r w:rsidRPr="00BC5539">
        <w:rPr>
          <w:rFonts w:cs="Arial"/>
          <w:b/>
        </w:rPr>
        <w:lastRenderedPageBreak/>
        <w:t>Permit requirements</w:t>
      </w:r>
      <w:r>
        <w:rPr>
          <w:rFonts w:cs="Arial"/>
          <w:b/>
        </w:rPr>
        <w:t xml:space="preserve"> and complaint avenues</w:t>
      </w:r>
    </w:p>
    <w:p w14:paraId="4D670536"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Following </w:t>
      </w:r>
      <w:r>
        <w:rPr>
          <w:rFonts w:cs="Arial"/>
        </w:rPr>
        <w:t>the Commissioner’s</w:t>
      </w:r>
      <w:r w:rsidRPr="00FC45E9">
        <w:rPr>
          <w:rFonts w:cs="Arial"/>
        </w:rPr>
        <w:t xml:space="preserve"> discussions with the relevant Minister and Department, the Victorian Government moved quickly to introduce additional permit conditions related to complaint handling procedures and transparency based on </w:t>
      </w:r>
      <w:r>
        <w:rPr>
          <w:rFonts w:cs="Arial"/>
        </w:rPr>
        <w:t xml:space="preserve">the Commissioner’s </w:t>
      </w:r>
      <w:r w:rsidRPr="00FC45E9">
        <w:rPr>
          <w:rFonts w:cs="Arial"/>
        </w:rPr>
        <w:t xml:space="preserve">initial observations and recommendations. </w:t>
      </w:r>
      <w:r>
        <w:rPr>
          <w:rFonts w:cs="Arial"/>
        </w:rPr>
        <w:t>It is understood that</w:t>
      </w:r>
      <w:r w:rsidRPr="00FC45E9">
        <w:rPr>
          <w:rFonts w:cs="Arial"/>
        </w:rPr>
        <w:t xml:space="preserve"> these additional conditions have been applied to both new, renewed and modified planning permits issued for wind farms in Victoria.</w:t>
      </w:r>
    </w:p>
    <w:p w14:paraId="043FC8C1" w14:textId="0A3195C6" w:rsidR="001556F0" w:rsidRDefault="001556F0" w:rsidP="001556F0">
      <w:pPr>
        <w:pStyle w:val="ListParagraph"/>
        <w:numPr>
          <w:ilvl w:val="0"/>
          <w:numId w:val="0"/>
        </w:numPr>
        <w:spacing w:line="264" w:lineRule="auto"/>
        <w:ind w:left="360"/>
        <w:rPr>
          <w:rFonts w:cs="Arial"/>
        </w:rPr>
      </w:pPr>
      <w:r w:rsidRPr="00FC45E9">
        <w:rPr>
          <w:rFonts w:cs="Arial"/>
        </w:rPr>
        <w:t xml:space="preserve">There may also be other avenues for complaints to be lodged by residents in proximity to a </w:t>
      </w:r>
      <w:r>
        <w:rPr>
          <w:rFonts w:cs="Arial"/>
        </w:rPr>
        <w:t>project.</w:t>
      </w:r>
      <w:r w:rsidRPr="00FC45E9">
        <w:rPr>
          <w:rFonts w:cs="Arial"/>
        </w:rPr>
        <w:t xml:space="preserve"> In Victoria, complaints about ‘noise nuisance’ can </w:t>
      </w:r>
      <w:r>
        <w:rPr>
          <w:rFonts w:cs="Arial"/>
        </w:rPr>
        <w:t xml:space="preserve">currently </w:t>
      </w:r>
      <w:r w:rsidRPr="00FC45E9">
        <w:rPr>
          <w:rFonts w:cs="Arial"/>
        </w:rPr>
        <w:t xml:space="preserve">be lodged </w:t>
      </w:r>
      <w:r>
        <w:rPr>
          <w:rFonts w:cs="Arial"/>
        </w:rPr>
        <w:t>with</w:t>
      </w:r>
      <w:r w:rsidRPr="00FC45E9">
        <w:rPr>
          <w:rFonts w:cs="Arial"/>
        </w:rPr>
        <w:t xml:space="preserve"> local government under the </w:t>
      </w:r>
      <w:r w:rsidRPr="00FC45E9">
        <w:rPr>
          <w:rFonts w:cs="Arial"/>
          <w:i/>
        </w:rPr>
        <w:t>P</w:t>
      </w:r>
      <w:r>
        <w:rPr>
          <w:rFonts w:cs="Arial"/>
          <w:i/>
        </w:rPr>
        <w:t xml:space="preserve">ublic Health and Wellbeing Act </w:t>
      </w:r>
      <w:r w:rsidRPr="00FC45E9">
        <w:rPr>
          <w:rFonts w:cs="Arial"/>
          <w:i/>
        </w:rPr>
        <w:t>2008</w:t>
      </w:r>
      <w:r>
        <w:rPr>
          <w:rFonts w:cs="Arial"/>
          <w:i/>
        </w:rPr>
        <w:t xml:space="preserve"> (Victoria)</w:t>
      </w:r>
      <w:r w:rsidRPr="00FC45E9">
        <w:rPr>
          <w:rFonts w:cs="Arial"/>
        </w:rPr>
        <w:t xml:space="preserve">. Councils </w:t>
      </w:r>
      <w:r>
        <w:rPr>
          <w:rFonts w:cs="Arial"/>
        </w:rPr>
        <w:t>should</w:t>
      </w:r>
      <w:r w:rsidRPr="00FC45E9">
        <w:rPr>
          <w:rFonts w:cs="Arial"/>
        </w:rPr>
        <w:t xml:space="preserve"> be fully aware of their responsibilities under this Act and ensure they have appropriate documented procedures to receive and handle complaints in the case they are lodged under this legislation. </w:t>
      </w:r>
      <w:r>
        <w:rPr>
          <w:rFonts w:cs="Arial"/>
        </w:rPr>
        <w:t xml:space="preserve">Further, the </w:t>
      </w:r>
      <w:r w:rsidRPr="005404E2">
        <w:rPr>
          <w:rFonts w:cs="Arial"/>
          <w:i/>
          <w:iCs/>
        </w:rPr>
        <w:t>Environment Protection Amendment Act 2018 (Victoria)</w:t>
      </w:r>
      <w:r>
        <w:rPr>
          <w:rFonts w:cs="Arial"/>
        </w:rPr>
        <w:t xml:space="preserve"> </w:t>
      </w:r>
      <w:r w:rsidR="009110A8">
        <w:rPr>
          <w:rFonts w:cs="Arial"/>
        </w:rPr>
        <w:t xml:space="preserve">is expected to </w:t>
      </w:r>
      <w:r>
        <w:rPr>
          <w:rFonts w:cs="Arial"/>
        </w:rPr>
        <w:t xml:space="preserve">come into force in </w:t>
      </w:r>
      <w:r w:rsidR="009110A8">
        <w:rPr>
          <w:rFonts w:cs="Arial"/>
        </w:rPr>
        <w:t xml:space="preserve">2021 </w:t>
      </w:r>
      <w:r>
        <w:rPr>
          <w:rFonts w:cs="Arial"/>
        </w:rPr>
        <w:t>and may provide additional options for residents to raise complaints about ‘unreasonable noise’ and allege breaches of the general environmental duty that is central to the legislation.</w:t>
      </w:r>
    </w:p>
    <w:p w14:paraId="1E054951" w14:textId="77777777" w:rsidR="001556F0" w:rsidRPr="00FC45E9" w:rsidRDefault="001556F0" w:rsidP="001556F0">
      <w:pPr>
        <w:pStyle w:val="ListParagraph"/>
        <w:numPr>
          <w:ilvl w:val="0"/>
          <w:numId w:val="0"/>
        </w:numPr>
        <w:spacing w:line="264" w:lineRule="auto"/>
        <w:ind w:left="360"/>
        <w:rPr>
          <w:rFonts w:cs="Arial"/>
        </w:rPr>
      </w:pPr>
      <w:r>
        <w:rPr>
          <w:rFonts w:cs="Arial"/>
        </w:rPr>
        <w:t xml:space="preserve">Victoria has also initiated changes to wind farm noise regulation, moving investigative responsibilities from local councils to the state-based Environment Protection Authority, effective 1 July 2021. These new arrangements are similar to the regime that has been in place in New South Wales since 2013. Victoria has also passed legislation to exclude wind farms from the nuisance provisions of the </w:t>
      </w:r>
      <w:r w:rsidRPr="00AF5290">
        <w:rPr>
          <w:rFonts w:cs="Arial"/>
          <w:i/>
        </w:rPr>
        <w:t>Public Health and Wellbeing Act 2008</w:t>
      </w:r>
      <w:r>
        <w:rPr>
          <w:rFonts w:cs="Arial"/>
          <w:i/>
        </w:rPr>
        <w:t xml:space="preserve"> </w:t>
      </w:r>
      <w:r w:rsidRPr="008A240A">
        <w:rPr>
          <w:rFonts w:cs="Arial"/>
        </w:rPr>
        <w:t>(Victoria)</w:t>
      </w:r>
      <w:r>
        <w:rPr>
          <w:rFonts w:cs="Arial"/>
        </w:rPr>
        <w:t xml:space="preserve">, effective 1 July 2021. Going forward, community members in Victoria can lodge noise complaints about operating wind farms to the wind farm operator, the EPA, our Office or in pursuit of a breach of compliance legal action in the judicial system. </w:t>
      </w:r>
    </w:p>
    <w:p w14:paraId="4BDA5A8D" w14:textId="77777777" w:rsidR="001556F0" w:rsidRPr="00940170" w:rsidRDefault="001556F0" w:rsidP="001556F0">
      <w:pPr>
        <w:pStyle w:val="ListParagraph"/>
        <w:numPr>
          <w:ilvl w:val="0"/>
          <w:numId w:val="0"/>
        </w:numPr>
        <w:spacing w:line="264" w:lineRule="auto"/>
        <w:ind w:left="360"/>
        <w:rPr>
          <w:rFonts w:cs="Arial"/>
        </w:rPr>
      </w:pPr>
      <w:r w:rsidRPr="00FC45E9">
        <w:rPr>
          <w:rFonts w:cs="Arial"/>
        </w:rPr>
        <w:t xml:space="preserve">Finally, industry bodies such as the CEC may have a key role to play in leading the development and promotion of consistent, best practice complaint handling models and procedures for the </w:t>
      </w:r>
      <w:r>
        <w:rPr>
          <w:rFonts w:cs="Arial"/>
        </w:rPr>
        <w:t xml:space="preserve">renewable </w:t>
      </w:r>
      <w:r w:rsidRPr="00FC45E9">
        <w:rPr>
          <w:rFonts w:cs="Arial"/>
        </w:rPr>
        <w:t>energy industry that can be adopted by industry members</w:t>
      </w:r>
      <w:r>
        <w:rPr>
          <w:rFonts w:cs="Arial"/>
        </w:rPr>
        <w:t>,</w:t>
      </w:r>
      <w:r w:rsidRPr="00FC45E9">
        <w:rPr>
          <w:rFonts w:cs="Arial"/>
        </w:rPr>
        <w:t xml:space="preserve"> configured for their specific operations.</w:t>
      </w:r>
    </w:p>
    <w:p w14:paraId="12D0C0EC" w14:textId="77777777" w:rsidR="001556F0" w:rsidRPr="00BC5539" w:rsidRDefault="001556F0" w:rsidP="001556F0">
      <w:pPr>
        <w:pStyle w:val="ListParagraph"/>
        <w:numPr>
          <w:ilvl w:val="0"/>
          <w:numId w:val="0"/>
        </w:numPr>
        <w:spacing w:line="264" w:lineRule="auto"/>
        <w:ind w:left="360"/>
        <w:rPr>
          <w:rFonts w:cs="Arial"/>
          <w:b/>
        </w:rPr>
      </w:pPr>
      <w:r w:rsidRPr="00BC5539">
        <w:rPr>
          <w:rFonts w:cs="Arial"/>
          <w:b/>
        </w:rPr>
        <w:t>Emergency procedures</w:t>
      </w:r>
    </w:p>
    <w:p w14:paraId="6D85CE36" w14:textId="07784F7F" w:rsidR="001556F0" w:rsidRDefault="001556F0" w:rsidP="001556F0">
      <w:pPr>
        <w:pStyle w:val="ListParagraph"/>
        <w:numPr>
          <w:ilvl w:val="0"/>
          <w:numId w:val="0"/>
        </w:numPr>
        <w:spacing w:line="264" w:lineRule="auto"/>
        <w:ind w:left="360"/>
        <w:rPr>
          <w:rFonts w:cs="Arial"/>
        </w:rPr>
      </w:pPr>
      <w:r>
        <w:rPr>
          <w:rFonts w:cs="Arial"/>
        </w:rPr>
        <w:t>The Commissioner has</w:t>
      </w:r>
      <w:r w:rsidRPr="00FC45E9">
        <w:rPr>
          <w:rFonts w:cs="Arial"/>
        </w:rPr>
        <w:t xml:space="preserve"> also observed opportunities for clearer protocols to be put in place between </w:t>
      </w:r>
      <w:r>
        <w:rPr>
          <w:rFonts w:cs="Arial"/>
        </w:rPr>
        <w:t xml:space="preserve">project </w:t>
      </w:r>
      <w:r w:rsidRPr="00FC45E9">
        <w:rPr>
          <w:rFonts w:cs="Arial"/>
        </w:rPr>
        <w:t xml:space="preserve">operators and emergency response agencies, in particular as </w:t>
      </w:r>
      <w:r>
        <w:rPr>
          <w:rFonts w:cs="Arial"/>
        </w:rPr>
        <w:t xml:space="preserve">they </w:t>
      </w:r>
      <w:r w:rsidRPr="00FC45E9">
        <w:rPr>
          <w:rFonts w:cs="Arial"/>
        </w:rPr>
        <w:t xml:space="preserve">relate to </w:t>
      </w:r>
      <w:r>
        <w:rPr>
          <w:rFonts w:cs="Arial"/>
        </w:rPr>
        <w:t xml:space="preserve">ground and </w:t>
      </w:r>
      <w:r w:rsidRPr="00FC45E9">
        <w:rPr>
          <w:rFonts w:cs="Arial"/>
        </w:rPr>
        <w:t>aerial firefighting</w:t>
      </w:r>
      <w:r>
        <w:rPr>
          <w:rFonts w:cs="Arial"/>
        </w:rPr>
        <w:t>,</w:t>
      </w:r>
      <w:r w:rsidRPr="00FC45E9">
        <w:rPr>
          <w:rFonts w:cs="Arial"/>
        </w:rPr>
        <w:t xml:space="preserve"> the ability to direct a rapid shutdown of </w:t>
      </w:r>
      <w:r>
        <w:rPr>
          <w:rFonts w:cs="Arial"/>
        </w:rPr>
        <w:t xml:space="preserve">assets, such as </w:t>
      </w:r>
      <w:r w:rsidRPr="00FC45E9">
        <w:rPr>
          <w:rFonts w:cs="Arial"/>
        </w:rPr>
        <w:t>wind turbines</w:t>
      </w:r>
      <w:r>
        <w:rPr>
          <w:rFonts w:cs="Arial"/>
        </w:rPr>
        <w:t>,</w:t>
      </w:r>
      <w:r w:rsidRPr="00FC45E9">
        <w:rPr>
          <w:rFonts w:cs="Arial"/>
        </w:rPr>
        <w:t xml:space="preserve"> </w:t>
      </w:r>
      <w:r>
        <w:rPr>
          <w:rFonts w:cs="Arial"/>
        </w:rPr>
        <w:t xml:space="preserve">activating aviation safety lighting, </w:t>
      </w:r>
      <w:r w:rsidRPr="00FC45E9">
        <w:rPr>
          <w:rFonts w:cs="Arial"/>
        </w:rPr>
        <w:t xml:space="preserve">and the positioning of turbine blades during </w:t>
      </w:r>
      <w:r>
        <w:rPr>
          <w:rFonts w:cs="Arial"/>
        </w:rPr>
        <w:t>the</w:t>
      </w:r>
      <w:r w:rsidRPr="00FC45E9">
        <w:rPr>
          <w:rFonts w:cs="Arial"/>
        </w:rPr>
        <w:t xml:space="preserve"> shut</w:t>
      </w:r>
      <w:r>
        <w:rPr>
          <w:rFonts w:cs="Arial"/>
        </w:rPr>
        <w:t xml:space="preserve">down to minimise the obstacle’s interference with aircraft (the preferred position being a </w:t>
      </w:r>
      <w:r w:rsidR="00E8456C">
        <w:rPr>
          <w:rFonts w:cs="Arial"/>
        </w:rPr>
        <w:t xml:space="preserve">‘Y’ </w:t>
      </w:r>
      <w:r>
        <w:rPr>
          <w:rFonts w:cs="Arial"/>
        </w:rPr>
        <w:t>shape, with on</w:t>
      </w:r>
      <w:r w:rsidR="00B0655E">
        <w:rPr>
          <w:rFonts w:cs="Arial"/>
        </w:rPr>
        <w:t>e</w:t>
      </w:r>
      <w:r>
        <w:rPr>
          <w:rFonts w:cs="Arial"/>
        </w:rPr>
        <w:t xml:space="preserve"> blade aligned with the turbine tower, also known as the </w:t>
      </w:r>
      <w:r w:rsidR="00E8456C">
        <w:rPr>
          <w:rFonts w:cs="Arial"/>
        </w:rPr>
        <w:t xml:space="preserve">‘rabbit </w:t>
      </w:r>
      <w:r>
        <w:rPr>
          <w:rFonts w:cs="Arial"/>
        </w:rPr>
        <w:t>ear</w:t>
      </w:r>
      <w:r w:rsidR="00E8456C">
        <w:rPr>
          <w:rFonts w:cs="Arial"/>
        </w:rPr>
        <w:t xml:space="preserve">’ </w:t>
      </w:r>
      <w:r>
        <w:rPr>
          <w:rFonts w:cs="Arial"/>
        </w:rPr>
        <w:t>position).</w:t>
      </w:r>
    </w:p>
    <w:p w14:paraId="4144DB76" w14:textId="77777777" w:rsidR="001556F0" w:rsidRPr="00FC45E9" w:rsidRDefault="001556F0" w:rsidP="001556F0">
      <w:pPr>
        <w:pStyle w:val="ListParagraph"/>
        <w:numPr>
          <w:ilvl w:val="0"/>
          <w:numId w:val="0"/>
        </w:numPr>
        <w:spacing w:line="264" w:lineRule="auto"/>
        <w:ind w:left="360"/>
        <w:rPr>
          <w:rFonts w:cs="Arial"/>
        </w:rPr>
      </w:pPr>
      <w:r>
        <w:rPr>
          <w:rFonts w:cs="Arial"/>
        </w:rPr>
        <w:t>Not all turbine manufacturers or specific turbine models, have the ability to remotely lock the turbine blades into the ideal position for safe aerial firefighting. Some blades will continue to drift with the wind, further increasing the risks to pilots and reducing the workable airspace between turbines for planes to fly and drop retardants.</w:t>
      </w:r>
    </w:p>
    <w:p w14:paraId="09A422CD"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Other potential obstacles to aerial firefighting, such as meteorological masts, radio towers and powerlines may also exist around the </w:t>
      </w:r>
      <w:r>
        <w:rPr>
          <w:rFonts w:cs="Arial"/>
        </w:rPr>
        <w:t xml:space="preserve">project </w:t>
      </w:r>
      <w:r w:rsidRPr="00FC45E9">
        <w:rPr>
          <w:rFonts w:cs="Arial"/>
        </w:rPr>
        <w:t xml:space="preserve">site and pilots need to be well aware of this infrastructure. A consistent standard </w:t>
      </w:r>
      <w:r>
        <w:rPr>
          <w:rFonts w:cs="Arial"/>
        </w:rPr>
        <w:t>for</w:t>
      </w:r>
      <w:r w:rsidRPr="00FC45E9">
        <w:rPr>
          <w:rFonts w:cs="Arial"/>
        </w:rPr>
        <w:t xml:space="preserve"> the visible identification of meteorological masts should be considered and adopted into planning guidelines and aviation safety assessments.</w:t>
      </w:r>
    </w:p>
    <w:p w14:paraId="78D7B948" w14:textId="77777777" w:rsidR="001556F0" w:rsidRDefault="001556F0" w:rsidP="001556F0">
      <w:pPr>
        <w:pStyle w:val="ListParagraph"/>
        <w:numPr>
          <w:ilvl w:val="0"/>
          <w:numId w:val="0"/>
        </w:numPr>
        <w:spacing w:line="264" w:lineRule="auto"/>
        <w:ind w:left="360"/>
        <w:rPr>
          <w:rFonts w:cs="Arial"/>
        </w:rPr>
      </w:pPr>
      <w:r>
        <w:rPr>
          <w:rFonts w:cs="Arial"/>
        </w:rPr>
        <w:t>Turbines equipped with aviation safety lighting should ensure there are procedures in place to quickly activate the lights during a bushfire or fog event to increase transparency of those obstacles to pilots. Ultimately, pilots will need to make their own assessments and decisions about whether it is safe to fly in and amongst a wind farm, based on the weather, smoke, fog, wind conditions and any other relevant considerations or constraints.</w:t>
      </w:r>
    </w:p>
    <w:p w14:paraId="52D0E539" w14:textId="77777777" w:rsidR="00F11384" w:rsidRDefault="00F11384" w:rsidP="001556F0">
      <w:pPr>
        <w:pStyle w:val="ListParagraph"/>
        <w:numPr>
          <w:ilvl w:val="0"/>
          <w:numId w:val="0"/>
        </w:numPr>
        <w:spacing w:line="264" w:lineRule="auto"/>
        <w:ind w:left="360"/>
        <w:rPr>
          <w:rFonts w:cs="Arial"/>
        </w:rPr>
      </w:pPr>
    </w:p>
    <w:p w14:paraId="06EC02CF" w14:textId="77777777" w:rsidR="001556F0" w:rsidRPr="00FC45E9" w:rsidRDefault="001556F0" w:rsidP="001556F0">
      <w:pPr>
        <w:pStyle w:val="ListParagraph"/>
        <w:numPr>
          <w:ilvl w:val="1"/>
          <w:numId w:val="8"/>
        </w:numPr>
        <w:spacing w:line="264" w:lineRule="auto"/>
        <w:rPr>
          <w:rFonts w:cs="Arial"/>
          <w:b/>
        </w:rPr>
      </w:pPr>
      <w:r w:rsidRPr="00FC45E9">
        <w:rPr>
          <w:rFonts w:cs="Arial"/>
          <w:b/>
        </w:rPr>
        <w:lastRenderedPageBreak/>
        <w:t>Recommendations</w:t>
      </w:r>
    </w:p>
    <w:p w14:paraId="27347839"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Planning permit conditions </w:t>
      </w:r>
      <w:r>
        <w:rPr>
          <w:rFonts w:cs="Arial"/>
        </w:rPr>
        <w:t xml:space="preserve">for wind and solar farms </w:t>
      </w:r>
      <w:r w:rsidRPr="00FC45E9">
        <w:rPr>
          <w:rFonts w:cs="Arial"/>
        </w:rPr>
        <w:t xml:space="preserve">should stipulate that </w:t>
      </w:r>
      <w:r>
        <w:rPr>
          <w:rFonts w:cs="Arial"/>
        </w:rPr>
        <w:t xml:space="preserve">the </w:t>
      </w:r>
      <w:r w:rsidRPr="00FC45E9">
        <w:rPr>
          <w:rFonts w:cs="Arial"/>
        </w:rPr>
        <w:t xml:space="preserve">complaint handling procedures </w:t>
      </w:r>
      <w:r>
        <w:rPr>
          <w:rFonts w:cs="Arial"/>
        </w:rPr>
        <w:t xml:space="preserve">should </w:t>
      </w:r>
      <w:r w:rsidRPr="00FC45E9">
        <w:rPr>
          <w:rFonts w:cs="Arial"/>
        </w:rPr>
        <w:t xml:space="preserve">support all types of complaints raised about the </w:t>
      </w:r>
      <w:r>
        <w:rPr>
          <w:rFonts w:cs="Arial"/>
        </w:rPr>
        <w:t xml:space="preserve">project </w:t>
      </w:r>
      <w:r w:rsidRPr="00FC45E9">
        <w:rPr>
          <w:rFonts w:cs="Arial"/>
        </w:rPr>
        <w:t xml:space="preserve">and also meet minimum best practice standards for complaint handling procedures (such as the </w:t>
      </w:r>
      <w:r w:rsidRPr="00FC45E9">
        <w:rPr>
          <w:rFonts w:cs="Arial"/>
          <w:i/>
        </w:rPr>
        <w:t>Australian/NZ Standard for Complaint Handling – AS10002:2014</w:t>
      </w:r>
      <w:r w:rsidRPr="00FC45E9">
        <w:rPr>
          <w:rFonts w:cs="Arial"/>
        </w:rPr>
        <w:t>). The developer should implement appropriate systems and processes to support the procedures and maintain an appropriately detailed complaint register.</w:t>
      </w:r>
    </w:p>
    <w:p w14:paraId="22F4DEF4"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Planning permits should include a condition requiring the endorsed complaint handling procedure and the complaints register to be published on the </w:t>
      </w:r>
      <w:r>
        <w:rPr>
          <w:rFonts w:cs="Arial"/>
        </w:rPr>
        <w:t>project</w:t>
      </w:r>
      <w:r w:rsidRPr="00FC45E9">
        <w:rPr>
          <w:rFonts w:cs="Arial"/>
        </w:rPr>
        <w:t xml:space="preserve">’s website. </w:t>
      </w:r>
      <w:r>
        <w:rPr>
          <w:rFonts w:cs="Arial"/>
        </w:rPr>
        <w:br/>
      </w:r>
      <w:r w:rsidRPr="00FC45E9">
        <w:rPr>
          <w:rFonts w:cs="Arial"/>
        </w:rPr>
        <w:t xml:space="preserve">The website should include a toll-free number and an email address </w:t>
      </w:r>
      <w:r>
        <w:rPr>
          <w:rFonts w:cs="Arial"/>
        </w:rPr>
        <w:t>to</w:t>
      </w:r>
      <w:r w:rsidRPr="00FC45E9">
        <w:rPr>
          <w:rFonts w:cs="Arial"/>
        </w:rPr>
        <w:t xml:space="preserve"> contact the </w:t>
      </w:r>
      <w:r>
        <w:rPr>
          <w:rFonts w:cs="Arial"/>
        </w:rPr>
        <w:t>project</w:t>
      </w:r>
      <w:r w:rsidRPr="00FC45E9">
        <w:rPr>
          <w:rFonts w:cs="Arial"/>
        </w:rPr>
        <w:t xml:space="preserve"> operator to make an enquiry or complaint. Developers should also proactively implement these provisions from the very commencement of development as part of best practice transparency and community engagement.</w:t>
      </w:r>
    </w:p>
    <w:p w14:paraId="2719EB9E"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Planning permits should include a condition requiring </w:t>
      </w:r>
      <w:r>
        <w:rPr>
          <w:rFonts w:cs="Arial"/>
        </w:rPr>
        <w:t xml:space="preserve">that </w:t>
      </w:r>
      <w:r w:rsidRPr="00FC45E9">
        <w:rPr>
          <w:rFonts w:cs="Arial"/>
        </w:rPr>
        <w:t xml:space="preserve">the endorsed complaint handling procedure be followed and complied with by the </w:t>
      </w:r>
      <w:r>
        <w:rPr>
          <w:rFonts w:cs="Arial"/>
        </w:rPr>
        <w:t>proponent</w:t>
      </w:r>
      <w:r w:rsidRPr="00FC45E9">
        <w:rPr>
          <w:rFonts w:cs="Arial"/>
        </w:rPr>
        <w:t>. Failure to comply could be deemed as a material breach of permit compliance.</w:t>
      </w:r>
    </w:p>
    <w:p w14:paraId="2870CFFC"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The responsible authority should have the powers and capability to </w:t>
      </w:r>
      <w:r>
        <w:rPr>
          <w:rFonts w:cs="Arial"/>
        </w:rPr>
        <w:t xml:space="preserve">enact and </w:t>
      </w:r>
      <w:r w:rsidRPr="00FC45E9">
        <w:rPr>
          <w:rFonts w:cs="Arial"/>
        </w:rPr>
        <w:t xml:space="preserve">audit a </w:t>
      </w:r>
      <w:r>
        <w:rPr>
          <w:rFonts w:cs="Arial"/>
        </w:rPr>
        <w:t>project</w:t>
      </w:r>
      <w:r w:rsidRPr="00FC45E9">
        <w:rPr>
          <w:rFonts w:cs="Arial"/>
        </w:rPr>
        <w:t xml:space="preserve">’s complaint handling activities and complaints register to monitor compliance with the </w:t>
      </w:r>
      <w:r>
        <w:rPr>
          <w:rFonts w:cs="Arial"/>
        </w:rPr>
        <w:t xml:space="preserve">endorsed </w:t>
      </w:r>
      <w:r w:rsidRPr="00FC45E9">
        <w:rPr>
          <w:rFonts w:cs="Arial"/>
        </w:rPr>
        <w:t>procedures and the planning permit conditions.</w:t>
      </w:r>
      <w:r w:rsidRPr="00FC45E9" w:rsidDel="006E4759">
        <w:rPr>
          <w:rFonts w:cs="Arial"/>
        </w:rPr>
        <w:t xml:space="preserve"> </w:t>
      </w:r>
    </w:p>
    <w:p w14:paraId="0AE7CA3F"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The complaint handling procedure and the </w:t>
      </w:r>
      <w:r>
        <w:rPr>
          <w:rFonts w:cs="Arial"/>
        </w:rPr>
        <w:t xml:space="preserve">project </w:t>
      </w:r>
      <w:r w:rsidRPr="00FC45E9">
        <w:rPr>
          <w:rFonts w:cs="Arial"/>
        </w:rPr>
        <w:t xml:space="preserve">operator should have the capacity to accommodate handling of urgent or emergency complaints. These complaints may be related to safety issues as well as unacceptable </w:t>
      </w:r>
      <w:r>
        <w:rPr>
          <w:rFonts w:cs="Arial"/>
        </w:rPr>
        <w:t>environmental impacts, such as</w:t>
      </w:r>
      <w:r w:rsidRPr="00FC45E9">
        <w:rPr>
          <w:rFonts w:cs="Arial"/>
        </w:rPr>
        <w:t xml:space="preserve"> damage to </w:t>
      </w:r>
      <w:r>
        <w:rPr>
          <w:rFonts w:cs="Arial"/>
        </w:rPr>
        <w:t>a</w:t>
      </w:r>
      <w:r w:rsidRPr="00FC45E9">
        <w:rPr>
          <w:rFonts w:cs="Arial"/>
        </w:rPr>
        <w:t xml:space="preserve"> turbine caused by external events such as lightning strike or mechanical failure</w:t>
      </w:r>
      <w:r>
        <w:rPr>
          <w:rFonts w:cs="Arial"/>
        </w:rPr>
        <w:t xml:space="preserve"> resulting in unacceptable noise emissions</w:t>
      </w:r>
      <w:r w:rsidRPr="00FC45E9">
        <w:rPr>
          <w:rFonts w:cs="Arial"/>
        </w:rPr>
        <w:t xml:space="preserve">. The </w:t>
      </w:r>
      <w:r>
        <w:rPr>
          <w:rFonts w:cs="Arial"/>
        </w:rPr>
        <w:t xml:space="preserve">project </w:t>
      </w:r>
      <w:r w:rsidRPr="00FC45E9">
        <w:rPr>
          <w:rFonts w:cs="Arial"/>
        </w:rPr>
        <w:t xml:space="preserve">operator should respond immediately, on-site, to assess, address and rectify such issues. While objective measures and standards may be in place for assessing </w:t>
      </w:r>
      <w:r>
        <w:rPr>
          <w:rFonts w:cs="Arial"/>
        </w:rPr>
        <w:t xml:space="preserve">matters such as </w:t>
      </w:r>
      <w:r w:rsidRPr="00FC45E9">
        <w:rPr>
          <w:rFonts w:cs="Arial"/>
        </w:rPr>
        <w:t xml:space="preserve">noise emissions, a subjective, reasonableness test should also be applied when assessing </w:t>
      </w:r>
      <w:r>
        <w:rPr>
          <w:rFonts w:cs="Arial"/>
        </w:rPr>
        <w:t xml:space="preserve">environmental conditions, </w:t>
      </w:r>
      <w:r w:rsidRPr="00FC45E9">
        <w:rPr>
          <w:rFonts w:cs="Arial"/>
        </w:rPr>
        <w:t>such as abnormal noise emissions, tonality, special audible characteristics and low frequency noise.</w:t>
      </w:r>
    </w:p>
    <w:p w14:paraId="7946823D" w14:textId="77777777" w:rsidR="001556F0" w:rsidRPr="00FC45E9" w:rsidRDefault="001556F0" w:rsidP="001556F0">
      <w:pPr>
        <w:pStyle w:val="ListParagraph"/>
        <w:numPr>
          <w:ilvl w:val="2"/>
          <w:numId w:val="8"/>
        </w:numPr>
        <w:spacing w:line="264" w:lineRule="auto"/>
        <w:ind w:left="1400" w:hanging="680"/>
        <w:rPr>
          <w:rFonts w:cs="Arial"/>
        </w:rPr>
      </w:pPr>
      <w:r>
        <w:rPr>
          <w:rFonts w:cs="Arial"/>
        </w:rPr>
        <w:t>Complaint handling bodies such as developers, local councils, state governments and compliance authorities should ensure their complaint handling procedures are relevant for wind and solar farm matters. Further, complaints need to be closed out at the appropriate time with the complainant being advised accordingly.</w:t>
      </w:r>
    </w:p>
    <w:p w14:paraId="20FF5692"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For extreme emergency conditions, such as a bushfire</w:t>
      </w:r>
      <w:r>
        <w:rPr>
          <w:rFonts w:cs="Arial"/>
        </w:rPr>
        <w:t xml:space="preserve"> or flood</w:t>
      </w:r>
      <w:r w:rsidRPr="00FC45E9">
        <w:rPr>
          <w:rFonts w:cs="Arial"/>
        </w:rPr>
        <w:t xml:space="preserve">, the </w:t>
      </w:r>
      <w:r>
        <w:rPr>
          <w:rFonts w:cs="Arial"/>
        </w:rPr>
        <w:t xml:space="preserve">project </w:t>
      </w:r>
      <w:r w:rsidRPr="00FC45E9">
        <w:rPr>
          <w:rFonts w:cs="Arial"/>
        </w:rPr>
        <w:t xml:space="preserve">operator should have appropriate controls, protocols and procedures in place, consistent with the emergency response requirements, to ensure the </w:t>
      </w:r>
      <w:r>
        <w:rPr>
          <w:rFonts w:cs="Arial"/>
        </w:rPr>
        <w:t>assets</w:t>
      </w:r>
      <w:r w:rsidRPr="00FC45E9">
        <w:rPr>
          <w:rFonts w:cs="Arial"/>
        </w:rPr>
        <w:t xml:space="preserve"> can be rapidly shut down. Power network operators should be aware </w:t>
      </w:r>
      <w:r>
        <w:rPr>
          <w:rFonts w:cs="Arial"/>
        </w:rPr>
        <w:t xml:space="preserve">that </w:t>
      </w:r>
      <w:r w:rsidRPr="00FC45E9">
        <w:rPr>
          <w:rFonts w:cs="Arial"/>
        </w:rPr>
        <w:t xml:space="preserve">the wind </w:t>
      </w:r>
      <w:r>
        <w:rPr>
          <w:rFonts w:cs="Arial"/>
        </w:rPr>
        <w:t xml:space="preserve">or solar </w:t>
      </w:r>
      <w:r w:rsidRPr="00FC45E9">
        <w:rPr>
          <w:rFonts w:cs="Arial"/>
        </w:rPr>
        <w:t>farm capacity may need to be shut down quickly in the event of a</w:t>
      </w:r>
      <w:r>
        <w:rPr>
          <w:rFonts w:cs="Arial"/>
        </w:rPr>
        <w:t>n emergency event</w:t>
      </w:r>
      <w:r w:rsidRPr="00FC45E9">
        <w:rPr>
          <w:rFonts w:cs="Arial"/>
        </w:rPr>
        <w:t>.</w:t>
      </w:r>
      <w:r>
        <w:rPr>
          <w:rFonts w:cs="Arial"/>
        </w:rPr>
        <w:t xml:space="preserve"> </w:t>
      </w:r>
    </w:p>
    <w:p w14:paraId="7EA8F4FA" w14:textId="77777777" w:rsidR="001556F0" w:rsidRDefault="001556F0" w:rsidP="001556F0">
      <w:pPr>
        <w:pStyle w:val="ListParagraph"/>
        <w:numPr>
          <w:ilvl w:val="2"/>
          <w:numId w:val="8"/>
        </w:numPr>
        <w:spacing w:line="264" w:lineRule="auto"/>
        <w:ind w:left="1400" w:hanging="680"/>
        <w:rPr>
          <w:rFonts w:cs="Arial"/>
        </w:rPr>
      </w:pPr>
      <w:r>
        <w:rPr>
          <w:rFonts w:cs="Arial"/>
        </w:rPr>
        <w:t>Projects</w:t>
      </w:r>
      <w:r w:rsidRPr="00FC45E9">
        <w:rPr>
          <w:rFonts w:cs="Arial"/>
        </w:rPr>
        <w:t xml:space="preserve"> should also work </w:t>
      </w:r>
      <w:r>
        <w:rPr>
          <w:rFonts w:cs="Arial"/>
        </w:rPr>
        <w:t xml:space="preserve">closely </w:t>
      </w:r>
      <w:r w:rsidRPr="00FC45E9">
        <w:rPr>
          <w:rFonts w:cs="Arial"/>
        </w:rPr>
        <w:t xml:space="preserve">with the relevant firefighting </w:t>
      </w:r>
      <w:r>
        <w:rPr>
          <w:rFonts w:cs="Arial"/>
        </w:rPr>
        <w:t xml:space="preserve">(and/or emergency services) </w:t>
      </w:r>
      <w:r w:rsidRPr="00FC45E9">
        <w:rPr>
          <w:rFonts w:cs="Arial"/>
        </w:rPr>
        <w:t xml:space="preserve">agency to review </w:t>
      </w:r>
      <w:r>
        <w:rPr>
          <w:rFonts w:cs="Arial"/>
        </w:rPr>
        <w:t xml:space="preserve">and agree on protocols and </w:t>
      </w:r>
      <w:r w:rsidRPr="00FC45E9">
        <w:rPr>
          <w:rFonts w:cs="Arial"/>
        </w:rPr>
        <w:t xml:space="preserve">procedures </w:t>
      </w:r>
      <w:r>
        <w:rPr>
          <w:rFonts w:cs="Arial"/>
        </w:rPr>
        <w:t xml:space="preserve">to be followed in the event of an emergency. </w:t>
      </w:r>
    </w:p>
    <w:p w14:paraId="32CB2823"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The </w:t>
      </w:r>
      <w:r>
        <w:rPr>
          <w:rFonts w:cs="Arial"/>
        </w:rPr>
        <w:t>project</w:t>
      </w:r>
      <w:r w:rsidRPr="00FC45E9">
        <w:rPr>
          <w:rFonts w:cs="Arial"/>
        </w:rPr>
        <w:t xml:space="preserve"> should also use appropriate marking devices to ensure transparency of other aerial obstacles such as meteorological masts, radio towers and powerlines </w:t>
      </w:r>
      <w:r>
        <w:rPr>
          <w:rFonts w:cs="Arial"/>
        </w:rPr>
        <w:t xml:space="preserve">in consultation with </w:t>
      </w:r>
      <w:r w:rsidRPr="00FC45E9">
        <w:rPr>
          <w:rFonts w:cs="Arial"/>
        </w:rPr>
        <w:t xml:space="preserve">the firefighting agency. </w:t>
      </w:r>
      <w:r>
        <w:rPr>
          <w:rFonts w:cs="Arial"/>
        </w:rPr>
        <w:t xml:space="preserve">Material </w:t>
      </w:r>
      <w:r w:rsidRPr="00FC45E9">
        <w:rPr>
          <w:rFonts w:cs="Arial"/>
        </w:rPr>
        <w:t>obstacles should require planning permits</w:t>
      </w:r>
      <w:r>
        <w:rPr>
          <w:rFonts w:cs="Arial"/>
        </w:rPr>
        <w:t xml:space="preserve">. If the obstacle is a risk to aviation safety, </w:t>
      </w:r>
      <w:r w:rsidRPr="00FC45E9">
        <w:rPr>
          <w:rFonts w:cs="Arial"/>
        </w:rPr>
        <w:t xml:space="preserve">a referral </w:t>
      </w:r>
      <w:r>
        <w:rPr>
          <w:rFonts w:cs="Arial"/>
        </w:rPr>
        <w:t xml:space="preserve">should be made </w:t>
      </w:r>
      <w:r w:rsidRPr="00FC45E9">
        <w:rPr>
          <w:rFonts w:cs="Arial"/>
        </w:rPr>
        <w:t xml:space="preserve">to CASA and </w:t>
      </w:r>
      <w:r>
        <w:rPr>
          <w:rFonts w:cs="Arial"/>
        </w:rPr>
        <w:t xml:space="preserve">the obstacle should </w:t>
      </w:r>
      <w:r w:rsidRPr="00FC45E9">
        <w:rPr>
          <w:rFonts w:cs="Arial"/>
        </w:rPr>
        <w:t xml:space="preserve">be assessed as part of the </w:t>
      </w:r>
      <w:r>
        <w:rPr>
          <w:rFonts w:cs="Arial"/>
        </w:rPr>
        <w:t xml:space="preserve">overall </w:t>
      </w:r>
      <w:r w:rsidRPr="00FC45E9">
        <w:rPr>
          <w:rFonts w:cs="Arial"/>
        </w:rPr>
        <w:t xml:space="preserve">aviation impact </w:t>
      </w:r>
      <w:r>
        <w:rPr>
          <w:rFonts w:cs="Arial"/>
        </w:rPr>
        <w:t>assessment</w:t>
      </w:r>
      <w:r w:rsidRPr="00FC45E9">
        <w:rPr>
          <w:rFonts w:cs="Arial"/>
        </w:rPr>
        <w:t>.</w:t>
      </w:r>
    </w:p>
    <w:p w14:paraId="36CF905F" w14:textId="77777777" w:rsidR="001556F0" w:rsidRPr="00FC45E9" w:rsidRDefault="001556F0" w:rsidP="001556F0">
      <w:pPr>
        <w:pStyle w:val="ListParagraph"/>
        <w:numPr>
          <w:ilvl w:val="2"/>
          <w:numId w:val="8"/>
        </w:numPr>
        <w:spacing w:line="264" w:lineRule="auto"/>
        <w:ind w:left="1400" w:hanging="680"/>
        <w:rPr>
          <w:rFonts w:cs="Arial"/>
        </w:rPr>
      </w:pPr>
      <w:r>
        <w:rPr>
          <w:rFonts w:cs="Arial"/>
        </w:rPr>
        <w:lastRenderedPageBreak/>
        <w:t xml:space="preserve">Wind turbine design standards should be reviewed in light of their capability to remotely position and lock turbine blades in the event of a bushfire. Developers should strongly consider selecting turbines that conform to this standard going forward. </w:t>
      </w:r>
      <w:r w:rsidRPr="005404E2">
        <w:rPr>
          <w:rFonts w:cs="Arial"/>
        </w:rPr>
        <w:t xml:space="preserve">There would also be a strong advantage if turbines were delivered with the capability to install aviation lighting even if this is not a permit requirement or intended for use under normal conditions, as the capacity to </w:t>
      </w:r>
      <w:r>
        <w:rPr>
          <w:rFonts w:cs="Arial"/>
        </w:rPr>
        <w:t>quickly and remotely activate safety lighting on turbines</w:t>
      </w:r>
      <w:r w:rsidRPr="005404E2">
        <w:rPr>
          <w:rFonts w:cs="Arial"/>
        </w:rPr>
        <w:t xml:space="preserve"> may assist greatly in the event of any bushfire or </w:t>
      </w:r>
      <w:r>
        <w:rPr>
          <w:rFonts w:cs="Arial"/>
        </w:rPr>
        <w:t xml:space="preserve">other </w:t>
      </w:r>
      <w:r w:rsidRPr="005404E2">
        <w:rPr>
          <w:rFonts w:cs="Arial"/>
        </w:rPr>
        <w:t>emergency.</w:t>
      </w:r>
    </w:p>
    <w:p w14:paraId="53E25531"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The industry peak body (CEC) should continue to provide leadership to the industry by developing and promoting best practice standards for complaint handling, along with community engagement and quality assurance of member companies. The CEC could also encourage or mandate </w:t>
      </w:r>
      <w:r>
        <w:rPr>
          <w:rFonts w:cs="Arial"/>
        </w:rPr>
        <w:t xml:space="preserve">(via a code of conduct) </w:t>
      </w:r>
      <w:r w:rsidRPr="00FC45E9">
        <w:rPr>
          <w:rFonts w:cs="Arial"/>
        </w:rPr>
        <w:t xml:space="preserve">that its industry members voluntarily publish their </w:t>
      </w:r>
      <w:r>
        <w:rPr>
          <w:rFonts w:cs="Arial"/>
        </w:rPr>
        <w:t>project’</w:t>
      </w:r>
      <w:r w:rsidRPr="00FC45E9">
        <w:rPr>
          <w:rFonts w:cs="Arial"/>
        </w:rPr>
        <w:t xml:space="preserve">s complaint handling procedure </w:t>
      </w:r>
      <w:r>
        <w:rPr>
          <w:rFonts w:cs="Arial"/>
        </w:rPr>
        <w:t xml:space="preserve">and contact details, </w:t>
      </w:r>
      <w:r w:rsidRPr="00FC45E9">
        <w:rPr>
          <w:rFonts w:cs="Arial"/>
        </w:rPr>
        <w:t xml:space="preserve">and that members are properly trained and skilled in </w:t>
      </w:r>
      <w:r>
        <w:rPr>
          <w:rFonts w:cs="Arial"/>
        </w:rPr>
        <w:t xml:space="preserve">effective </w:t>
      </w:r>
      <w:r w:rsidRPr="00FC45E9">
        <w:rPr>
          <w:rFonts w:cs="Arial"/>
        </w:rPr>
        <w:t>complaint handling.</w:t>
      </w:r>
    </w:p>
    <w:p w14:paraId="2CEB19FC"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 xml:space="preserve">Policies and procedures for handling noise </w:t>
      </w:r>
      <w:r>
        <w:rPr>
          <w:rFonts w:cs="Arial"/>
        </w:rPr>
        <w:t xml:space="preserve">and other environmental </w:t>
      </w:r>
      <w:r w:rsidRPr="00FC45E9">
        <w:rPr>
          <w:rFonts w:cs="Arial"/>
        </w:rPr>
        <w:t xml:space="preserve">complaints lodged with </w:t>
      </w:r>
      <w:r>
        <w:rPr>
          <w:rFonts w:cs="Arial"/>
        </w:rPr>
        <w:t xml:space="preserve">government agencies, including </w:t>
      </w:r>
      <w:r w:rsidRPr="00FC45E9">
        <w:rPr>
          <w:rFonts w:cs="Arial"/>
        </w:rPr>
        <w:t>local councils</w:t>
      </w:r>
      <w:r>
        <w:rPr>
          <w:rFonts w:cs="Arial"/>
        </w:rPr>
        <w:t>,</w:t>
      </w:r>
      <w:r w:rsidRPr="00FC45E9">
        <w:rPr>
          <w:rFonts w:cs="Arial"/>
        </w:rPr>
        <w:t xml:space="preserve"> should be in place where the possibility exists for complaints to be made either as an alleged breach of compliance and/or under other governing legislation, such as the Victorian </w:t>
      </w:r>
      <w:r w:rsidRPr="00FC45E9">
        <w:rPr>
          <w:rFonts w:cs="Arial"/>
          <w:i/>
        </w:rPr>
        <w:t>Public Health and Wellbeing Act 2008</w:t>
      </w:r>
      <w:r>
        <w:rPr>
          <w:rFonts w:cs="Arial"/>
        </w:rPr>
        <w:t xml:space="preserve"> and the </w:t>
      </w:r>
      <w:r w:rsidRPr="00D941D7">
        <w:rPr>
          <w:rFonts w:cs="Arial"/>
          <w:i/>
          <w:iCs/>
        </w:rPr>
        <w:t>Environment Protection Amendment Act 2018</w:t>
      </w:r>
      <w:r>
        <w:rPr>
          <w:rFonts w:cs="Arial"/>
        </w:rPr>
        <w:t>. Overlapping legislation may well need to be adjusted to avoid unnecessary duplication of process and the prospects of vexatious complaints and litigation.</w:t>
      </w:r>
    </w:p>
    <w:p w14:paraId="5250A293" w14:textId="77777777" w:rsidR="001556F0" w:rsidRPr="008A240A" w:rsidRDefault="001556F0" w:rsidP="001556F0">
      <w:pPr>
        <w:spacing w:line="264" w:lineRule="auto"/>
        <w:rPr>
          <w:rFonts w:cs="Arial"/>
        </w:rPr>
      </w:pPr>
    </w:p>
    <w:p w14:paraId="7A79CCEC" w14:textId="77777777" w:rsidR="001556F0" w:rsidRPr="00FC45E9" w:rsidRDefault="001556F0" w:rsidP="001556F0">
      <w:pPr>
        <w:pStyle w:val="Heading2"/>
        <w:numPr>
          <w:ilvl w:val="0"/>
          <w:numId w:val="8"/>
        </w:numPr>
      </w:pPr>
      <w:bookmarkStart w:id="49" w:name="_Toc51224055"/>
      <w:bookmarkStart w:id="50" w:name="_Toc84430836"/>
      <w:r w:rsidRPr="00FC45E9">
        <w:t>Site Selection</w:t>
      </w:r>
      <w:bookmarkEnd w:id="49"/>
      <w:bookmarkEnd w:id="50"/>
    </w:p>
    <w:p w14:paraId="2DB76CAD" w14:textId="77777777" w:rsidR="001556F0" w:rsidRPr="00FC45E9" w:rsidRDefault="001556F0" w:rsidP="001556F0">
      <w:pPr>
        <w:pStyle w:val="ListParagraph"/>
        <w:numPr>
          <w:ilvl w:val="1"/>
          <w:numId w:val="8"/>
        </w:numPr>
        <w:spacing w:line="264" w:lineRule="auto"/>
        <w:rPr>
          <w:rFonts w:cs="Arial"/>
          <w:b/>
        </w:rPr>
      </w:pPr>
      <w:r w:rsidRPr="00FC45E9">
        <w:rPr>
          <w:rFonts w:cs="Arial"/>
          <w:b/>
        </w:rPr>
        <w:t>Observations</w:t>
      </w:r>
    </w:p>
    <w:p w14:paraId="70D0F4E6" w14:textId="77777777" w:rsidR="001556F0" w:rsidRPr="00D035E9" w:rsidRDefault="001556F0" w:rsidP="001556F0">
      <w:pPr>
        <w:pStyle w:val="ListParagraph"/>
        <w:numPr>
          <w:ilvl w:val="0"/>
          <w:numId w:val="0"/>
        </w:numPr>
        <w:spacing w:line="264" w:lineRule="auto"/>
        <w:ind w:left="360"/>
        <w:rPr>
          <w:rFonts w:cs="Arial"/>
          <w:b/>
        </w:rPr>
      </w:pPr>
      <w:r w:rsidRPr="00D035E9">
        <w:rPr>
          <w:rFonts w:cs="Arial"/>
          <w:b/>
        </w:rPr>
        <w:t>Background</w:t>
      </w:r>
    </w:p>
    <w:p w14:paraId="1B500368"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The selection </w:t>
      </w:r>
      <w:r>
        <w:rPr>
          <w:rFonts w:cs="Arial"/>
        </w:rPr>
        <w:t>criteria for</w:t>
      </w:r>
      <w:r w:rsidRPr="00FC45E9">
        <w:rPr>
          <w:rFonts w:cs="Arial"/>
        </w:rPr>
        <w:t xml:space="preserve"> a potential site for a proposed </w:t>
      </w:r>
      <w:r>
        <w:rPr>
          <w:rFonts w:cs="Arial"/>
        </w:rPr>
        <w:t xml:space="preserve">project </w:t>
      </w:r>
      <w:r w:rsidRPr="00FC45E9">
        <w:rPr>
          <w:rFonts w:cs="Arial"/>
        </w:rPr>
        <w:t xml:space="preserve">may </w:t>
      </w:r>
      <w:r>
        <w:rPr>
          <w:rFonts w:cs="Arial"/>
        </w:rPr>
        <w:t xml:space="preserve">be based on </w:t>
      </w:r>
      <w:r w:rsidRPr="00FC45E9">
        <w:rPr>
          <w:rFonts w:cs="Arial"/>
        </w:rPr>
        <w:t xml:space="preserve">a range of factors including the available wind </w:t>
      </w:r>
      <w:r>
        <w:rPr>
          <w:rFonts w:cs="Arial"/>
        </w:rPr>
        <w:t xml:space="preserve">or solar </w:t>
      </w:r>
      <w:r w:rsidRPr="00FC45E9">
        <w:rPr>
          <w:rFonts w:cs="Arial"/>
        </w:rPr>
        <w:t>resource, proximity to existing transmission infrastructure, potential for securing landowner arrangements and other approved development in the area.</w:t>
      </w:r>
      <w:r>
        <w:rPr>
          <w:rFonts w:cs="Arial"/>
        </w:rPr>
        <w:t xml:space="preserve"> </w:t>
      </w:r>
    </w:p>
    <w:p w14:paraId="679F7D54"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Current transmission infrastructure was originally designed and built many years ago based on </w:t>
      </w:r>
      <w:r>
        <w:rPr>
          <w:rFonts w:cs="Arial"/>
        </w:rPr>
        <w:t xml:space="preserve">the location and availability of the then </w:t>
      </w:r>
      <w:r w:rsidRPr="00FC45E9">
        <w:rPr>
          <w:rFonts w:cs="Arial"/>
        </w:rPr>
        <w:t>existing energy resources (such as coal</w:t>
      </w:r>
      <w:r>
        <w:rPr>
          <w:rFonts w:cs="Arial"/>
        </w:rPr>
        <w:t>, gas, hydro</w:t>
      </w:r>
      <w:r w:rsidRPr="00FC45E9">
        <w:rPr>
          <w:rFonts w:cs="Arial"/>
        </w:rPr>
        <w:t xml:space="preserve">) </w:t>
      </w:r>
      <w:r>
        <w:rPr>
          <w:rFonts w:cs="Arial"/>
        </w:rPr>
        <w:t>which, at that time,</w:t>
      </w:r>
      <w:r w:rsidRPr="00FC45E9">
        <w:rPr>
          <w:rFonts w:cs="Arial"/>
        </w:rPr>
        <w:t xml:space="preserve"> did not envisage the significant shift to </w:t>
      </w:r>
      <w:r>
        <w:rPr>
          <w:rFonts w:cs="Arial"/>
        </w:rPr>
        <w:t xml:space="preserve">large-scale </w:t>
      </w:r>
      <w:r w:rsidRPr="00FC45E9">
        <w:rPr>
          <w:rFonts w:cs="Arial"/>
        </w:rPr>
        <w:t>renewable resources such as wind and solar</w:t>
      </w:r>
      <w:r>
        <w:rPr>
          <w:rFonts w:cs="Arial"/>
        </w:rPr>
        <w:t xml:space="preserve"> energy. These relatively new resources </w:t>
      </w:r>
      <w:r w:rsidRPr="00FC45E9">
        <w:rPr>
          <w:rFonts w:cs="Arial"/>
        </w:rPr>
        <w:t xml:space="preserve">are often optimally (in all other respects) </w:t>
      </w:r>
      <w:r>
        <w:rPr>
          <w:rFonts w:cs="Arial"/>
        </w:rPr>
        <w:t xml:space="preserve">best </w:t>
      </w:r>
      <w:r w:rsidRPr="00FC45E9">
        <w:rPr>
          <w:rFonts w:cs="Arial"/>
        </w:rPr>
        <w:t xml:space="preserve">located in </w:t>
      </w:r>
      <w:r>
        <w:rPr>
          <w:rFonts w:cs="Arial"/>
        </w:rPr>
        <w:t>different geographies</w:t>
      </w:r>
      <w:r w:rsidRPr="00FC45E9">
        <w:rPr>
          <w:rFonts w:cs="Arial"/>
        </w:rPr>
        <w:t xml:space="preserve"> </w:t>
      </w:r>
      <w:r>
        <w:rPr>
          <w:rFonts w:cs="Arial"/>
        </w:rPr>
        <w:t xml:space="preserve">and often </w:t>
      </w:r>
      <w:r w:rsidRPr="00FC45E9">
        <w:rPr>
          <w:rFonts w:cs="Arial"/>
        </w:rPr>
        <w:t>well away from existing grid infrastructure.</w:t>
      </w:r>
    </w:p>
    <w:p w14:paraId="6C97E378"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Prospecting developers are not generally restricted in initiating a new project on a particular site and</w:t>
      </w:r>
      <w:r>
        <w:rPr>
          <w:rFonts w:cs="Arial"/>
        </w:rPr>
        <w:t xml:space="preserve"> almost always pursue sites that are very close to existing transmission infrastructure. Developments </w:t>
      </w:r>
      <w:r w:rsidRPr="00FC45E9">
        <w:rPr>
          <w:rFonts w:cs="Arial"/>
        </w:rPr>
        <w:t xml:space="preserve">often commence by </w:t>
      </w:r>
      <w:r>
        <w:rPr>
          <w:rFonts w:cs="Arial"/>
        </w:rPr>
        <w:t>prospectors initiating</w:t>
      </w:r>
      <w:r w:rsidRPr="00FC45E9">
        <w:rPr>
          <w:rFonts w:cs="Arial"/>
        </w:rPr>
        <w:t xml:space="preserve"> discussions with adjoining landowners</w:t>
      </w:r>
      <w:r>
        <w:rPr>
          <w:rFonts w:cs="Arial"/>
        </w:rPr>
        <w:t xml:space="preserve"> at a transmission optimal site</w:t>
      </w:r>
      <w:r w:rsidRPr="00FC45E9">
        <w:rPr>
          <w:rFonts w:cs="Arial"/>
        </w:rPr>
        <w:t xml:space="preserve"> to seek their agreement to host </w:t>
      </w:r>
      <w:r>
        <w:rPr>
          <w:rFonts w:cs="Arial"/>
        </w:rPr>
        <w:t>the project</w:t>
      </w:r>
      <w:r w:rsidRPr="00FC45E9">
        <w:rPr>
          <w:rFonts w:cs="Arial"/>
        </w:rPr>
        <w:t xml:space="preserve">. </w:t>
      </w:r>
      <w:r>
        <w:rPr>
          <w:rFonts w:cs="Arial"/>
        </w:rPr>
        <w:t xml:space="preserve">However, because existing transmission infrastructure is often located near communities, lifestyle dwellings and primary producers, </w:t>
      </w:r>
      <w:r w:rsidRPr="00FC45E9">
        <w:rPr>
          <w:rFonts w:cs="Arial"/>
        </w:rPr>
        <w:t xml:space="preserve">prospective and developed wind </w:t>
      </w:r>
      <w:r>
        <w:rPr>
          <w:rFonts w:cs="Arial"/>
        </w:rPr>
        <w:t xml:space="preserve">and solar </w:t>
      </w:r>
      <w:r w:rsidRPr="00FC45E9">
        <w:rPr>
          <w:rFonts w:cs="Arial"/>
        </w:rPr>
        <w:t xml:space="preserve">farms </w:t>
      </w:r>
      <w:r>
        <w:rPr>
          <w:rFonts w:cs="Arial"/>
        </w:rPr>
        <w:t>are</w:t>
      </w:r>
      <w:r w:rsidRPr="00FC45E9">
        <w:rPr>
          <w:rFonts w:cs="Arial"/>
        </w:rPr>
        <w:t xml:space="preserve"> </w:t>
      </w:r>
      <w:r>
        <w:rPr>
          <w:rFonts w:cs="Arial"/>
        </w:rPr>
        <w:t xml:space="preserve">more likely to </w:t>
      </w:r>
      <w:r w:rsidRPr="00FC45E9">
        <w:rPr>
          <w:rFonts w:cs="Arial"/>
        </w:rPr>
        <w:t xml:space="preserve">be located in </w:t>
      </w:r>
      <w:r>
        <w:rPr>
          <w:rFonts w:cs="Arial"/>
        </w:rPr>
        <w:t>areas that will cause friction with non-involved neighbours and communities</w:t>
      </w:r>
      <w:r w:rsidRPr="00FC45E9">
        <w:rPr>
          <w:rFonts w:cs="Arial"/>
        </w:rPr>
        <w:t>.</w:t>
      </w:r>
    </w:p>
    <w:p w14:paraId="19FE5846" w14:textId="77777777" w:rsidR="001556F0" w:rsidRPr="00D035E9" w:rsidRDefault="001556F0" w:rsidP="001556F0">
      <w:pPr>
        <w:pStyle w:val="ListParagraph"/>
        <w:numPr>
          <w:ilvl w:val="0"/>
          <w:numId w:val="0"/>
        </w:numPr>
        <w:spacing w:line="264" w:lineRule="auto"/>
        <w:ind w:left="360"/>
        <w:rPr>
          <w:rFonts w:cs="Arial"/>
          <w:b/>
        </w:rPr>
      </w:pPr>
      <w:r w:rsidRPr="00D035E9">
        <w:rPr>
          <w:rFonts w:cs="Arial"/>
          <w:b/>
        </w:rPr>
        <w:t>Site impacts</w:t>
      </w:r>
    </w:p>
    <w:p w14:paraId="4D8D3BA3" w14:textId="77777777" w:rsidR="001556F0" w:rsidRPr="00FC45E9" w:rsidRDefault="001556F0" w:rsidP="001556F0">
      <w:pPr>
        <w:pStyle w:val="ListParagraph"/>
        <w:numPr>
          <w:ilvl w:val="0"/>
          <w:numId w:val="0"/>
        </w:numPr>
        <w:spacing w:line="264" w:lineRule="auto"/>
        <w:ind w:left="360"/>
        <w:rPr>
          <w:rFonts w:cs="Arial"/>
        </w:rPr>
      </w:pPr>
      <w:r>
        <w:rPr>
          <w:rFonts w:cs="Arial"/>
        </w:rPr>
        <w:t>The Commissioner’s</w:t>
      </w:r>
      <w:r w:rsidRPr="00FC45E9">
        <w:rPr>
          <w:rFonts w:cs="Arial"/>
        </w:rPr>
        <w:t xml:space="preserve"> experience to date indicates that there is a much higher likelihood of community issues and concerns to contend with when a proposed or operating wind </w:t>
      </w:r>
      <w:r>
        <w:rPr>
          <w:rFonts w:cs="Arial"/>
        </w:rPr>
        <w:t xml:space="preserve">or solar </w:t>
      </w:r>
      <w:r w:rsidRPr="00FC45E9">
        <w:rPr>
          <w:rFonts w:cs="Arial"/>
        </w:rPr>
        <w:t>farm is located near or amongst more populated areas. Often, the more populated areas correlate with the proximity and availability of transmission infrastructure, however, they can also result in a very large number of neighbours who will reside in close proximity to multiple turbines</w:t>
      </w:r>
      <w:r>
        <w:rPr>
          <w:rFonts w:cs="Arial"/>
        </w:rPr>
        <w:t xml:space="preserve"> or solar arrays</w:t>
      </w:r>
      <w:r w:rsidRPr="00FC45E9">
        <w:rPr>
          <w:rFonts w:cs="Arial"/>
        </w:rPr>
        <w:t>.</w:t>
      </w:r>
    </w:p>
    <w:p w14:paraId="3E35BD9F" w14:textId="77777777" w:rsidR="001556F0" w:rsidRDefault="001556F0" w:rsidP="001556F0">
      <w:pPr>
        <w:pStyle w:val="ListParagraph"/>
        <w:numPr>
          <w:ilvl w:val="0"/>
          <w:numId w:val="0"/>
        </w:numPr>
        <w:spacing w:line="264" w:lineRule="auto"/>
        <w:ind w:left="360"/>
        <w:rPr>
          <w:rFonts w:cs="Arial"/>
        </w:rPr>
      </w:pPr>
      <w:r w:rsidRPr="00FC45E9">
        <w:rPr>
          <w:rFonts w:cs="Arial"/>
        </w:rPr>
        <w:lastRenderedPageBreak/>
        <w:t xml:space="preserve">Further, there may be multiple proposed (and/or existing) </w:t>
      </w:r>
      <w:r>
        <w:rPr>
          <w:rFonts w:cs="Arial"/>
        </w:rPr>
        <w:t xml:space="preserve">projects </w:t>
      </w:r>
      <w:r w:rsidRPr="00FC45E9">
        <w:rPr>
          <w:rFonts w:cs="Arial"/>
        </w:rPr>
        <w:t xml:space="preserve">in a given area, with the potential for residents to be ‘surrounded’ by wind turbines </w:t>
      </w:r>
      <w:r>
        <w:rPr>
          <w:rFonts w:cs="Arial"/>
        </w:rPr>
        <w:t xml:space="preserve">and/or solar arrays </w:t>
      </w:r>
      <w:r w:rsidRPr="00FC45E9">
        <w:rPr>
          <w:rFonts w:cs="Arial"/>
        </w:rPr>
        <w:t xml:space="preserve">if such projects proceed. These scenarios could lead to a range of compounding issues for residents including noise, visual amenity and potential economic loss. </w:t>
      </w:r>
      <w:r>
        <w:rPr>
          <w:rFonts w:cs="Arial"/>
        </w:rPr>
        <w:t xml:space="preserve">Other </w:t>
      </w:r>
      <w:r w:rsidRPr="00FC45E9">
        <w:rPr>
          <w:rFonts w:cs="Arial"/>
        </w:rPr>
        <w:t>complication</w:t>
      </w:r>
      <w:r>
        <w:rPr>
          <w:rFonts w:cs="Arial"/>
        </w:rPr>
        <w:t>s</w:t>
      </w:r>
      <w:r w:rsidRPr="00FC45E9">
        <w:rPr>
          <w:rFonts w:cs="Arial"/>
        </w:rPr>
        <w:t xml:space="preserve"> may occur if project construction timeframes overlap, placing enormous pressure on local resources and infrastructure, in addition to the usual annoyances such as construction noise</w:t>
      </w:r>
      <w:r>
        <w:rPr>
          <w:rFonts w:cs="Arial"/>
        </w:rPr>
        <w:t>, traffic, road damage</w:t>
      </w:r>
      <w:r w:rsidRPr="00FC45E9">
        <w:rPr>
          <w:rFonts w:cs="Arial"/>
        </w:rPr>
        <w:t xml:space="preserve"> and dust.</w:t>
      </w:r>
    </w:p>
    <w:p w14:paraId="2EB85BB2"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There can also be</w:t>
      </w:r>
      <w:r>
        <w:rPr>
          <w:rFonts w:cs="Arial"/>
        </w:rPr>
        <w:t xml:space="preserve"> other severe</w:t>
      </w:r>
      <w:r w:rsidRPr="00FC45E9">
        <w:rPr>
          <w:rFonts w:cs="Arial"/>
        </w:rPr>
        <w:t xml:space="preserve"> cumulative effects during construction of more than </w:t>
      </w:r>
      <w:r>
        <w:rPr>
          <w:rFonts w:cs="Arial"/>
        </w:rPr>
        <w:t xml:space="preserve">project </w:t>
      </w:r>
      <w:r w:rsidRPr="00FC45E9">
        <w:rPr>
          <w:rFonts w:cs="Arial"/>
        </w:rPr>
        <w:t xml:space="preserve">in a </w:t>
      </w:r>
      <w:r>
        <w:rPr>
          <w:rFonts w:cs="Arial"/>
        </w:rPr>
        <w:t xml:space="preserve">specific </w:t>
      </w:r>
      <w:r w:rsidRPr="00FC45E9">
        <w:rPr>
          <w:rFonts w:cs="Arial"/>
        </w:rPr>
        <w:t xml:space="preserve">locality, placing enormous pressures on roads, resources (such as gravel), </w:t>
      </w:r>
      <w:r>
        <w:rPr>
          <w:rFonts w:cs="Arial"/>
        </w:rPr>
        <w:t xml:space="preserve">meal providers, </w:t>
      </w:r>
      <w:r w:rsidRPr="00FC45E9">
        <w:rPr>
          <w:rFonts w:cs="Arial"/>
        </w:rPr>
        <w:t>accommodation and skilled tradespersons.</w:t>
      </w:r>
    </w:p>
    <w:p w14:paraId="71A29AD2" w14:textId="4DF3DAA9" w:rsidR="001556F0" w:rsidRPr="00FC45E9" w:rsidRDefault="001556F0" w:rsidP="001556F0">
      <w:pPr>
        <w:pStyle w:val="ListParagraph"/>
        <w:numPr>
          <w:ilvl w:val="0"/>
          <w:numId w:val="0"/>
        </w:numPr>
        <w:spacing w:line="264" w:lineRule="auto"/>
        <w:ind w:left="360"/>
        <w:rPr>
          <w:rFonts w:cs="Arial"/>
        </w:rPr>
      </w:pPr>
      <w:r>
        <w:rPr>
          <w:rFonts w:cs="Arial"/>
        </w:rPr>
        <w:t>Based on our complaint handling experiences, the Commissioner has</w:t>
      </w:r>
      <w:r w:rsidRPr="00FC45E9">
        <w:rPr>
          <w:rFonts w:cs="Arial"/>
        </w:rPr>
        <w:t xml:space="preserve"> found that locating </w:t>
      </w:r>
      <w:r>
        <w:rPr>
          <w:rFonts w:cs="Arial"/>
        </w:rPr>
        <w:t xml:space="preserve">wind </w:t>
      </w:r>
      <w:r w:rsidRPr="00FC45E9">
        <w:rPr>
          <w:rFonts w:cs="Arial"/>
        </w:rPr>
        <w:t xml:space="preserve">turbines on the top of hills or ridges, while optimum for capturing the wind resource, can have greater impacts on visual amenity, may lead to specific noise and shadow flicker scenarios for residents in the valley beneath and may have other </w:t>
      </w:r>
      <w:r w:rsidR="00D05C11">
        <w:rPr>
          <w:rFonts w:cs="Arial"/>
        </w:rPr>
        <w:t xml:space="preserve">associated </w:t>
      </w:r>
      <w:r w:rsidRPr="00FC45E9">
        <w:rPr>
          <w:rFonts w:cs="Arial"/>
        </w:rPr>
        <w:t xml:space="preserve">impacts on the community. Access roads for hill </w:t>
      </w:r>
      <w:r>
        <w:rPr>
          <w:rFonts w:cs="Arial"/>
        </w:rPr>
        <w:t xml:space="preserve">and </w:t>
      </w:r>
      <w:r w:rsidRPr="00FC45E9">
        <w:rPr>
          <w:rFonts w:cs="Arial"/>
        </w:rPr>
        <w:t xml:space="preserve">ridge wind farms can also be obtrusive and significantly damage and constrain the </w:t>
      </w:r>
      <w:r>
        <w:rPr>
          <w:rFonts w:cs="Arial"/>
        </w:rPr>
        <w:t xml:space="preserve">remaining </w:t>
      </w:r>
      <w:r w:rsidRPr="00FC45E9">
        <w:rPr>
          <w:rFonts w:cs="Arial"/>
        </w:rPr>
        <w:t>available farming land in the area.</w:t>
      </w:r>
    </w:p>
    <w:p w14:paraId="061A5E5B" w14:textId="77777777" w:rsidR="001556F0" w:rsidRDefault="001556F0" w:rsidP="001556F0">
      <w:pPr>
        <w:pStyle w:val="ListParagraph"/>
        <w:numPr>
          <w:ilvl w:val="0"/>
          <w:numId w:val="0"/>
        </w:numPr>
        <w:spacing w:line="264" w:lineRule="auto"/>
        <w:ind w:left="360"/>
        <w:rPr>
          <w:rFonts w:cs="Arial"/>
        </w:rPr>
      </w:pPr>
      <w:r w:rsidRPr="00FC45E9">
        <w:rPr>
          <w:rFonts w:cs="Arial"/>
        </w:rPr>
        <w:t xml:space="preserve">Conversely, there appear to be minimal issues raised to date about wind farms that are located on large land holdings, or on flat or slight to moderate undulating land and sites that are well away from neighbours </w:t>
      </w:r>
      <w:r>
        <w:rPr>
          <w:rFonts w:cs="Arial"/>
        </w:rPr>
        <w:t xml:space="preserve">and towns </w:t>
      </w:r>
      <w:r w:rsidRPr="00FC45E9">
        <w:rPr>
          <w:rFonts w:cs="Arial"/>
        </w:rPr>
        <w:t>(noting comments made earlier regarding landowner and neighbour agreements in subsections 1 and 2).</w:t>
      </w:r>
    </w:p>
    <w:p w14:paraId="3CA28A79" w14:textId="1F186C33" w:rsidR="001556F0" w:rsidRDefault="001556F0" w:rsidP="001556F0">
      <w:pPr>
        <w:pStyle w:val="ListParagraph"/>
        <w:numPr>
          <w:ilvl w:val="0"/>
          <w:numId w:val="0"/>
        </w:numPr>
        <w:spacing w:line="264" w:lineRule="auto"/>
        <w:ind w:left="360"/>
        <w:rPr>
          <w:rFonts w:cs="Arial"/>
        </w:rPr>
      </w:pPr>
      <w:r>
        <w:rPr>
          <w:rFonts w:cs="Arial"/>
        </w:rPr>
        <w:t xml:space="preserve">Location, capacity and availability of accessible transmission </w:t>
      </w:r>
      <w:r w:rsidR="000277FC">
        <w:rPr>
          <w:rFonts w:cs="Arial"/>
        </w:rPr>
        <w:t xml:space="preserve">lines </w:t>
      </w:r>
      <w:r>
        <w:rPr>
          <w:rFonts w:cs="Arial"/>
        </w:rPr>
        <w:t>remains a significant challenge for the renewable energy industry. A number of more recently completed projects have discovered, upon connection to the grid, that there is insufficient available capacity in the existing transmission line for the project’s generational output to be delivered – resulting in significant curtailment of the generation capacity of the project. In particular, a number of large-scale solar projects have experienced this situation, as these projects tend to be in more remote locations in order to capture the solar resource. Again, it may be prudent for developers to engage early with AEMO and transmission operators to ensure that the planned project’s output can be fully accommodated.</w:t>
      </w:r>
    </w:p>
    <w:p w14:paraId="42A70D63" w14:textId="77777777" w:rsidR="001556F0" w:rsidRPr="00D035E9" w:rsidRDefault="001556F0" w:rsidP="001556F0">
      <w:pPr>
        <w:pStyle w:val="ListParagraph"/>
        <w:numPr>
          <w:ilvl w:val="0"/>
          <w:numId w:val="0"/>
        </w:numPr>
        <w:spacing w:line="264" w:lineRule="auto"/>
        <w:ind w:left="360"/>
        <w:rPr>
          <w:rFonts w:cs="Arial"/>
          <w:b/>
        </w:rPr>
      </w:pPr>
      <w:r w:rsidRPr="00D035E9">
        <w:rPr>
          <w:rFonts w:cs="Arial"/>
          <w:b/>
        </w:rPr>
        <w:t>Optimising site locations</w:t>
      </w:r>
    </w:p>
    <w:p w14:paraId="1DB9691B"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There may be opportunities to select and prioritise wind </w:t>
      </w:r>
      <w:r>
        <w:rPr>
          <w:rFonts w:cs="Arial"/>
        </w:rPr>
        <w:t xml:space="preserve">and solar energy </w:t>
      </w:r>
      <w:r w:rsidRPr="00FC45E9">
        <w:rPr>
          <w:rFonts w:cs="Arial"/>
        </w:rPr>
        <w:t>projects</w:t>
      </w:r>
      <w:r>
        <w:rPr>
          <w:rFonts w:cs="Arial"/>
        </w:rPr>
        <w:t xml:space="preserve"> in</w:t>
      </w:r>
      <w:r w:rsidRPr="00FC45E9">
        <w:rPr>
          <w:rFonts w:cs="Arial"/>
        </w:rPr>
        <w:t xml:space="preserve"> the current pipeline</w:t>
      </w:r>
      <w:r>
        <w:rPr>
          <w:rFonts w:cs="Arial"/>
        </w:rPr>
        <w:t xml:space="preserve"> based on an increased</w:t>
      </w:r>
      <w:r w:rsidRPr="00FC45E9">
        <w:rPr>
          <w:rFonts w:cs="Arial"/>
        </w:rPr>
        <w:t xml:space="preserve"> likelihood of acceptance of the project by the surrounding community. </w:t>
      </w:r>
      <w:r>
        <w:rPr>
          <w:rFonts w:cs="Arial"/>
        </w:rPr>
        <w:t>With the increase</w:t>
      </w:r>
      <w:r w:rsidDel="00CC51E9">
        <w:rPr>
          <w:rFonts w:cs="Arial"/>
        </w:rPr>
        <w:t xml:space="preserve"> </w:t>
      </w:r>
      <w:r>
        <w:rPr>
          <w:rFonts w:cs="Arial"/>
        </w:rPr>
        <w:t xml:space="preserve">in development and construction costs, the ongoing grid connection issues and the declining value of large-scale generation certificates, not all projects in the development pipeline are expected to </w:t>
      </w:r>
      <w:r w:rsidRPr="00FC45E9">
        <w:rPr>
          <w:rFonts w:cs="Arial"/>
        </w:rPr>
        <w:t xml:space="preserve">go ahead. There is </w:t>
      </w:r>
      <w:r>
        <w:rPr>
          <w:rFonts w:cs="Arial"/>
        </w:rPr>
        <w:t>an opportunity</w:t>
      </w:r>
      <w:r w:rsidRPr="00FC45E9">
        <w:rPr>
          <w:rFonts w:cs="Arial"/>
        </w:rPr>
        <w:t xml:space="preserve"> to select projects that meet other key parameters, including economic and regional development goals, while also </w:t>
      </w:r>
      <w:r>
        <w:rPr>
          <w:rFonts w:cs="Arial"/>
        </w:rPr>
        <w:t xml:space="preserve">selecting sites that are </w:t>
      </w:r>
      <w:r w:rsidRPr="00FC45E9">
        <w:rPr>
          <w:rFonts w:cs="Arial"/>
        </w:rPr>
        <w:t>optimal from a community impact</w:t>
      </w:r>
      <w:r>
        <w:rPr>
          <w:rFonts w:cs="Arial"/>
        </w:rPr>
        <w:t xml:space="preserve"> perspective</w:t>
      </w:r>
      <w:r w:rsidRPr="00FC45E9">
        <w:rPr>
          <w:rFonts w:cs="Arial"/>
        </w:rPr>
        <w:t>.</w:t>
      </w:r>
    </w:p>
    <w:p w14:paraId="6D01F7FD" w14:textId="06FB9C19" w:rsidR="001556F0" w:rsidRDefault="001556F0" w:rsidP="001556F0">
      <w:pPr>
        <w:pStyle w:val="ListParagraph"/>
        <w:numPr>
          <w:ilvl w:val="0"/>
          <w:numId w:val="0"/>
        </w:numPr>
        <w:spacing w:line="264" w:lineRule="auto"/>
        <w:ind w:left="360"/>
        <w:rPr>
          <w:rFonts w:cs="Arial"/>
        </w:rPr>
      </w:pPr>
      <w:r>
        <w:rPr>
          <w:rFonts w:cs="Arial"/>
        </w:rPr>
        <w:t>Recent state and territory government initiatives, such as the identification of Renewable Energy Zones (REZs) in New South Wales, Queensland and Victoria as well as the VRET Program (Victoria), Reverse Auction Program (ACT) and Renewables 400 (Queensland) have enabled governments to become involved in selecting projects that are located in more optimal sites. These programs also provide a level of control to mandate community engagement programs through to ensuring minimal or no cumulative effects from neighbouring projects. Upgrades to the grid system at a national level may also provide opportunities to explore new locations for renewable projects.</w:t>
      </w:r>
    </w:p>
    <w:p w14:paraId="7F93942D" w14:textId="77777777" w:rsidR="001556F0" w:rsidRDefault="001556F0" w:rsidP="001556F0">
      <w:pPr>
        <w:pStyle w:val="ListParagraph"/>
        <w:numPr>
          <w:ilvl w:val="0"/>
          <w:numId w:val="0"/>
        </w:numPr>
        <w:spacing w:line="264" w:lineRule="auto"/>
        <w:ind w:left="360"/>
        <w:rPr>
          <w:rFonts w:cs="Arial"/>
        </w:rPr>
      </w:pPr>
      <w:r>
        <w:rPr>
          <w:rFonts w:cs="Arial"/>
        </w:rPr>
        <w:t>REZs may need to contend with the issue of cumulative effects as developers concentrate their efforts in the REZ geography to leverage the transmission hub that is to be established. REZ administrators have the opportunity to license or select developers/projects that are most likely to achieve community acceptance as well as not create cumulative effect issues as an unintended consequence of a REZ.</w:t>
      </w:r>
    </w:p>
    <w:p w14:paraId="5BA87882"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lastRenderedPageBreak/>
        <w:t xml:space="preserve">Given that existing </w:t>
      </w:r>
      <w:r>
        <w:rPr>
          <w:rFonts w:cs="Arial"/>
        </w:rPr>
        <w:t>projects</w:t>
      </w:r>
      <w:r w:rsidRPr="00FC45E9">
        <w:rPr>
          <w:rFonts w:cs="Arial"/>
        </w:rPr>
        <w:t xml:space="preserve"> have most likely already selected optimal sites for their location, management and selection of appropriate new sites from remaining site options may become more difficult. A more ‘top-down’ approach to selecting projects, together with appropriate </w:t>
      </w:r>
      <w:r>
        <w:rPr>
          <w:rFonts w:cs="Arial"/>
        </w:rPr>
        <w:t xml:space="preserve">long-term planning and </w:t>
      </w:r>
      <w:r w:rsidRPr="00FC45E9">
        <w:rPr>
          <w:rFonts w:cs="Arial"/>
        </w:rPr>
        <w:t xml:space="preserve">augmentation of the grid, </w:t>
      </w:r>
      <w:r>
        <w:rPr>
          <w:rFonts w:cs="Arial"/>
        </w:rPr>
        <w:t xml:space="preserve">should assist </w:t>
      </w:r>
      <w:r w:rsidRPr="00FC45E9">
        <w:rPr>
          <w:rFonts w:cs="Arial"/>
        </w:rPr>
        <w:t xml:space="preserve">greatly in </w:t>
      </w:r>
      <w:r>
        <w:rPr>
          <w:rFonts w:cs="Arial"/>
        </w:rPr>
        <w:t xml:space="preserve">managing </w:t>
      </w:r>
      <w:r w:rsidRPr="00FC45E9">
        <w:rPr>
          <w:rFonts w:cs="Arial"/>
        </w:rPr>
        <w:t>this challenge going forward.</w:t>
      </w:r>
    </w:p>
    <w:p w14:paraId="6923FE4C" w14:textId="77777777" w:rsidR="001556F0" w:rsidRPr="00FC45E9" w:rsidRDefault="001556F0" w:rsidP="001556F0">
      <w:pPr>
        <w:pStyle w:val="ListParagraph"/>
        <w:numPr>
          <w:ilvl w:val="1"/>
          <w:numId w:val="8"/>
        </w:numPr>
        <w:spacing w:line="264" w:lineRule="auto"/>
        <w:rPr>
          <w:rFonts w:cs="Arial"/>
          <w:b/>
        </w:rPr>
      </w:pPr>
      <w:r w:rsidRPr="00FC45E9">
        <w:rPr>
          <w:rFonts w:cs="Arial"/>
          <w:b/>
        </w:rPr>
        <w:t>Recommendations</w:t>
      </w:r>
    </w:p>
    <w:p w14:paraId="24DF991B"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State</w:t>
      </w:r>
      <w:r>
        <w:rPr>
          <w:rFonts w:cs="Arial"/>
        </w:rPr>
        <w:t>/territory</w:t>
      </w:r>
      <w:r w:rsidRPr="00FC45E9">
        <w:rPr>
          <w:rFonts w:cs="Arial"/>
        </w:rPr>
        <w:t xml:space="preserve"> and local governments should consider assessing proposed wind </w:t>
      </w:r>
      <w:r>
        <w:rPr>
          <w:rFonts w:cs="Arial"/>
        </w:rPr>
        <w:t xml:space="preserve">and solar </w:t>
      </w:r>
      <w:r w:rsidRPr="00FC45E9">
        <w:rPr>
          <w:rFonts w:cs="Arial"/>
        </w:rPr>
        <w:t xml:space="preserve">energy projects on a wider range of criteria (including </w:t>
      </w:r>
      <w:r>
        <w:rPr>
          <w:rFonts w:cs="Arial"/>
        </w:rPr>
        <w:t xml:space="preserve">ability for power output to be transmitted and consumed, </w:t>
      </w:r>
      <w:r w:rsidRPr="00FC45E9">
        <w:rPr>
          <w:rFonts w:cs="Arial"/>
        </w:rPr>
        <w:t>the suitability of a location from a community impact perspective and the degree of community support) and then prioritising projects for approval or progression accordingly. ‘Reverse auction’ feed-in tariff schemes such as the schemes deployed by the ACT</w:t>
      </w:r>
      <w:r>
        <w:rPr>
          <w:rFonts w:cs="Arial"/>
        </w:rPr>
        <w:t>, Queensland</w:t>
      </w:r>
      <w:r w:rsidRPr="00FC45E9">
        <w:rPr>
          <w:rFonts w:cs="Arial"/>
        </w:rPr>
        <w:t xml:space="preserve"> and Victorian governments, could be an example of how to prioritise and incentivise projects to be developed in preferred locations</w:t>
      </w:r>
      <w:r>
        <w:rPr>
          <w:rFonts w:cs="Arial"/>
        </w:rPr>
        <w:t>. These schemes</w:t>
      </w:r>
      <w:r w:rsidRPr="00FC45E9">
        <w:rPr>
          <w:rFonts w:cs="Arial"/>
        </w:rPr>
        <w:t xml:space="preserve"> </w:t>
      </w:r>
      <w:r>
        <w:rPr>
          <w:rFonts w:cs="Arial"/>
        </w:rPr>
        <w:t xml:space="preserve">can also </w:t>
      </w:r>
      <w:r w:rsidRPr="00FC45E9">
        <w:rPr>
          <w:rFonts w:cs="Arial"/>
        </w:rPr>
        <w:t xml:space="preserve">promote best practice community engagement. </w:t>
      </w:r>
      <w:r>
        <w:rPr>
          <w:rFonts w:cs="Arial"/>
        </w:rPr>
        <w:t>V</w:t>
      </w:r>
      <w:r w:rsidRPr="00FC45E9">
        <w:rPr>
          <w:rFonts w:cs="Arial"/>
        </w:rPr>
        <w:t xml:space="preserve">isual amenity guidelines </w:t>
      </w:r>
      <w:r>
        <w:rPr>
          <w:rFonts w:cs="Arial"/>
        </w:rPr>
        <w:t xml:space="preserve">such as the </w:t>
      </w:r>
      <w:r w:rsidRPr="005404E2">
        <w:rPr>
          <w:rFonts w:cs="Arial"/>
          <w:i/>
          <w:iCs/>
        </w:rPr>
        <w:t>Wind Energy Visual Assessment Bulletin for State Significant Wind Energy Development</w:t>
      </w:r>
      <w:r>
        <w:rPr>
          <w:rFonts w:cs="Arial"/>
        </w:rPr>
        <w:t xml:space="preserve"> </w:t>
      </w:r>
      <w:r w:rsidRPr="00FC45E9">
        <w:rPr>
          <w:rFonts w:cs="Arial"/>
        </w:rPr>
        <w:t xml:space="preserve">introduced in New South Wales </w:t>
      </w:r>
      <w:r>
        <w:rPr>
          <w:rFonts w:cs="Arial"/>
        </w:rPr>
        <w:t xml:space="preserve">in 2016 </w:t>
      </w:r>
      <w:r w:rsidRPr="00FC45E9">
        <w:rPr>
          <w:rFonts w:cs="Arial"/>
        </w:rPr>
        <w:t>c</w:t>
      </w:r>
      <w:r>
        <w:rPr>
          <w:rFonts w:cs="Arial"/>
        </w:rPr>
        <w:t>an</w:t>
      </w:r>
      <w:r w:rsidRPr="00FC45E9">
        <w:rPr>
          <w:rFonts w:cs="Arial"/>
        </w:rPr>
        <w:t xml:space="preserve"> also restrict development in more populated areas, including </w:t>
      </w:r>
      <w:r>
        <w:rPr>
          <w:rFonts w:cs="Arial"/>
        </w:rPr>
        <w:t>assessing the acceptability of</w:t>
      </w:r>
      <w:r w:rsidRPr="00FC45E9">
        <w:rPr>
          <w:rFonts w:cs="Arial"/>
        </w:rPr>
        <w:t xml:space="preserve"> multiple wind farms in a given location.</w:t>
      </w:r>
    </w:p>
    <w:p w14:paraId="31015F13"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State and local governments may also consider other criteria in assessing and prioritising wind </w:t>
      </w:r>
      <w:r>
        <w:rPr>
          <w:rFonts w:cs="Arial"/>
        </w:rPr>
        <w:t xml:space="preserve">and solar </w:t>
      </w:r>
      <w:r w:rsidRPr="00FC45E9">
        <w:rPr>
          <w:rFonts w:cs="Arial"/>
        </w:rPr>
        <w:t xml:space="preserve">energy projects, including economic development and the ability to both support regional and industry development through improved local electricity supply and infrastructure in regional communities. Appropriate zoning </w:t>
      </w:r>
      <w:r>
        <w:rPr>
          <w:rFonts w:cs="Arial"/>
        </w:rPr>
        <w:t xml:space="preserve">for renewable energy development and </w:t>
      </w:r>
      <w:r w:rsidRPr="00FC45E9">
        <w:rPr>
          <w:rFonts w:cs="Arial"/>
        </w:rPr>
        <w:t xml:space="preserve">overlays for clarifying where it would be appropriate or not appropriate to build and operate </w:t>
      </w:r>
      <w:r>
        <w:rPr>
          <w:rFonts w:cs="Arial"/>
        </w:rPr>
        <w:t>projects</w:t>
      </w:r>
      <w:r w:rsidRPr="00FC45E9">
        <w:rPr>
          <w:rFonts w:cs="Arial"/>
        </w:rPr>
        <w:t xml:space="preserve"> should also be considered.</w:t>
      </w:r>
    </w:p>
    <w:p w14:paraId="1CA93392"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Prospecting for new wind </w:t>
      </w:r>
      <w:r>
        <w:rPr>
          <w:rFonts w:cs="Arial"/>
        </w:rPr>
        <w:t xml:space="preserve">and solar </w:t>
      </w:r>
      <w:r w:rsidRPr="00FC45E9">
        <w:rPr>
          <w:rFonts w:cs="Arial"/>
        </w:rPr>
        <w:t xml:space="preserve">farm development sites could be subject to an ‘approval </w:t>
      </w:r>
      <w:r>
        <w:rPr>
          <w:rFonts w:cs="Arial"/>
        </w:rPr>
        <w:t xml:space="preserve">(or license) </w:t>
      </w:r>
      <w:r w:rsidRPr="00FC45E9">
        <w:rPr>
          <w:rFonts w:cs="Arial"/>
        </w:rPr>
        <w:t xml:space="preserve">to prospect’ requirement issued by the responsible authority before </w:t>
      </w:r>
      <w:r>
        <w:rPr>
          <w:rFonts w:cs="Arial"/>
        </w:rPr>
        <w:t xml:space="preserve">formal </w:t>
      </w:r>
      <w:r w:rsidRPr="00FC45E9">
        <w:rPr>
          <w:rFonts w:cs="Arial"/>
        </w:rPr>
        <w:t xml:space="preserve">prospecting commences. The approval to prospect </w:t>
      </w:r>
      <w:r>
        <w:rPr>
          <w:rFonts w:cs="Arial"/>
        </w:rPr>
        <w:t xml:space="preserve">a specified potential site </w:t>
      </w:r>
      <w:r w:rsidRPr="00FC45E9">
        <w:rPr>
          <w:rFonts w:cs="Arial"/>
        </w:rPr>
        <w:t>would be granted on a range of criteria, including the suitability of the proposed site</w:t>
      </w:r>
      <w:r>
        <w:rPr>
          <w:rFonts w:cs="Arial"/>
        </w:rPr>
        <w:t>, alignment with the State’s renewable energy zone strategy, transmission capacity/availability</w:t>
      </w:r>
      <w:r w:rsidRPr="00FC45E9">
        <w:rPr>
          <w:rFonts w:cs="Arial"/>
        </w:rPr>
        <w:t xml:space="preserve"> as well as the credentials of the developer and key personnel. See also Recommendation 1.2.</w:t>
      </w:r>
      <w:r>
        <w:rPr>
          <w:rFonts w:cs="Arial"/>
        </w:rPr>
        <w:t>10</w:t>
      </w:r>
      <w:r w:rsidRPr="00FC45E9">
        <w:rPr>
          <w:rFonts w:cs="Arial"/>
        </w:rPr>
        <w:t>.</w:t>
      </w:r>
    </w:p>
    <w:p w14:paraId="222C2F73"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As part of the assessment suggested in Recommendation 8.2.1, the responsible authority should have processes in place to obtain and verify clear evidence of the developer’s consultations with affected landowners and residents and be able to assess the likelihood of strong community support for the project.</w:t>
      </w:r>
    </w:p>
    <w:p w14:paraId="1425063A"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Once an approved </w:t>
      </w:r>
      <w:r>
        <w:rPr>
          <w:rFonts w:cs="Arial"/>
        </w:rPr>
        <w:t>project</w:t>
      </w:r>
      <w:r w:rsidRPr="00FC45E9">
        <w:rPr>
          <w:rFonts w:cs="Arial"/>
        </w:rPr>
        <w:t xml:space="preserve"> has </w:t>
      </w:r>
      <w:r>
        <w:rPr>
          <w:rFonts w:cs="Arial"/>
        </w:rPr>
        <w:t xml:space="preserve">materially </w:t>
      </w:r>
      <w:r w:rsidRPr="00FC45E9">
        <w:rPr>
          <w:rFonts w:cs="Arial"/>
        </w:rPr>
        <w:t xml:space="preserve">commenced construction, the responsible authority </w:t>
      </w:r>
      <w:r>
        <w:rPr>
          <w:rFonts w:cs="Arial"/>
        </w:rPr>
        <w:t>may need to</w:t>
      </w:r>
      <w:r w:rsidRPr="00FC45E9">
        <w:rPr>
          <w:rFonts w:cs="Arial"/>
        </w:rPr>
        <w:t xml:space="preserve"> </w:t>
      </w:r>
      <w:r>
        <w:rPr>
          <w:rFonts w:cs="Arial"/>
        </w:rPr>
        <w:t xml:space="preserve">check </w:t>
      </w:r>
      <w:r w:rsidRPr="00FC45E9">
        <w:rPr>
          <w:rFonts w:cs="Arial"/>
        </w:rPr>
        <w:t xml:space="preserve">other </w:t>
      </w:r>
      <w:r>
        <w:rPr>
          <w:rFonts w:cs="Arial"/>
        </w:rPr>
        <w:t xml:space="preserve">approved </w:t>
      </w:r>
      <w:r w:rsidRPr="00FC45E9">
        <w:rPr>
          <w:rFonts w:cs="Arial"/>
        </w:rPr>
        <w:t xml:space="preserve">projects in the area </w:t>
      </w:r>
      <w:r>
        <w:rPr>
          <w:rFonts w:cs="Arial"/>
        </w:rPr>
        <w:t xml:space="preserve">which are yet to commence construction, to ensure </w:t>
      </w:r>
      <w:r w:rsidRPr="00FC45E9">
        <w:rPr>
          <w:rFonts w:cs="Arial"/>
        </w:rPr>
        <w:t>any compounding effects on residents, including noise, shadow flicker and visual amenity</w:t>
      </w:r>
      <w:r>
        <w:rPr>
          <w:rFonts w:cs="Arial"/>
        </w:rPr>
        <w:t>, have been properly considered in those applications/permits</w:t>
      </w:r>
      <w:r w:rsidRPr="00FC45E9">
        <w:rPr>
          <w:rFonts w:cs="Arial"/>
        </w:rPr>
        <w:t xml:space="preserve">. </w:t>
      </w:r>
      <w:r>
        <w:rPr>
          <w:rFonts w:cs="Arial"/>
        </w:rPr>
        <w:t>If necessary and where reasonable, t</w:t>
      </w:r>
      <w:r w:rsidRPr="00FC45E9">
        <w:rPr>
          <w:rFonts w:cs="Arial"/>
        </w:rPr>
        <w:t xml:space="preserve">he responsible authority should also have the ability to require a modification to the </w:t>
      </w:r>
      <w:r>
        <w:rPr>
          <w:rFonts w:cs="Arial"/>
        </w:rPr>
        <w:t xml:space="preserve">approved </w:t>
      </w:r>
      <w:r w:rsidRPr="00FC45E9">
        <w:rPr>
          <w:rFonts w:cs="Arial"/>
        </w:rPr>
        <w:t>planning permit and layout of those projects that have not already materially commenced construction. Background noise levels should exclude any noise contribution from a neighbouring operating wind farm for the purposes of applying the noise standard.</w:t>
      </w:r>
    </w:p>
    <w:p w14:paraId="6B6CA26E"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State governments should publish and maintain a map of all operating and proposed wind </w:t>
      </w:r>
      <w:r>
        <w:rPr>
          <w:rFonts w:cs="Arial"/>
        </w:rPr>
        <w:t xml:space="preserve">and solar </w:t>
      </w:r>
      <w:r w:rsidRPr="00FC45E9">
        <w:rPr>
          <w:rFonts w:cs="Arial"/>
        </w:rPr>
        <w:t xml:space="preserve">farms, including the location of the </w:t>
      </w:r>
      <w:r>
        <w:rPr>
          <w:rFonts w:cs="Arial"/>
        </w:rPr>
        <w:t>project</w:t>
      </w:r>
      <w:r w:rsidRPr="00FC45E9">
        <w:rPr>
          <w:rFonts w:cs="Arial"/>
        </w:rPr>
        <w:t xml:space="preserve">, location of </w:t>
      </w:r>
      <w:r>
        <w:rPr>
          <w:rFonts w:cs="Arial"/>
        </w:rPr>
        <w:t xml:space="preserve">wind </w:t>
      </w:r>
      <w:r w:rsidRPr="00FC45E9">
        <w:rPr>
          <w:rFonts w:cs="Arial"/>
        </w:rPr>
        <w:t>turbines</w:t>
      </w:r>
      <w:r>
        <w:rPr>
          <w:rFonts w:cs="Arial"/>
        </w:rPr>
        <w:t xml:space="preserve"> or solar arrays</w:t>
      </w:r>
      <w:r w:rsidRPr="00FC45E9">
        <w:rPr>
          <w:rFonts w:cs="Arial"/>
        </w:rPr>
        <w:t xml:space="preserve">, the status of the project (proposed, permitted, in construction or operating) as well as information about the </w:t>
      </w:r>
      <w:r>
        <w:rPr>
          <w:rFonts w:cs="Arial"/>
        </w:rPr>
        <w:t xml:space="preserve">project’s </w:t>
      </w:r>
      <w:r w:rsidRPr="00FC45E9">
        <w:rPr>
          <w:rFonts w:cs="Arial"/>
        </w:rPr>
        <w:t xml:space="preserve">design, including number and size/rating of </w:t>
      </w:r>
      <w:r>
        <w:rPr>
          <w:rFonts w:cs="Arial"/>
        </w:rPr>
        <w:t xml:space="preserve">wind </w:t>
      </w:r>
      <w:r w:rsidRPr="00FC45E9">
        <w:rPr>
          <w:rFonts w:cs="Arial"/>
        </w:rPr>
        <w:t xml:space="preserve">turbines </w:t>
      </w:r>
      <w:r>
        <w:rPr>
          <w:rFonts w:cs="Arial"/>
        </w:rPr>
        <w:t xml:space="preserve">or solar arrays </w:t>
      </w:r>
      <w:r w:rsidRPr="00FC45E9">
        <w:rPr>
          <w:rFonts w:cs="Arial"/>
        </w:rPr>
        <w:t xml:space="preserve">and information about the proponent. </w:t>
      </w:r>
    </w:p>
    <w:p w14:paraId="41A03B1D"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lastRenderedPageBreak/>
        <w:t xml:space="preserve">State governments, in conjunction with </w:t>
      </w:r>
      <w:r>
        <w:rPr>
          <w:rFonts w:cs="Arial"/>
        </w:rPr>
        <w:t xml:space="preserve">the </w:t>
      </w:r>
      <w:r w:rsidRPr="00FC45E9">
        <w:rPr>
          <w:rFonts w:cs="Arial"/>
        </w:rPr>
        <w:t>appropriate Australian Government departments/agencies and the Australian Energy Market Operator (AEMO), should review current and planned transmission infrastructure to ensure it allow</w:t>
      </w:r>
      <w:r>
        <w:rPr>
          <w:rFonts w:cs="Arial"/>
        </w:rPr>
        <w:t>s</w:t>
      </w:r>
      <w:r w:rsidRPr="00FC45E9">
        <w:rPr>
          <w:rFonts w:cs="Arial"/>
        </w:rPr>
        <w:t xml:space="preserve"> </w:t>
      </w:r>
      <w:r>
        <w:rPr>
          <w:rFonts w:cs="Arial"/>
        </w:rPr>
        <w:t xml:space="preserve">for </w:t>
      </w:r>
      <w:r w:rsidRPr="00FC45E9">
        <w:rPr>
          <w:rFonts w:cs="Arial"/>
        </w:rPr>
        <w:t>new large</w:t>
      </w:r>
      <w:r>
        <w:rPr>
          <w:rFonts w:cs="Arial"/>
        </w:rPr>
        <w:t>-</w:t>
      </w:r>
      <w:r w:rsidRPr="00FC45E9">
        <w:rPr>
          <w:rFonts w:cs="Arial"/>
        </w:rPr>
        <w:t xml:space="preserve">scale renewable generation facilities to be connected in the most optimal locations for renewable resources. </w:t>
      </w:r>
      <w:r>
        <w:rPr>
          <w:rFonts w:cs="Arial"/>
        </w:rPr>
        <w:t>AEMO’s Integrated System Plan has identified a number of potential renewable energy zones that provides insight and direction transmission planning</w:t>
      </w:r>
      <w:r w:rsidRPr="00FC45E9">
        <w:rPr>
          <w:rFonts w:cs="Arial"/>
        </w:rPr>
        <w:t>.</w:t>
      </w:r>
      <w:r>
        <w:rPr>
          <w:rFonts w:cs="Arial"/>
        </w:rPr>
        <w:t xml:space="preserve"> The resulting n</w:t>
      </w:r>
      <w:r w:rsidRPr="005C39C9">
        <w:rPr>
          <w:rFonts w:cs="Arial"/>
        </w:rPr>
        <w:t xml:space="preserve">ew and/or augmented transmission infrastructure needs to be </w:t>
      </w:r>
      <w:r>
        <w:rPr>
          <w:rFonts w:cs="Arial"/>
        </w:rPr>
        <w:t xml:space="preserve">planned, built and commissioned and </w:t>
      </w:r>
      <w:r w:rsidRPr="005C39C9">
        <w:rPr>
          <w:rFonts w:cs="Arial"/>
        </w:rPr>
        <w:t>in place in a timely manner.</w:t>
      </w:r>
      <w:r>
        <w:rPr>
          <w:rFonts w:cs="Arial"/>
        </w:rPr>
        <w:t xml:space="preserve"> If state government REZ programs are executed well, they should address this recommendation along with the major backbone grid deployments currently in plan.</w:t>
      </w:r>
    </w:p>
    <w:p w14:paraId="3B08A9C4" w14:textId="77777777" w:rsidR="001556F0" w:rsidRPr="005C39C9" w:rsidRDefault="001556F0" w:rsidP="001556F0">
      <w:pPr>
        <w:pStyle w:val="ListParagraph"/>
        <w:numPr>
          <w:ilvl w:val="0"/>
          <w:numId w:val="0"/>
        </w:numPr>
        <w:spacing w:line="264" w:lineRule="auto"/>
        <w:ind w:left="1400"/>
        <w:rPr>
          <w:rFonts w:cs="Arial"/>
        </w:rPr>
      </w:pPr>
    </w:p>
    <w:p w14:paraId="5665A310" w14:textId="77777777" w:rsidR="001556F0" w:rsidRPr="00FC45E9" w:rsidRDefault="001556F0" w:rsidP="001556F0">
      <w:pPr>
        <w:pStyle w:val="Heading2"/>
        <w:numPr>
          <w:ilvl w:val="0"/>
          <w:numId w:val="8"/>
        </w:numPr>
      </w:pPr>
      <w:bookmarkStart w:id="51" w:name="_Toc51224056"/>
      <w:bookmarkStart w:id="52" w:name="_Toc84430837"/>
      <w:r w:rsidRPr="00FC45E9">
        <w:t xml:space="preserve">Health </w:t>
      </w:r>
      <w:r>
        <w:t xml:space="preserve">and Safety </w:t>
      </w:r>
      <w:r w:rsidRPr="00FC45E9">
        <w:t>Matters</w:t>
      </w:r>
      <w:bookmarkEnd w:id="51"/>
      <w:bookmarkEnd w:id="52"/>
    </w:p>
    <w:p w14:paraId="142D7502" w14:textId="77777777" w:rsidR="001556F0" w:rsidRPr="00FC45E9" w:rsidRDefault="001556F0" w:rsidP="001556F0">
      <w:pPr>
        <w:pStyle w:val="ListParagraph"/>
        <w:numPr>
          <w:ilvl w:val="1"/>
          <w:numId w:val="8"/>
        </w:numPr>
        <w:spacing w:line="264" w:lineRule="auto"/>
        <w:rPr>
          <w:rFonts w:cs="Arial"/>
          <w:b/>
        </w:rPr>
      </w:pPr>
      <w:r w:rsidRPr="00FC45E9">
        <w:rPr>
          <w:rFonts w:cs="Arial"/>
          <w:b/>
        </w:rPr>
        <w:t>Observations</w:t>
      </w:r>
    </w:p>
    <w:p w14:paraId="2EEE7930" w14:textId="77777777" w:rsidR="001556F0" w:rsidRPr="00BF21D0" w:rsidRDefault="001556F0" w:rsidP="001556F0">
      <w:pPr>
        <w:pStyle w:val="ListParagraph"/>
        <w:numPr>
          <w:ilvl w:val="0"/>
          <w:numId w:val="0"/>
        </w:numPr>
        <w:spacing w:line="264" w:lineRule="auto"/>
        <w:ind w:left="360"/>
        <w:rPr>
          <w:rFonts w:cs="Arial"/>
          <w:b/>
        </w:rPr>
      </w:pPr>
      <w:r w:rsidRPr="00BF21D0">
        <w:rPr>
          <w:rFonts w:cs="Arial"/>
          <w:b/>
        </w:rPr>
        <w:t>Health</w:t>
      </w:r>
    </w:p>
    <w:p w14:paraId="0DABE767"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Much has been and continues to be written and researched on the topic of wind farms and health effects. Debate continues around the world as to whether a wind farm causes physiological harm to residents living </w:t>
      </w:r>
      <w:r>
        <w:rPr>
          <w:rFonts w:cs="Arial"/>
        </w:rPr>
        <w:t>with</w:t>
      </w:r>
      <w:r w:rsidRPr="00FC45E9">
        <w:rPr>
          <w:rFonts w:cs="Arial"/>
        </w:rPr>
        <w:t>in its vicinity.</w:t>
      </w:r>
    </w:p>
    <w:p w14:paraId="16D92067" w14:textId="77777777" w:rsidR="001556F0" w:rsidRPr="002B6C16" w:rsidRDefault="001556F0" w:rsidP="001556F0">
      <w:pPr>
        <w:pStyle w:val="ListParagraph"/>
        <w:numPr>
          <w:ilvl w:val="0"/>
          <w:numId w:val="0"/>
        </w:numPr>
        <w:spacing w:line="264" w:lineRule="auto"/>
        <w:ind w:left="360"/>
        <w:rPr>
          <w:rFonts w:cs="Arial"/>
        </w:rPr>
      </w:pPr>
      <w:r w:rsidRPr="00FC45E9">
        <w:rPr>
          <w:rFonts w:cs="Arial"/>
        </w:rPr>
        <w:t xml:space="preserve">In 2016, the NHMRC announced the funding of two research studies into wind farms and health. </w:t>
      </w:r>
      <w:r w:rsidRPr="006B07A2">
        <w:rPr>
          <w:rFonts w:cs="Arial"/>
        </w:rPr>
        <w:t xml:space="preserve">One study is focused on the effects of </w:t>
      </w:r>
      <w:r>
        <w:rPr>
          <w:rFonts w:cs="Arial"/>
        </w:rPr>
        <w:t xml:space="preserve">audible </w:t>
      </w:r>
      <w:r w:rsidRPr="006B07A2">
        <w:rPr>
          <w:rFonts w:cs="Arial"/>
        </w:rPr>
        <w:t>wind farm noise on sleep and is led by Professor Peter Catcheside at Flinders University. The o</w:t>
      </w:r>
      <w:r w:rsidRPr="002B6C16">
        <w:rPr>
          <w:rFonts w:cs="Arial"/>
        </w:rPr>
        <w:t>ther study is focused on measuring the effects of infrasound</w:t>
      </w:r>
      <w:r>
        <w:rPr>
          <w:rFonts w:cs="Arial"/>
        </w:rPr>
        <w:t xml:space="preserve"> impacts on humans</w:t>
      </w:r>
      <w:r w:rsidRPr="002B6C16">
        <w:rPr>
          <w:rFonts w:cs="Arial"/>
        </w:rPr>
        <w:t xml:space="preserve"> and is led by Professor Guy Marks at the University of New South Wales.</w:t>
      </w:r>
    </w:p>
    <w:p w14:paraId="22BCDBEC"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In addition, in late 2015, the Australian Government established the Independent Scientific Committee on Wind Turbines to provide advice on a range of matters including wind farm noise levels and the relationship to health effects.</w:t>
      </w:r>
    </w:p>
    <w:p w14:paraId="424DB1AB"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A number of complaints about wind farms received by the Office include</w:t>
      </w:r>
      <w:r>
        <w:rPr>
          <w:rFonts w:cs="Arial"/>
        </w:rPr>
        <w:t>d</w:t>
      </w:r>
      <w:r w:rsidRPr="00FC45E9">
        <w:rPr>
          <w:rFonts w:cs="Arial"/>
        </w:rPr>
        <w:t xml:space="preserve"> references to health impacts as a result of wind farm operations. Health conditions cited in complaints include sleep disturbance, headaches, ear-aches, ‘pounding’ in the ears, tinnitus, tachycardia, high blood pressure, sight impairment, diabetes, chest-tightening, nausea and general fatigue. The complain</w:t>
      </w:r>
      <w:r>
        <w:rPr>
          <w:rFonts w:cs="Arial"/>
        </w:rPr>
        <w:t>an</w:t>
      </w:r>
      <w:r w:rsidRPr="00FC45E9">
        <w:rPr>
          <w:rFonts w:cs="Arial"/>
        </w:rPr>
        <w:t xml:space="preserve">ts generally state that such conditions are caused by audible noise and low frequency noise, including infrasound, along with vibration sensations </w:t>
      </w:r>
      <w:r>
        <w:rPr>
          <w:rFonts w:cs="Arial"/>
        </w:rPr>
        <w:t xml:space="preserve">allegedly </w:t>
      </w:r>
      <w:r w:rsidRPr="00FC45E9">
        <w:rPr>
          <w:rFonts w:cs="Arial"/>
        </w:rPr>
        <w:t>attributable to the operation of nearby turbines. In some cases, complain</w:t>
      </w:r>
      <w:r>
        <w:rPr>
          <w:rFonts w:cs="Arial"/>
        </w:rPr>
        <w:t>an</w:t>
      </w:r>
      <w:r w:rsidRPr="00FC45E9">
        <w:rPr>
          <w:rFonts w:cs="Arial"/>
        </w:rPr>
        <w:t>ts have stated that some health conditions are persisting even when the turbines are not operating.</w:t>
      </w:r>
    </w:p>
    <w:p w14:paraId="39A5CB28" w14:textId="77777777" w:rsidR="001556F0" w:rsidRDefault="001556F0" w:rsidP="001556F0">
      <w:pPr>
        <w:pStyle w:val="ListParagraph"/>
        <w:numPr>
          <w:ilvl w:val="0"/>
          <w:numId w:val="0"/>
        </w:numPr>
        <w:spacing w:line="264" w:lineRule="auto"/>
        <w:ind w:left="360"/>
        <w:rPr>
          <w:rFonts w:cs="Arial"/>
        </w:rPr>
      </w:pPr>
      <w:r>
        <w:rPr>
          <w:rFonts w:cs="Arial"/>
        </w:rPr>
        <w:t>N</w:t>
      </w:r>
      <w:r w:rsidRPr="00FC45E9">
        <w:rPr>
          <w:rFonts w:cs="Arial"/>
        </w:rPr>
        <w:t>umerous invitations</w:t>
      </w:r>
      <w:r>
        <w:rPr>
          <w:rFonts w:cs="Arial"/>
        </w:rPr>
        <w:t xml:space="preserve"> have been extended</w:t>
      </w:r>
      <w:r w:rsidRPr="00FC45E9">
        <w:rPr>
          <w:rFonts w:cs="Arial"/>
        </w:rPr>
        <w:t xml:space="preserve"> to complainants to provide evidence of their medical conditions</w:t>
      </w:r>
      <w:r>
        <w:rPr>
          <w:rFonts w:cs="Arial"/>
        </w:rPr>
        <w:t>. C</w:t>
      </w:r>
      <w:r w:rsidRPr="00FC45E9">
        <w:rPr>
          <w:rFonts w:cs="Arial"/>
        </w:rPr>
        <w:t>omplaint</w:t>
      </w:r>
      <w:r>
        <w:rPr>
          <w:rFonts w:cs="Arial"/>
        </w:rPr>
        <w:t>s</w:t>
      </w:r>
      <w:r w:rsidRPr="00FC45E9">
        <w:rPr>
          <w:rFonts w:cs="Arial"/>
        </w:rPr>
        <w:t xml:space="preserve"> regarding health concerns received by </w:t>
      </w:r>
      <w:r>
        <w:rPr>
          <w:rFonts w:cs="Arial"/>
        </w:rPr>
        <w:t>the</w:t>
      </w:r>
      <w:r w:rsidRPr="00FC45E9">
        <w:rPr>
          <w:rFonts w:cs="Arial"/>
        </w:rPr>
        <w:t xml:space="preserve"> Office have</w:t>
      </w:r>
      <w:r>
        <w:rPr>
          <w:rFonts w:cs="Arial"/>
        </w:rPr>
        <w:t>, in the main,</w:t>
      </w:r>
      <w:r w:rsidRPr="00FC45E9">
        <w:rPr>
          <w:rFonts w:cs="Arial"/>
        </w:rPr>
        <w:t xml:space="preserve"> provided only anecdotal evidence regarding stated health issues and perceived causality. It has therefore been difficult to </w:t>
      </w:r>
      <w:r>
        <w:rPr>
          <w:rFonts w:cs="Arial"/>
        </w:rPr>
        <w:t xml:space="preserve">form an opinion on </w:t>
      </w:r>
      <w:r w:rsidRPr="00FC45E9">
        <w:rPr>
          <w:rFonts w:cs="Arial"/>
        </w:rPr>
        <w:t xml:space="preserve">whether or not the stated health conditions reported by complainants are valid and, if valid, whether or not the health conditions are possibly a result of the wind farm’s operations or from some </w:t>
      </w:r>
      <w:r>
        <w:rPr>
          <w:rFonts w:cs="Arial"/>
        </w:rPr>
        <w:t xml:space="preserve">other known </w:t>
      </w:r>
      <w:r w:rsidRPr="00FC45E9">
        <w:rPr>
          <w:rFonts w:cs="Arial"/>
        </w:rPr>
        <w:t>cause.</w:t>
      </w:r>
      <w:r>
        <w:rPr>
          <w:rFonts w:cs="Arial"/>
        </w:rPr>
        <w:t xml:space="preserve"> </w:t>
      </w:r>
    </w:p>
    <w:p w14:paraId="286F95CC" w14:textId="77777777" w:rsidR="001556F0" w:rsidRPr="00FC45E9" w:rsidRDefault="001556F0" w:rsidP="001556F0">
      <w:pPr>
        <w:pStyle w:val="ListParagraph"/>
        <w:numPr>
          <w:ilvl w:val="0"/>
          <w:numId w:val="0"/>
        </w:numPr>
        <w:spacing w:line="264" w:lineRule="auto"/>
        <w:ind w:left="360"/>
        <w:rPr>
          <w:rFonts w:cs="Arial"/>
        </w:rPr>
      </w:pPr>
      <w:r w:rsidRPr="000C19EF">
        <w:rPr>
          <w:rFonts w:cs="Arial"/>
        </w:rPr>
        <w:t xml:space="preserve">The Office will continue to handle complaints, with supporting evidence, from community members regarding potential health effects from operating wind farms. Since the Office has commenced, 78 complaints about operating wind farms have been received. These complaints relate to 18 operating wind farms out of a total of more than 100 operating wind farms across Australia. Of these 78 complaints, </w:t>
      </w:r>
      <w:r w:rsidRPr="00FD7F99">
        <w:rPr>
          <w:rFonts w:cs="Arial"/>
        </w:rPr>
        <w:t>approximately half of the complainants cited concerns about health impacts from the operating wind farms</w:t>
      </w:r>
      <w:r w:rsidRPr="008A240A">
        <w:rPr>
          <w:rFonts w:cs="Arial"/>
        </w:rPr>
        <w:t>. Of these, a very small number of complainants agreed to work with the Office and provide evidence of the stated health issues. In all of these cases, the root cause of the stated health issue was not attributable to the wind farm.</w:t>
      </w:r>
    </w:p>
    <w:p w14:paraId="5BD28BE6" w14:textId="77777777" w:rsidR="001556F0" w:rsidRDefault="001556F0" w:rsidP="001556F0">
      <w:pPr>
        <w:pStyle w:val="ListParagraph"/>
        <w:numPr>
          <w:ilvl w:val="0"/>
          <w:numId w:val="0"/>
        </w:numPr>
        <w:spacing w:line="264" w:lineRule="auto"/>
        <w:ind w:left="360"/>
        <w:rPr>
          <w:rFonts w:cs="Arial"/>
        </w:rPr>
      </w:pPr>
      <w:r w:rsidRPr="00FC45E9">
        <w:rPr>
          <w:rFonts w:cs="Arial"/>
        </w:rPr>
        <w:lastRenderedPageBreak/>
        <w:t xml:space="preserve">Further, in </w:t>
      </w:r>
      <w:r w:rsidRPr="00814CF3">
        <w:rPr>
          <w:rFonts w:cs="Arial"/>
        </w:rPr>
        <w:t>20</w:t>
      </w:r>
      <w:r>
        <w:rPr>
          <w:rFonts w:cs="Arial"/>
        </w:rPr>
        <w:t>20</w:t>
      </w:r>
      <w:r w:rsidRPr="00FC45E9">
        <w:rPr>
          <w:rFonts w:cs="Arial"/>
        </w:rPr>
        <w:t xml:space="preserve">, </w:t>
      </w:r>
      <w:r>
        <w:rPr>
          <w:rFonts w:cs="Arial"/>
        </w:rPr>
        <w:t>only eight</w:t>
      </w:r>
      <w:r w:rsidRPr="00FC45E9">
        <w:rPr>
          <w:rFonts w:cs="Arial"/>
        </w:rPr>
        <w:t xml:space="preserve"> complaints about operating wind farms</w:t>
      </w:r>
      <w:r>
        <w:rPr>
          <w:rFonts w:cs="Arial"/>
        </w:rPr>
        <w:t xml:space="preserve"> were received whilst t</w:t>
      </w:r>
      <w:r w:rsidRPr="00FC45E9">
        <w:rPr>
          <w:rFonts w:cs="Arial"/>
        </w:rPr>
        <w:t>he clear majority of complaints received have been about proposed wind farms. On the basis that a wind farm has to be built and operating before it could possibly cause a physiological health effect, the potential cohort of potential physiological health complaints is very small.</w:t>
      </w:r>
    </w:p>
    <w:p w14:paraId="374DD9C3" w14:textId="77777777" w:rsidR="001556F0" w:rsidRPr="00FC45E9" w:rsidRDefault="001556F0" w:rsidP="001556F0">
      <w:pPr>
        <w:pStyle w:val="ListParagraph"/>
        <w:numPr>
          <w:ilvl w:val="0"/>
          <w:numId w:val="0"/>
        </w:numPr>
        <w:spacing w:line="264" w:lineRule="auto"/>
        <w:ind w:left="360"/>
        <w:rPr>
          <w:rFonts w:cs="Arial"/>
        </w:rPr>
      </w:pPr>
      <w:r>
        <w:rPr>
          <w:rFonts w:cs="Arial"/>
        </w:rPr>
        <w:t>It should also be noted that, for the last three years, the Office has not received any complaints regarding allegations of vibration sensations being caused by a wind turbine’s operation. The Office’s findings could not confirm any actual evidence of vibrations at a residence with causality from a turbine, findings which are consistent with advice received on this topic from Flinders University.</w:t>
      </w:r>
      <w:r w:rsidRPr="00FC45E9">
        <w:rPr>
          <w:rFonts w:cs="Arial"/>
        </w:rPr>
        <w:t xml:space="preserve"> </w:t>
      </w:r>
      <w:r>
        <w:rPr>
          <w:rFonts w:cs="Arial"/>
        </w:rPr>
        <w:t>The Office’s complaint data further substantiates these findings.</w:t>
      </w:r>
    </w:p>
    <w:p w14:paraId="40A7D433"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It is possible that stated health conditions that exist may be as a result of other known causes not related to the wind farm’s operations. Of material concern is the potential situation whereby a resident may fail to seek and obtain appropriate medical advice and treatment for a treatable health condition, due to the possibly incorrect assumption that an operating wind farm is the perceived cause of the condition. For example, if a resident is experiencing sleep difficulties, they may be advised by their general practitioner (GP) to </w:t>
      </w:r>
      <w:r>
        <w:rPr>
          <w:rFonts w:cs="Arial"/>
        </w:rPr>
        <w:t>consult</w:t>
      </w:r>
      <w:r w:rsidRPr="00FC45E9">
        <w:rPr>
          <w:rFonts w:cs="Arial"/>
        </w:rPr>
        <w:t xml:space="preserve"> a sleep specialist for a proper diagnosis of the root cause and advice on treatment to remedy the condition. If the GP’s advice is not followed, the cause of the condition may persist unnecessarily.</w:t>
      </w:r>
    </w:p>
    <w:p w14:paraId="01847183" w14:textId="77777777" w:rsidR="001556F0" w:rsidRPr="00FC45E9" w:rsidRDefault="001556F0" w:rsidP="001556F0">
      <w:pPr>
        <w:pStyle w:val="ListParagraph"/>
        <w:numPr>
          <w:ilvl w:val="0"/>
          <w:numId w:val="0"/>
        </w:numPr>
        <w:spacing w:line="264" w:lineRule="auto"/>
        <w:ind w:left="360"/>
        <w:rPr>
          <w:rFonts w:cs="Arial"/>
        </w:rPr>
      </w:pPr>
      <w:r w:rsidRPr="00FC45E9">
        <w:rPr>
          <w:rFonts w:cs="Arial"/>
        </w:rPr>
        <w:t xml:space="preserve">Health conditions may also arise as a result of stress, annoyance or anxiety related to the presence of an operating wind farm or concerns about the </w:t>
      </w:r>
      <w:r>
        <w:rPr>
          <w:rFonts w:cs="Arial"/>
        </w:rPr>
        <w:t xml:space="preserve">potential </w:t>
      </w:r>
      <w:r w:rsidRPr="00FC45E9">
        <w:rPr>
          <w:rFonts w:cs="Arial"/>
        </w:rPr>
        <w:t>effects of a proposed wind farm. Further, uncertainties in relation to whether a proposed wind farm will actually proceed (a period which may extend for several years) may also contribute to stress and anxiety. Again, affected residents may need to seek appropriate medical treatment for these ancillary health conditions as well as seek ways to resolve their concerns.</w:t>
      </w:r>
    </w:p>
    <w:p w14:paraId="51035EEB" w14:textId="77777777" w:rsidR="001556F0" w:rsidRDefault="001556F0" w:rsidP="001556F0">
      <w:pPr>
        <w:pStyle w:val="ListParagraph"/>
        <w:numPr>
          <w:ilvl w:val="0"/>
          <w:numId w:val="0"/>
        </w:numPr>
        <w:spacing w:line="264" w:lineRule="auto"/>
        <w:ind w:left="360"/>
        <w:rPr>
          <w:rFonts w:cs="Arial"/>
        </w:rPr>
      </w:pPr>
      <w:r>
        <w:rPr>
          <w:rFonts w:cs="Arial"/>
        </w:rPr>
        <w:t>In November 2019, the South Australia Supreme Court handed down its decision in relation to the proposed Palmer Wind Farm. The Court concluded that claims that the turbines would cause sickness and health issues for residents were unsubstantiated. Of note, the objectors did not provide sufficient evidence of causality from any expert medical witness. The Court’s finding has been consistent with the Commissioner’s observations and recommendations based on actual complaint experience.</w:t>
      </w:r>
    </w:p>
    <w:p w14:paraId="095D3D49" w14:textId="71BCBD97" w:rsidR="001556F0" w:rsidRDefault="001556F0" w:rsidP="001556F0">
      <w:pPr>
        <w:pStyle w:val="ListParagraph"/>
        <w:numPr>
          <w:ilvl w:val="0"/>
          <w:numId w:val="0"/>
        </w:numPr>
        <w:spacing w:line="264" w:lineRule="auto"/>
        <w:ind w:left="360"/>
        <w:rPr>
          <w:rFonts w:cs="Arial"/>
        </w:rPr>
      </w:pPr>
      <w:r w:rsidRPr="00FC45E9">
        <w:rPr>
          <w:rFonts w:cs="Arial"/>
        </w:rPr>
        <w:t>The Office will continue to monitor relevant decisions that explore evidence about wind farms and health</w:t>
      </w:r>
      <w:r>
        <w:rPr>
          <w:rFonts w:cs="Arial"/>
        </w:rPr>
        <w:t xml:space="preserve"> in consultation with the Independent Scientific Committee on Wind Turbines</w:t>
      </w:r>
      <w:r w:rsidRPr="00FC45E9">
        <w:rPr>
          <w:rFonts w:cs="Arial"/>
        </w:rPr>
        <w:t>, such as the guidelines issued by the World Health Organi</w:t>
      </w:r>
      <w:r>
        <w:rPr>
          <w:rFonts w:cs="Arial"/>
        </w:rPr>
        <w:t>z</w:t>
      </w:r>
      <w:r w:rsidRPr="00FC45E9">
        <w:rPr>
          <w:rFonts w:cs="Arial"/>
        </w:rPr>
        <w:t>ation</w:t>
      </w:r>
      <w:r w:rsidR="00D05C11">
        <w:rPr>
          <w:rFonts w:cs="Arial"/>
        </w:rPr>
        <w:t xml:space="preserve"> in 2018</w:t>
      </w:r>
      <w:r w:rsidRPr="00FC45E9">
        <w:rPr>
          <w:rFonts w:cs="Arial"/>
        </w:rPr>
        <w:t>, as well as hearing outcomes, such as</w:t>
      </w:r>
      <w:r>
        <w:rPr>
          <w:rFonts w:cs="Arial"/>
        </w:rPr>
        <w:t xml:space="preserve"> the Palmer Wind Farm decision and</w:t>
      </w:r>
      <w:r w:rsidRPr="00FC45E9">
        <w:rPr>
          <w:rFonts w:cs="Arial"/>
        </w:rPr>
        <w:t xml:space="preserve"> the Administrative Appeals Tribunal decision in </w:t>
      </w:r>
      <w:r w:rsidRPr="00FC45E9">
        <w:rPr>
          <w:rFonts w:cs="Arial"/>
          <w:i/>
        </w:rPr>
        <w:t>Waubra Foundation v Australian Charities and Not-for-profits Commission</w:t>
      </w:r>
      <w:r w:rsidRPr="00FC45E9">
        <w:rPr>
          <w:rFonts w:cs="Arial"/>
        </w:rPr>
        <w:t>. The Office will also monitor and continue engagement regarding any results of the NHMRC funded studies</w:t>
      </w:r>
      <w:r>
        <w:rPr>
          <w:rFonts w:cs="Arial"/>
        </w:rPr>
        <w:t xml:space="preserve"> (which are expected to publish in late 2021 or 2022)</w:t>
      </w:r>
      <w:r w:rsidRPr="00FC45E9">
        <w:rPr>
          <w:rFonts w:cs="Arial"/>
        </w:rPr>
        <w:t xml:space="preserve"> and the work of the </w:t>
      </w:r>
      <w:r>
        <w:rPr>
          <w:rFonts w:cs="Arial"/>
        </w:rPr>
        <w:t xml:space="preserve">Independent Scientific Committee on Wind Turbines. We will continue to </w:t>
      </w:r>
      <w:r w:rsidRPr="00FC45E9">
        <w:rPr>
          <w:rFonts w:cs="Arial"/>
        </w:rPr>
        <w:t>assess</w:t>
      </w:r>
      <w:r>
        <w:rPr>
          <w:rFonts w:cs="Arial"/>
        </w:rPr>
        <w:t xml:space="preserve"> </w:t>
      </w:r>
      <w:r w:rsidRPr="00FC45E9">
        <w:rPr>
          <w:rFonts w:cs="Arial"/>
        </w:rPr>
        <w:t>any further evidence gathered through complaint handling activities.</w:t>
      </w:r>
    </w:p>
    <w:p w14:paraId="5904C547" w14:textId="77777777" w:rsidR="001556F0" w:rsidRDefault="001556F0" w:rsidP="001556F0">
      <w:pPr>
        <w:pStyle w:val="ListParagraph"/>
        <w:numPr>
          <w:ilvl w:val="0"/>
          <w:numId w:val="0"/>
        </w:numPr>
        <w:spacing w:line="264" w:lineRule="auto"/>
        <w:ind w:left="360"/>
        <w:rPr>
          <w:rFonts w:cs="Arial"/>
        </w:rPr>
      </w:pPr>
      <w:r>
        <w:rPr>
          <w:rFonts w:cs="Arial"/>
        </w:rPr>
        <w:t xml:space="preserve">The Office has also observed the need for clearer, streamlined legislation that provides a balance of protecting the community while also providing a degree of certainty for the proponent. In Victoria, complaints made under the </w:t>
      </w:r>
      <w:r w:rsidRPr="00960024">
        <w:rPr>
          <w:rFonts w:cs="Arial"/>
          <w:i/>
        </w:rPr>
        <w:t>Public Health and Wellbeing Act</w:t>
      </w:r>
      <w:r>
        <w:rPr>
          <w:rFonts w:cs="Arial"/>
          <w:i/>
        </w:rPr>
        <w:t xml:space="preserve"> 2008</w:t>
      </w:r>
      <w:r w:rsidRPr="00960024">
        <w:rPr>
          <w:rFonts w:cs="Arial"/>
          <w:i/>
        </w:rPr>
        <w:t xml:space="preserve"> (V</w:t>
      </w:r>
      <w:r>
        <w:rPr>
          <w:rFonts w:cs="Arial"/>
          <w:i/>
        </w:rPr>
        <w:t>ictoria</w:t>
      </w:r>
      <w:r w:rsidRPr="00960024">
        <w:rPr>
          <w:rFonts w:cs="Arial"/>
          <w:i/>
        </w:rPr>
        <w:t>)</w:t>
      </w:r>
      <w:r>
        <w:rPr>
          <w:rFonts w:cs="Arial"/>
        </w:rPr>
        <w:t xml:space="preserve"> have utilised the nuisance provisions under the Act to allege that wind farms are creating a ‘noise nuisance’, even when a wind farm has been deemed compliant with its permit conditions. Councils should have in place clear procedures for investigating and determining whether or not a wind farm is causing a noise nuisance under the Act. </w:t>
      </w:r>
    </w:p>
    <w:p w14:paraId="271111A2" w14:textId="77777777" w:rsidR="001556F0" w:rsidRPr="001C6D57" w:rsidRDefault="001556F0" w:rsidP="001556F0">
      <w:pPr>
        <w:pStyle w:val="ListParagraph"/>
        <w:numPr>
          <w:ilvl w:val="0"/>
          <w:numId w:val="0"/>
        </w:numPr>
        <w:spacing w:line="264" w:lineRule="auto"/>
        <w:ind w:left="360"/>
        <w:rPr>
          <w:rFonts w:cs="Arial"/>
          <w:b/>
        </w:rPr>
      </w:pPr>
      <w:r w:rsidRPr="001C6D57">
        <w:rPr>
          <w:rFonts w:cs="Arial"/>
          <w:b/>
        </w:rPr>
        <w:t>Safety</w:t>
      </w:r>
    </w:p>
    <w:p w14:paraId="54DE2959" w14:textId="77777777" w:rsidR="001556F0" w:rsidRDefault="001556F0" w:rsidP="001556F0">
      <w:pPr>
        <w:pStyle w:val="Default"/>
        <w:spacing w:after="200" w:line="264" w:lineRule="auto"/>
        <w:ind w:left="360"/>
        <w:rPr>
          <w:rFonts w:ascii="Arial" w:hAnsi="Arial" w:cs="Arial"/>
          <w:color w:val="auto"/>
          <w:sz w:val="22"/>
          <w:szCs w:val="22"/>
        </w:rPr>
      </w:pPr>
      <w:r>
        <w:rPr>
          <w:rFonts w:ascii="Arial" w:hAnsi="Arial" w:cs="Arial"/>
          <w:color w:val="auto"/>
          <w:sz w:val="22"/>
          <w:szCs w:val="22"/>
        </w:rPr>
        <w:t xml:space="preserve">There have been an increasing number of safety related incidents occurring in relation to large-scale renewable projects.  </w:t>
      </w:r>
    </w:p>
    <w:p w14:paraId="69E52FB2" w14:textId="72D5212F" w:rsidR="001556F0" w:rsidRDefault="001556F0" w:rsidP="001556F0">
      <w:pPr>
        <w:pStyle w:val="Default"/>
        <w:spacing w:after="200" w:line="264" w:lineRule="auto"/>
        <w:ind w:left="360"/>
        <w:rPr>
          <w:rFonts w:ascii="Arial" w:hAnsi="Arial" w:cs="Arial"/>
          <w:color w:val="auto"/>
          <w:sz w:val="22"/>
          <w:szCs w:val="22"/>
        </w:rPr>
      </w:pPr>
      <w:r>
        <w:rPr>
          <w:rFonts w:ascii="Arial" w:hAnsi="Arial" w:cs="Arial"/>
          <w:color w:val="auto"/>
          <w:sz w:val="22"/>
          <w:szCs w:val="22"/>
        </w:rPr>
        <w:lastRenderedPageBreak/>
        <w:t>Some of these incidents have resulted in serious injuries to project workers, while others had the potential to inflict severe impacts on personnel and asset safety. A number</w:t>
      </w:r>
      <w:r w:rsidR="00EE4172">
        <w:rPr>
          <w:rFonts w:ascii="Arial" w:hAnsi="Arial" w:cs="Arial"/>
          <w:color w:val="auto"/>
          <w:sz w:val="22"/>
          <w:szCs w:val="22"/>
        </w:rPr>
        <w:t>, but not all</w:t>
      </w:r>
      <w:r>
        <w:rPr>
          <w:rFonts w:ascii="Arial" w:hAnsi="Arial" w:cs="Arial"/>
          <w:color w:val="auto"/>
          <w:sz w:val="22"/>
          <w:szCs w:val="22"/>
        </w:rPr>
        <w:t xml:space="preserve"> incidents have been reported to the relevant workplace safety regulator.  </w:t>
      </w:r>
    </w:p>
    <w:p w14:paraId="18639CE1" w14:textId="0442E620" w:rsidR="001556F0" w:rsidRDefault="001556F0" w:rsidP="001556F0">
      <w:pPr>
        <w:pStyle w:val="Default"/>
        <w:spacing w:after="200" w:line="264" w:lineRule="auto"/>
        <w:ind w:left="360"/>
        <w:rPr>
          <w:rFonts w:ascii="Arial" w:hAnsi="Arial" w:cs="Arial"/>
          <w:color w:val="auto"/>
          <w:sz w:val="22"/>
          <w:szCs w:val="22"/>
        </w:rPr>
      </w:pPr>
      <w:r>
        <w:rPr>
          <w:rFonts w:ascii="Arial" w:hAnsi="Arial" w:cs="Arial"/>
          <w:color w:val="auto"/>
          <w:sz w:val="22"/>
          <w:szCs w:val="22"/>
        </w:rPr>
        <w:t xml:space="preserve">Further, while some incidents remain under investigation to determine the root cause analysis, other incidents </w:t>
      </w:r>
      <w:r w:rsidR="00761B9C">
        <w:rPr>
          <w:rFonts w:ascii="Arial" w:hAnsi="Arial" w:cs="Arial"/>
          <w:color w:val="auto"/>
          <w:sz w:val="22"/>
          <w:szCs w:val="22"/>
        </w:rPr>
        <w:t xml:space="preserve">may </w:t>
      </w:r>
      <w:r>
        <w:rPr>
          <w:rFonts w:ascii="Arial" w:hAnsi="Arial" w:cs="Arial"/>
          <w:color w:val="auto"/>
          <w:sz w:val="22"/>
          <w:szCs w:val="22"/>
        </w:rPr>
        <w:t>have not been subject to the same rigour of process.</w:t>
      </w:r>
    </w:p>
    <w:p w14:paraId="408615B7" w14:textId="7DCC93E9" w:rsidR="001556F0" w:rsidRDefault="00761B9C" w:rsidP="001556F0">
      <w:pPr>
        <w:pStyle w:val="Default"/>
        <w:spacing w:after="200" w:line="264" w:lineRule="auto"/>
        <w:ind w:firstLine="360"/>
        <w:rPr>
          <w:rFonts w:ascii="Arial" w:hAnsi="Arial" w:cs="Arial"/>
          <w:color w:val="auto"/>
          <w:sz w:val="22"/>
          <w:szCs w:val="22"/>
        </w:rPr>
      </w:pPr>
      <w:r>
        <w:rPr>
          <w:rFonts w:ascii="Arial" w:hAnsi="Arial" w:cs="Arial"/>
          <w:color w:val="auto"/>
          <w:sz w:val="22"/>
          <w:szCs w:val="22"/>
        </w:rPr>
        <w:t>E</w:t>
      </w:r>
      <w:r w:rsidR="00FD2D11">
        <w:rPr>
          <w:rFonts w:ascii="Arial" w:hAnsi="Arial" w:cs="Arial"/>
          <w:color w:val="auto"/>
          <w:sz w:val="22"/>
          <w:szCs w:val="22"/>
        </w:rPr>
        <w:t xml:space="preserve">xamples of </w:t>
      </w:r>
      <w:r w:rsidR="001556F0">
        <w:rPr>
          <w:rFonts w:ascii="Arial" w:hAnsi="Arial" w:cs="Arial"/>
          <w:color w:val="auto"/>
          <w:sz w:val="22"/>
          <w:szCs w:val="22"/>
        </w:rPr>
        <w:t>recent incidents that the Office is aware of include:</w:t>
      </w:r>
    </w:p>
    <w:p w14:paraId="72FBED3C" w14:textId="13F91DB0" w:rsidR="001556F0"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 xml:space="preserve">Turbine blades </w:t>
      </w:r>
      <w:r w:rsidR="00761B9C">
        <w:rPr>
          <w:rFonts w:ascii="Arial" w:hAnsi="Arial" w:cs="Arial"/>
          <w:color w:val="auto"/>
          <w:sz w:val="22"/>
          <w:szCs w:val="22"/>
        </w:rPr>
        <w:t>falling</w:t>
      </w:r>
      <w:r>
        <w:rPr>
          <w:rFonts w:ascii="Arial" w:hAnsi="Arial" w:cs="Arial"/>
          <w:color w:val="auto"/>
          <w:sz w:val="22"/>
          <w:szCs w:val="22"/>
        </w:rPr>
        <w:t xml:space="preserve"> to the ground during operations (t</w:t>
      </w:r>
      <w:r w:rsidR="00FD2D11">
        <w:rPr>
          <w:rFonts w:ascii="Arial" w:hAnsi="Arial" w:cs="Arial"/>
          <w:color w:val="auto"/>
          <w:sz w:val="22"/>
          <w:szCs w:val="22"/>
        </w:rPr>
        <w:t>hree</w:t>
      </w:r>
      <w:r>
        <w:rPr>
          <w:rFonts w:ascii="Arial" w:hAnsi="Arial" w:cs="Arial"/>
          <w:color w:val="auto"/>
          <w:sz w:val="22"/>
          <w:szCs w:val="22"/>
        </w:rPr>
        <w:t xml:space="preserve"> incidents in Victoria, one in NSW</w:t>
      </w:r>
      <w:r w:rsidR="00FD2D11">
        <w:rPr>
          <w:rFonts w:ascii="Arial" w:hAnsi="Arial" w:cs="Arial"/>
          <w:color w:val="auto"/>
          <w:sz w:val="22"/>
          <w:szCs w:val="22"/>
        </w:rPr>
        <w:t xml:space="preserve"> and one in WA</w:t>
      </w:r>
      <w:r>
        <w:rPr>
          <w:rFonts w:ascii="Arial" w:hAnsi="Arial" w:cs="Arial"/>
          <w:color w:val="auto"/>
          <w:sz w:val="22"/>
          <w:szCs w:val="22"/>
        </w:rPr>
        <w:t>)</w:t>
      </w:r>
    </w:p>
    <w:p w14:paraId="45C91C3E" w14:textId="77777777" w:rsidR="001556F0"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A construction worker’s hand being severed while cleaning a concrete pump at a wind farm site (NSW)</w:t>
      </w:r>
    </w:p>
    <w:p w14:paraId="4F4D63B1" w14:textId="77777777" w:rsidR="001556F0"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Roll-over of blade transportation vehicles on public roads (Tasmania and Victoria)</w:t>
      </w:r>
    </w:p>
    <w:p w14:paraId="66F67017" w14:textId="77777777" w:rsidR="001556F0"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Blade transportation vehicles colliding with power lines or other infrastructure (Victoria)</w:t>
      </w:r>
    </w:p>
    <w:p w14:paraId="173706B0" w14:textId="77777777" w:rsidR="001556F0" w:rsidRDefault="001556F0" w:rsidP="007A1D42">
      <w:pPr>
        <w:pStyle w:val="Default"/>
        <w:numPr>
          <w:ilvl w:val="0"/>
          <w:numId w:val="23"/>
        </w:numPr>
        <w:spacing w:after="200" w:line="264" w:lineRule="auto"/>
        <w:rPr>
          <w:rFonts w:ascii="Arial" w:hAnsi="Arial" w:cs="Arial"/>
          <w:color w:val="auto"/>
          <w:sz w:val="22"/>
          <w:szCs w:val="22"/>
        </w:rPr>
      </w:pPr>
      <w:r w:rsidRPr="00053E56">
        <w:rPr>
          <w:rFonts w:ascii="Arial" w:hAnsi="Arial" w:cs="Arial"/>
          <w:color w:val="auto"/>
          <w:sz w:val="22"/>
          <w:szCs w:val="22"/>
        </w:rPr>
        <w:t>Blade transportation vehicles colliding with other moving vehicles (NSW)</w:t>
      </w:r>
    </w:p>
    <w:p w14:paraId="350849BB" w14:textId="77777777" w:rsidR="001556F0" w:rsidRDefault="001556F0" w:rsidP="007A1D42">
      <w:pPr>
        <w:pStyle w:val="Default"/>
        <w:numPr>
          <w:ilvl w:val="0"/>
          <w:numId w:val="23"/>
        </w:numPr>
        <w:spacing w:after="200" w:line="264" w:lineRule="auto"/>
        <w:rPr>
          <w:rFonts w:ascii="Arial" w:hAnsi="Arial" w:cs="Arial"/>
          <w:color w:val="auto"/>
          <w:sz w:val="22"/>
          <w:szCs w:val="22"/>
        </w:rPr>
      </w:pPr>
      <w:r w:rsidRPr="00053E56">
        <w:rPr>
          <w:rFonts w:ascii="Arial" w:hAnsi="Arial" w:cs="Arial"/>
          <w:color w:val="auto"/>
          <w:sz w:val="22"/>
          <w:szCs w:val="22"/>
        </w:rPr>
        <w:t>Roll</w:t>
      </w:r>
      <w:r>
        <w:rPr>
          <w:rFonts w:ascii="Arial" w:hAnsi="Arial" w:cs="Arial"/>
          <w:color w:val="auto"/>
          <w:sz w:val="22"/>
          <w:szCs w:val="22"/>
        </w:rPr>
        <w:t>-over of on-site cranes (three incidents in Victoria)</w:t>
      </w:r>
    </w:p>
    <w:p w14:paraId="1A0162D4" w14:textId="77777777" w:rsidR="001556F0"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Workers falling from significant heights inside wind turbine towers (NSW and Tasmania)</w:t>
      </w:r>
    </w:p>
    <w:p w14:paraId="423914F7" w14:textId="77777777" w:rsidR="001556F0"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Inability for emergency responders to quickly locate injured worker on site (Tasmania)</w:t>
      </w:r>
    </w:p>
    <w:p w14:paraId="22E6192E" w14:textId="77777777" w:rsidR="001556F0"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Workers involved in vehicle accidents to or from the project site (Tasmania)</w:t>
      </w:r>
    </w:p>
    <w:p w14:paraId="7060BE31" w14:textId="77777777" w:rsidR="001556F0"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Fires allegedly caused by connecting transmission lines (NSW)</w:t>
      </w:r>
    </w:p>
    <w:p w14:paraId="4A6D5EC1" w14:textId="77777777" w:rsidR="001556F0" w:rsidRPr="00053E56" w:rsidRDefault="001556F0" w:rsidP="007A1D42">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Inappropriate or illegal use of firearms causing damage to transmission lines and turbines (Victoria).</w:t>
      </w:r>
    </w:p>
    <w:p w14:paraId="60D8DCD1" w14:textId="70C2463C" w:rsidR="001556F0" w:rsidRDefault="001556F0" w:rsidP="001556F0">
      <w:pPr>
        <w:pStyle w:val="Default"/>
        <w:spacing w:after="200" w:line="264" w:lineRule="auto"/>
        <w:ind w:left="360"/>
        <w:rPr>
          <w:rFonts w:ascii="Arial" w:hAnsi="Arial" w:cs="Arial"/>
          <w:color w:val="auto"/>
          <w:sz w:val="22"/>
          <w:szCs w:val="22"/>
        </w:rPr>
      </w:pPr>
      <w:r>
        <w:rPr>
          <w:rFonts w:ascii="Arial" w:hAnsi="Arial" w:cs="Arial"/>
          <w:color w:val="auto"/>
          <w:sz w:val="22"/>
          <w:szCs w:val="22"/>
        </w:rPr>
        <w:t xml:space="preserve">Given the seriousness of these incidents and the </w:t>
      </w:r>
      <w:r w:rsidR="00ED6660">
        <w:rPr>
          <w:rFonts w:ascii="Arial" w:hAnsi="Arial" w:cs="Arial"/>
          <w:color w:val="auto"/>
          <w:sz w:val="22"/>
          <w:szCs w:val="22"/>
        </w:rPr>
        <w:t xml:space="preserve">potential </w:t>
      </w:r>
      <w:r>
        <w:rPr>
          <w:rFonts w:ascii="Arial" w:hAnsi="Arial" w:cs="Arial"/>
          <w:color w:val="auto"/>
          <w:sz w:val="22"/>
          <w:szCs w:val="22"/>
        </w:rPr>
        <w:t>increase in new incidents as the industry grows, along with the growth in scale and size of equipment, the industry and the broader community would benefit greatly from an industry convention and forum that encourages:</w:t>
      </w:r>
    </w:p>
    <w:p w14:paraId="7A9C1B6F" w14:textId="77777777" w:rsidR="001556F0" w:rsidRDefault="001556F0" w:rsidP="007A1D42">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Full transparency of material safety incidents to the industry body as soon as they occur</w:t>
      </w:r>
    </w:p>
    <w:p w14:paraId="51D5658A" w14:textId="77777777" w:rsidR="001556F0" w:rsidRDefault="001556F0" w:rsidP="007A1D42">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Reporting of the incident to the relevant workplace safety regulator (even if no injuries occur)</w:t>
      </w:r>
    </w:p>
    <w:p w14:paraId="02A52E7C" w14:textId="77777777" w:rsidR="001556F0" w:rsidRDefault="001556F0" w:rsidP="007A1D42">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Ensuring that a proper investigation is conducted that determines the actual root causes of the incident</w:t>
      </w:r>
    </w:p>
    <w:p w14:paraId="15F50C3D" w14:textId="77777777" w:rsidR="001556F0" w:rsidRDefault="001556F0" w:rsidP="007A1D42">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Sharing the results of investigations so that other industry participants and regulators can learn from the experience and assess their own exposures and risks to a similar incident</w:t>
      </w:r>
    </w:p>
    <w:p w14:paraId="74E334AF" w14:textId="77777777" w:rsidR="001556F0" w:rsidRDefault="001556F0" w:rsidP="007A1D42">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In the event of systemic or mechanical or operational failure, ensuring that other affected operators are aware and can take specific corrective actions on their fleet</w:t>
      </w:r>
    </w:p>
    <w:p w14:paraId="4B691B14" w14:textId="77777777" w:rsidR="001556F0" w:rsidRDefault="001556F0" w:rsidP="007A1D42">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More broadly, implement corrective actions as necessary across industry that arise from recommendations as a result of incident investigations</w:t>
      </w:r>
    </w:p>
    <w:p w14:paraId="1A40B1B3" w14:textId="77777777" w:rsidR="001556F0" w:rsidRPr="004A235F" w:rsidRDefault="001556F0" w:rsidP="007A1D42">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Facilitate a culture of continuous improvement and zero harm across the industry through transparency and proactive actions.</w:t>
      </w:r>
    </w:p>
    <w:p w14:paraId="3EEDD4ED" w14:textId="77777777" w:rsidR="001556F0" w:rsidRDefault="001556F0" w:rsidP="001556F0">
      <w:pPr>
        <w:pStyle w:val="ListParagraph"/>
        <w:numPr>
          <w:ilvl w:val="0"/>
          <w:numId w:val="0"/>
        </w:numPr>
        <w:spacing w:line="264" w:lineRule="auto"/>
        <w:ind w:left="360"/>
        <w:rPr>
          <w:rFonts w:cs="Arial"/>
        </w:rPr>
      </w:pPr>
      <w:r>
        <w:rPr>
          <w:rFonts w:cs="Arial"/>
        </w:rPr>
        <w:lastRenderedPageBreak/>
        <w:t>These important matters have been raised and discussed with the leaders of the industry and our Office looks forward to improvements in both transparency of incident information along with an improved safety record for the industry as a result.</w:t>
      </w:r>
    </w:p>
    <w:p w14:paraId="450E6B14" w14:textId="575DD604" w:rsidR="001556F0" w:rsidRDefault="001556F0" w:rsidP="001556F0">
      <w:pPr>
        <w:pStyle w:val="ListParagraph"/>
        <w:numPr>
          <w:ilvl w:val="0"/>
          <w:numId w:val="0"/>
        </w:numPr>
        <w:spacing w:line="264" w:lineRule="auto"/>
        <w:ind w:left="360"/>
        <w:rPr>
          <w:rFonts w:cs="Arial"/>
        </w:rPr>
      </w:pPr>
      <w:r>
        <w:rPr>
          <w:rFonts w:cs="Arial"/>
        </w:rPr>
        <w:t>Finally, large-scale renewable projects do not currently require a building permit as the structures do not correlate to the existing National Construction Code. Therefore, the regular checks and balances provided for by a building permit, that are in place when building say a 50-storey building, are currently not present when constructing a fleet of 280</w:t>
      </w:r>
      <w:r w:rsidR="00F11384">
        <w:rPr>
          <w:rFonts w:cs="Arial"/>
        </w:rPr>
        <w:t xml:space="preserve"> metre</w:t>
      </w:r>
      <w:r>
        <w:rPr>
          <w:rFonts w:cs="Arial"/>
        </w:rPr>
        <w:t xml:space="preserve"> tip height wind turbines. The rationale for excluding large-scale renewable power stations from needing a building permit needs to be re-assessed to determine whether a revision is appropriate.</w:t>
      </w:r>
    </w:p>
    <w:p w14:paraId="552EB615" w14:textId="77777777" w:rsidR="001556F0" w:rsidRPr="00FC45E9" w:rsidRDefault="001556F0" w:rsidP="001556F0">
      <w:pPr>
        <w:pStyle w:val="ListParagraph"/>
        <w:numPr>
          <w:ilvl w:val="1"/>
          <w:numId w:val="8"/>
        </w:numPr>
        <w:spacing w:line="264" w:lineRule="auto"/>
        <w:rPr>
          <w:rFonts w:cs="Arial"/>
          <w:b/>
        </w:rPr>
      </w:pPr>
      <w:r w:rsidRPr="00FC45E9">
        <w:rPr>
          <w:rFonts w:cs="Arial"/>
          <w:b/>
        </w:rPr>
        <w:t>Recommendations</w:t>
      </w:r>
    </w:p>
    <w:p w14:paraId="7C0C18F8"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 xml:space="preserve">Federal and state governments should continue to assess the outcomes of research into wind farms and health, including outcomes of the two NHMRC funded wind farm health studies and </w:t>
      </w:r>
      <w:r>
        <w:rPr>
          <w:rFonts w:cs="Arial"/>
        </w:rPr>
        <w:t>findings</w:t>
      </w:r>
      <w:r w:rsidRPr="00FC45E9">
        <w:rPr>
          <w:rFonts w:cs="Arial"/>
        </w:rPr>
        <w:t xml:space="preserve"> of the </w:t>
      </w:r>
      <w:r>
        <w:rPr>
          <w:rFonts w:cs="Arial"/>
        </w:rPr>
        <w:t>Independent Scientific Committee on Wind Turbines</w:t>
      </w:r>
      <w:r w:rsidRPr="00FC45E9">
        <w:rPr>
          <w:rFonts w:cs="Arial"/>
        </w:rPr>
        <w:t>. Environmental standards, such as noise standards, should be monitored and reviewed in line with any recommendations arising from these programs.</w:t>
      </w:r>
    </w:p>
    <w:p w14:paraId="7726DE06" w14:textId="6337AD4D"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Residents living in the vicinity of an operating or proposed wind farm that are experiencing health conditions should be encouraged to seek appropriate medical advice to properly diagnose and treat any health</w:t>
      </w:r>
      <w:r w:rsidRPr="00FC45E9">
        <w:rPr>
          <w:rFonts w:cs="Arial"/>
        </w:rPr>
        <w:noBreakHyphen/>
        <w:t xml:space="preserve">related conditions accordingly. </w:t>
      </w:r>
      <w:r w:rsidR="00377E68">
        <w:rPr>
          <w:rFonts w:cs="Arial"/>
        </w:rPr>
        <w:t>GP’s</w:t>
      </w:r>
      <w:r w:rsidR="00377E68" w:rsidRPr="00FC45E9">
        <w:rPr>
          <w:rFonts w:cs="Arial"/>
        </w:rPr>
        <w:t xml:space="preserve"> </w:t>
      </w:r>
      <w:r w:rsidRPr="00FC45E9">
        <w:rPr>
          <w:rFonts w:cs="Arial"/>
        </w:rPr>
        <w:t xml:space="preserve">receiving patients from wind farm locations should maintain an awareness of wind farm and health matters through bodies such as the Australian Medical Association and assist patients in understanding the need for appropriate testing, diagnosis and remedies for the presented health conditions or concerns. </w:t>
      </w:r>
    </w:p>
    <w:p w14:paraId="292076CE" w14:textId="77777777" w:rsidR="001556F0" w:rsidRPr="00FC45E9" w:rsidRDefault="001556F0" w:rsidP="001556F0">
      <w:pPr>
        <w:pStyle w:val="ListParagraph"/>
        <w:numPr>
          <w:ilvl w:val="2"/>
          <w:numId w:val="8"/>
        </w:numPr>
        <w:spacing w:line="264" w:lineRule="auto"/>
        <w:ind w:left="1400" w:hanging="680"/>
        <w:rPr>
          <w:rFonts w:cs="Arial"/>
        </w:rPr>
      </w:pPr>
      <w:r w:rsidRPr="00FC45E9">
        <w:rPr>
          <w:rFonts w:cs="Arial"/>
        </w:rPr>
        <w:t>Medical practitioners who identify potential causational links between a patient’s health condition and their proximity to the operation of a wind farm should report such incidences in an appropriate way to the relevant professional body, association and/or government agency.</w:t>
      </w:r>
    </w:p>
    <w:p w14:paraId="5D7A8298" w14:textId="77777777" w:rsidR="001556F0" w:rsidRDefault="001556F0" w:rsidP="001556F0">
      <w:pPr>
        <w:pStyle w:val="ListParagraph"/>
        <w:numPr>
          <w:ilvl w:val="2"/>
          <w:numId w:val="8"/>
        </w:numPr>
        <w:spacing w:line="264" w:lineRule="auto"/>
        <w:ind w:left="1400" w:hanging="680"/>
        <w:rPr>
          <w:rFonts w:cs="Arial"/>
        </w:rPr>
      </w:pPr>
      <w:r w:rsidRPr="00FC45E9">
        <w:rPr>
          <w:rFonts w:cs="Arial"/>
        </w:rPr>
        <w:t>Residents who are experiencing unacceptable noise levels from a wind farm should be encouraged to report such incidents to the wind farm operator, the compliance authority and/or the appropriate regulator to initiate the appropriate investigation and resolution of the noise incidents.</w:t>
      </w:r>
    </w:p>
    <w:p w14:paraId="3FF0DF2E" w14:textId="77777777" w:rsidR="001556F0" w:rsidRDefault="001556F0" w:rsidP="001556F0">
      <w:pPr>
        <w:pStyle w:val="ListParagraph"/>
        <w:numPr>
          <w:ilvl w:val="2"/>
          <w:numId w:val="8"/>
        </w:numPr>
        <w:spacing w:line="264" w:lineRule="auto"/>
        <w:ind w:left="1400" w:hanging="680"/>
        <w:rPr>
          <w:rFonts w:cs="Arial"/>
        </w:rPr>
      </w:pPr>
      <w:r>
        <w:rPr>
          <w:rFonts w:cs="Arial"/>
        </w:rPr>
        <w:t>Residents lodging health-related complaints with the Office should assist with providing and sharing any evidence regarding their stated health conditions and any medical assessments that identify possible causality of the wind farm as a contributor to the health conditions.</w:t>
      </w:r>
    </w:p>
    <w:p w14:paraId="16AEB903" w14:textId="77777777" w:rsidR="001556F0" w:rsidRDefault="001556F0" w:rsidP="001556F0">
      <w:pPr>
        <w:pStyle w:val="ListParagraph"/>
        <w:numPr>
          <w:ilvl w:val="2"/>
          <w:numId w:val="8"/>
        </w:numPr>
        <w:spacing w:line="264" w:lineRule="auto"/>
        <w:ind w:left="1400" w:hanging="680"/>
        <w:rPr>
          <w:rFonts w:cs="Arial"/>
        </w:rPr>
      </w:pPr>
      <w:r>
        <w:rPr>
          <w:rFonts w:cs="Arial"/>
        </w:rPr>
        <w:t>State governments may need to identify and address potential overlapping regulations and/or legislation with regard to noise emissions from a wind farm and ensure clear procedures are in place to handle, investigate and resolve such complaints raised under the various avenues.</w:t>
      </w:r>
    </w:p>
    <w:p w14:paraId="47FC5EA3" w14:textId="77777777" w:rsidR="001556F0" w:rsidRDefault="001556F0" w:rsidP="001556F0">
      <w:pPr>
        <w:pStyle w:val="ListParagraph"/>
        <w:numPr>
          <w:ilvl w:val="2"/>
          <w:numId w:val="8"/>
        </w:numPr>
        <w:spacing w:line="264" w:lineRule="auto"/>
        <w:ind w:left="1400" w:hanging="680"/>
        <w:rPr>
          <w:rFonts w:cs="Arial"/>
        </w:rPr>
      </w:pPr>
      <w:r>
        <w:rPr>
          <w:rFonts w:cs="Arial"/>
        </w:rPr>
        <w:t>The large-scale wind and solar industry commit to being a leader in workplace safety and will share and be fully transparent about safety incidents, incident root causes and corrective actions. The CEC can play a major role in ensuring and facilitating such information sharing with industry participants and safety regulators.</w:t>
      </w:r>
    </w:p>
    <w:p w14:paraId="37C7760C" w14:textId="2BBC84DE" w:rsidR="001556F0" w:rsidRPr="00FC45E9" w:rsidRDefault="001556F0" w:rsidP="001556F0">
      <w:pPr>
        <w:pStyle w:val="ListParagraph"/>
        <w:numPr>
          <w:ilvl w:val="2"/>
          <w:numId w:val="8"/>
        </w:numPr>
        <w:spacing w:line="264" w:lineRule="auto"/>
        <w:ind w:left="1400" w:hanging="680"/>
        <w:rPr>
          <w:rFonts w:cs="Arial"/>
        </w:rPr>
      </w:pPr>
      <w:r>
        <w:rPr>
          <w:rFonts w:cs="Arial"/>
        </w:rPr>
        <w:t xml:space="preserve">In light of the risks involved in constructing and maintaining </w:t>
      </w:r>
      <w:r w:rsidR="00CA21F8">
        <w:rPr>
          <w:rFonts w:cs="Arial"/>
        </w:rPr>
        <w:t>large-</w:t>
      </w:r>
      <w:r>
        <w:rPr>
          <w:rFonts w:cs="Arial"/>
        </w:rPr>
        <w:t xml:space="preserve">scale renewable infrastructure, </w:t>
      </w:r>
      <w:r w:rsidR="00377E68">
        <w:rPr>
          <w:rFonts w:cs="Arial"/>
        </w:rPr>
        <w:t xml:space="preserve">state </w:t>
      </w:r>
      <w:r>
        <w:rPr>
          <w:rFonts w:cs="Arial"/>
        </w:rPr>
        <w:t xml:space="preserve">and </w:t>
      </w:r>
      <w:r w:rsidR="00377E68">
        <w:rPr>
          <w:rFonts w:cs="Arial"/>
        </w:rPr>
        <w:t xml:space="preserve">federal </w:t>
      </w:r>
      <w:r>
        <w:rPr>
          <w:rFonts w:cs="Arial"/>
        </w:rPr>
        <w:t>governments should give due consideration to introduce a requirement for such projects to obtain a building permit.</w:t>
      </w:r>
    </w:p>
    <w:p w14:paraId="1EBCAC4D" w14:textId="77777777" w:rsidR="004F09A3" w:rsidRPr="00FC45E9" w:rsidRDefault="004F09A3" w:rsidP="004F09A3">
      <w:pPr>
        <w:ind w:left="720"/>
        <w:rPr>
          <w:rFonts w:cs="Arial"/>
        </w:rPr>
      </w:pPr>
    </w:p>
    <w:p w14:paraId="5015E00C" w14:textId="31405175" w:rsidR="004F09A3" w:rsidRPr="00F11384" w:rsidRDefault="004F09A3" w:rsidP="00F11384">
      <w:pPr>
        <w:rPr>
          <w:rFonts w:cs="Arial"/>
          <w:b/>
          <w:caps/>
        </w:rPr>
        <w:sectPr w:rsidR="004F09A3" w:rsidRPr="00F11384" w:rsidSect="00A67D71">
          <w:headerReference w:type="even" r:id="rId70"/>
          <w:headerReference w:type="default" r:id="rId71"/>
          <w:footerReference w:type="even" r:id="rId72"/>
          <w:footerReference w:type="default" r:id="rId73"/>
          <w:pgSz w:w="11906" w:h="16838" w:code="9"/>
          <w:pgMar w:top="720" w:right="720" w:bottom="720" w:left="720" w:header="425" w:footer="425" w:gutter="0"/>
          <w:cols w:space="708"/>
          <w:docGrid w:linePitch="360"/>
        </w:sectPr>
      </w:pPr>
    </w:p>
    <w:p w14:paraId="72411615" w14:textId="77777777" w:rsidR="004F09A3" w:rsidRPr="00F47E6D" w:rsidRDefault="004F09A3" w:rsidP="004F09A3">
      <w:pPr>
        <w:pStyle w:val="Heading1"/>
      </w:pPr>
      <w:bookmarkStart w:id="53" w:name="_Toc84430838"/>
      <w:r w:rsidRPr="00F47E6D">
        <w:lastRenderedPageBreak/>
        <w:t>Glossary</w:t>
      </w:r>
      <w:bookmarkEnd w:id="53"/>
    </w:p>
    <w:tbl>
      <w:tblPr>
        <w:tblStyle w:val="TableGrid"/>
        <w:tblW w:w="0" w:type="auto"/>
        <w:tblLook w:val="04A0" w:firstRow="1" w:lastRow="0" w:firstColumn="1" w:lastColumn="0" w:noHBand="0" w:noVBand="1"/>
      </w:tblPr>
      <w:tblGrid>
        <w:gridCol w:w="2830"/>
        <w:gridCol w:w="7626"/>
      </w:tblGrid>
      <w:tr w:rsidR="004F09A3" w:rsidRPr="00F47E6D" w14:paraId="198B5D54" w14:textId="77777777" w:rsidTr="00A67D71">
        <w:trPr>
          <w:cnfStyle w:val="100000000000" w:firstRow="1" w:lastRow="0" w:firstColumn="0" w:lastColumn="0" w:oddVBand="0" w:evenVBand="0" w:oddHBand="0" w:evenHBand="0" w:firstRowFirstColumn="0" w:firstRowLastColumn="0" w:lastRowFirstColumn="0" w:lastRowLastColumn="0"/>
        </w:trPr>
        <w:tc>
          <w:tcPr>
            <w:tcW w:w="2830" w:type="dxa"/>
          </w:tcPr>
          <w:p w14:paraId="45F908C8" w14:textId="77777777" w:rsidR="004F09A3" w:rsidRPr="00F47E6D" w:rsidRDefault="004F09A3" w:rsidP="00A67D71">
            <w:pPr>
              <w:rPr>
                <w:rFonts w:cs="Arial"/>
              </w:rPr>
            </w:pPr>
            <w:r w:rsidRPr="00F47E6D">
              <w:rPr>
                <w:rFonts w:cs="Arial"/>
              </w:rPr>
              <w:t>A-weighted scale</w:t>
            </w:r>
          </w:p>
        </w:tc>
        <w:tc>
          <w:tcPr>
            <w:tcW w:w="7626" w:type="dxa"/>
          </w:tcPr>
          <w:p w14:paraId="7DD2C2E2" w14:textId="77777777" w:rsidR="004F09A3" w:rsidRPr="00F47E6D" w:rsidRDefault="004F09A3" w:rsidP="00A67D71">
            <w:pPr>
              <w:rPr>
                <w:rFonts w:cs="Arial"/>
              </w:rPr>
            </w:pPr>
            <w:r w:rsidRPr="00F47E6D">
              <w:rPr>
                <w:rFonts w:cs="Arial"/>
              </w:rPr>
              <w:t xml:space="preserve">A scale that is </w:t>
            </w:r>
            <w:r w:rsidRPr="00F47E6D">
              <w:rPr>
                <w:rFonts w:cs="Arial"/>
                <w:lang w:val="en"/>
              </w:rPr>
              <w:t>applied to instrument-measured sound levels to replicate the relative loudness perceived by the human ear</w:t>
            </w:r>
            <w:r>
              <w:rPr>
                <w:rFonts w:cs="Arial"/>
                <w:lang w:val="en"/>
              </w:rPr>
              <w:t>.</w:t>
            </w:r>
          </w:p>
        </w:tc>
      </w:tr>
      <w:tr w:rsidR="004F09A3" w:rsidRPr="00F47E6D" w14:paraId="5CB2B67D"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1288117F" w14:textId="77777777" w:rsidR="004F09A3" w:rsidRPr="00F47E6D" w:rsidRDefault="004F09A3" w:rsidP="00A67D71">
            <w:pPr>
              <w:rPr>
                <w:rFonts w:cs="Arial"/>
              </w:rPr>
            </w:pPr>
            <w:r w:rsidRPr="00F47E6D">
              <w:rPr>
                <w:rFonts w:cs="Arial"/>
              </w:rPr>
              <w:t>Amenity</w:t>
            </w:r>
          </w:p>
        </w:tc>
        <w:tc>
          <w:tcPr>
            <w:tcW w:w="7626" w:type="dxa"/>
          </w:tcPr>
          <w:p w14:paraId="0913EE89" w14:textId="77777777" w:rsidR="004F09A3" w:rsidRPr="00F47E6D" w:rsidRDefault="004F09A3" w:rsidP="00A67D71">
            <w:pPr>
              <w:rPr>
                <w:rFonts w:cs="Arial"/>
              </w:rPr>
            </w:pPr>
            <w:r w:rsidRPr="00F47E6D">
              <w:rPr>
                <w:rFonts w:cs="Arial"/>
              </w:rPr>
              <w:t>The visual impact a wind farm has on the landscape</w:t>
            </w:r>
            <w:r>
              <w:rPr>
                <w:rFonts w:cs="Arial"/>
              </w:rPr>
              <w:t>.</w:t>
            </w:r>
          </w:p>
        </w:tc>
      </w:tr>
      <w:tr w:rsidR="004F09A3" w:rsidRPr="00F47E6D" w14:paraId="31EED807"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F0FC681" w14:textId="77777777" w:rsidR="004F09A3" w:rsidRPr="00F47E6D" w:rsidRDefault="004F09A3" w:rsidP="00A67D71">
            <w:pPr>
              <w:rPr>
                <w:rFonts w:cs="Arial"/>
              </w:rPr>
            </w:pPr>
            <w:r w:rsidRPr="00F47E6D">
              <w:rPr>
                <w:rFonts w:cs="Arial"/>
                <w:lang w:val="en"/>
              </w:rPr>
              <w:t>Australian Government</w:t>
            </w:r>
          </w:p>
        </w:tc>
        <w:tc>
          <w:tcPr>
            <w:tcW w:w="7626" w:type="dxa"/>
          </w:tcPr>
          <w:p w14:paraId="2B3F2EB0" w14:textId="77777777" w:rsidR="004F09A3" w:rsidRPr="00F47E6D" w:rsidRDefault="004F09A3" w:rsidP="00A67D71">
            <w:pPr>
              <w:rPr>
                <w:rFonts w:cs="Arial"/>
              </w:rPr>
            </w:pPr>
            <w:r>
              <w:rPr>
                <w:rFonts w:cs="Arial"/>
              </w:rPr>
              <w:t>The Government of the Commonwealth of Australia (also referred to as Federal Government).</w:t>
            </w:r>
          </w:p>
        </w:tc>
      </w:tr>
      <w:tr w:rsidR="004F09A3" w:rsidRPr="00F47E6D" w14:paraId="5AB11235"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2E23FF6" w14:textId="77777777" w:rsidR="004F09A3" w:rsidRPr="00F47E6D" w:rsidRDefault="004F09A3" w:rsidP="00A67D71">
            <w:pPr>
              <w:rPr>
                <w:rFonts w:cs="Arial"/>
                <w:lang w:val="en"/>
              </w:rPr>
            </w:pPr>
            <w:r>
              <w:rPr>
                <w:rFonts w:cs="Arial"/>
                <w:lang w:val="en"/>
              </w:rPr>
              <w:t>Australian Wind Alliance (AWA)</w:t>
            </w:r>
          </w:p>
        </w:tc>
        <w:tc>
          <w:tcPr>
            <w:tcW w:w="7626" w:type="dxa"/>
          </w:tcPr>
          <w:p w14:paraId="2CBC9BC8" w14:textId="77777777" w:rsidR="004F09A3" w:rsidRPr="00AC073A" w:rsidRDefault="004F09A3" w:rsidP="00A67D71">
            <w:pPr>
              <w:rPr>
                <w:rFonts w:cs="Arial"/>
              </w:rPr>
            </w:pPr>
            <w:r>
              <w:rPr>
                <w:rFonts w:cs="Helvetica"/>
                <w:lang w:val="en"/>
              </w:rPr>
              <w:t>A</w:t>
            </w:r>
            <w:r w:rsidRPr="00AC073A">
              <w:rPr>
                <w:rFonts w:cs="Helvetica"/>
                <w:lang w:val="en"/>
              </w:rPr>
              <w:t xml:space="preserve"> </w:t>
            </w:r>
            <w:r>
              <w:rPr>
                <w:rFonts w:cs="Helvetica"/>
                <w:lang w:val="en"/>
              </w:rPr>
              <w:t>not-for</w:t>
            </w:r>
            <w:r w:rsidRPr="00AC073A">
              <w:rPr>
                <w:rFonts w:cs="Helvetica"/>
                <w:lang w:val="en"/>
              </w:rPr>
              <w:t xml:space="preserve">-profit organisation </w:t>
            </w:r>
            <w:r>
              <w:rPr>
                <w:rFonts w:cs="Helvetica"/>
                <w:lang w:val="en"/>
              </w:rPr>
              <w:t xml:space="preserve">that </w:t>
            </w:r>
            <w:r>
              <w:rPr>
                <w:rFonts w:cs="Arial"/>
                <w:lang w:val="en"/>
              </w:rPr>
              <w:t xml:space="preserve">supports the </w:t>
            </w:r>
            <w:r w:rsidRPr="00AC073A">
              <w:rPr>
                <w:rFonts w:cs="Helvetica"/>
                <w:lang w:val="en"/>
              </w:rPr>
              <w:t>wind energy</w:t>
            </w:r>
            <w:r>
              <w:rPr>
                <w:rFonts w:cs="Helvetica"/>
                <w:lang w:val="en"/>
              </w:rPr>
              <w:t xml:space="preserve"> industry in Australia, with the objectives of boosting regional economies and reducing pollution and greenhouse emissions.</w:t>
            </w:r>
          </w:p>
        </w:tc>
      </w:tr>
      <w:tr w:rsidR="004F09A3" w:rsidRPr="00F47E6D" w14:paraId="6CAB31B7"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56147131" w14:textId="77777777" w:rsidR="004F09A3" w:rsidRDefault="004F09A3" w:rsidP="00A67D71">
            <w:pPr>
              <w:rPr>
                <w:rFonts w:cs="Arial"/>
                <w:lang w:val="en"/>
              </w:rPr>
            </w:pPr>
            <w:r>
              <w:rPr>
                <w:rFonts w:cs="Arial"/>
                <w:lang w:val="en"/>
              </w:rPr>
              <w:t>Clean Energy Council (CEC)</w:t>
            </w:r>
          </w:p>
        </w:tc>
        <w:tc>
          <w:tcPr>
            <w:tcW w:w="7626" w:type="dxa"/>
          </w:tcPr>
          <w:p w14:paraId="69473AE4" w14:textId="77777777" w:rsidR="004F09A3" w:rsidRPr="00AC073A" w:rsidRDefault="004F09A3" w:rsidP="00A67D71">
            <w:pPr>
              <w:autoSpaceDE w:val="0"/>
              <w:autoSpaceDN w:val="0"/>
              <w:adjustRightInd w:val="0"/>
              <w:spacing w:line="264" w:lineRule="auto"/>
              <w:rPr>
                <w:rFonts w:cs="Arial"/>
                <w:lang w:val="en"/>
              </w:rPr>
            </w:pPr>
            <w:r>
              <w:rPr>
                <w:rFonts w:cs="Arial"/>
                <w:lang w:val="en"/>
              </w:rPr>
              <w:t>The peak</w:t>
            </w:r>
            <w:r>
              <w:rPr>
                <w:rFonts w:cs="Helvetica"/>
                <w:lang w:val="en"/>
              </w:rPr>
              <w:t xml:space="preserve"> not-for</w:t>
            </w:r>
            <w:r w:rsidRPr="00AC073A">
              <w:rPr>
                <w:rFonts w:cs="Helvetica"/>
                <w:lang w:val="en"/>
              </w:rPr>
              <w:t>-profit</w:t>
            </w:r>
            <w:r w:rsidRPr="005F66A5">
              <w:rPr>
                <w:rFonts w:cs="Arial"/>
                <w:lang w:val="en"/>
              </w:rPr>
              <w:t xml:space="preserve"> </w:t>
            </w:r>
            <w:r>
              <w:rPr>
                <w:rFonts w:cs="Arial"/>
                <w:lang w:val="en"/>
              </w:rPr>
              <w:t>organisation supporting the clean energy industry in Australia. The CEC represents a range of clean energy sectors</w:t>
            </w:r>
            <w:r w:rsidRPr="005F66A5">
              <w:rPr>
                <w:rFonts w:cs="Arial"/>
              </w:rPr>
              <w:t xml:space="preserve"> and work</w:t>
            </w:r>
            <w:r>
              <w:rPr>
                <w:rFonts w:cs="Arial"/>
              </w:rPr>
              <w:t>s</w:t>
            </w:r>
            <w:r w:rsidRPr="005F66A5">
              <w:rPr>
                <w:rFonts w:cs="Arial"/>
              </w:rPr>
              <w:t xml:space="preserve"> with governments</w:t>
            </w:r>
            <w:r>
              <w:rPr>
                <w:rFonts w:cs="Arial"/>
              </w:rPr>
              <w:t xml:space="preserve"> and other organisations </w:t>
            </w:r>
            <w:r w:rsidRPr="005F66A5">
              <w:rPr>
                <w:rFonts w:cs="Arial"/>
              </w:rPr>
              <w:t xml:space="preserve">to </w:t>
            </w:r>
            <w:r>
              <w:rPr>
                <w:rFonts w:cs="Arial"/>
              </w:rPr>
              <w:t xml:space="preserve">promote the </w:t>
            </w:r>
            <w:r w:rsidRPr="005F66A5">
              <w:rPr>
                <w:rFonts w:cs="Arial"/>
              </w:rPr>
              <w:t>industry</w:t>
            </w:r>
            <w:r>
              <w:rPr>
                <w:rFonts w:cs="Arial"/>
              </w:rPr>
              <w:t>.</w:t>
            </w:r>
          </w:p>
        </w:tc>
      </w:tr>
      <w:tr w:rsidR="004F09A3" w:rsidRPr="00F47E6D" w14:paraId="78CB3E15"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7E9F211A" w14:textId="77777777" w:rsidR="004F09A3" w:rsidRDefault="004F09A3" w:rsidP="00A67D71">
            <w:pPr>
              <w:rPr>
                <w:rFonts w:cs="Arial"/>
                <w:lang w:val="en"/>
              </w:rPr>
            </w:pPr>
            <w:r>
              <w:rPr>
                <w:rFonts w:cs="Arial"/>
                <w:lang w:val="en"/>
              </w:rPr>
              <w:t>Community Consultative Committee (CCC)</w:t>
            </w:r>
          </w:p>
        </w:tc>
        <w:tc>
          <w:tcPr>
            <w:tcW w:w="7626" w:type="dxa"/>
          </w:tcPr>
          <w:p w14:paraId="39C5EABE" w14:textId="77777777" w:rsidR="004F09A3" w:rsidRDefault="004F09A3" w:rsidP="00A67D71">
            <w:pPr>
              <w:autoSpaceDE w:val="0"/>
              <w:autoSpaceDN w:val="0"/>
              <w:adjustRightInd w:val="0"/>
              <w:spacing w:line="264" w:lineRule="auto"/>
              <w:rPr>
                <w:rFonts w:cs="Arial"/>
                <w:lang w:val="en"/>
              </w:rPr>
            </w:pPr>
            <w:r w:rsidRPr="00AC073A">
              <w:rPr>
                <w:rFonts w:cs="Arial"/>
                <w:lang w:val="en"/>
              </w:rPr>
              <w:t xml:space="preserve">A CCC is </w:t>
            </w:r>
            <w:r>
              <w:rPr>
                <w:rFonts w:cs="Arial"/>
                <w:lang w:val="en"/>
              </w:rPr>
              <w:t>a membership that is</w:t>
            </w:r>
            <w:r w:rsidRPr="00AC073A">
              <w:rPr>
                <w:rFonts w:cs="Arial"/>
                <w:lang w:val="en"/>
              </w:rPr>
              <w:t xml:space="preserve"> set up </w:t>
            </w:r>
            <w:r w:rsidRPr="00AC073A">
              <w:rPr>
                <w:rFonts w:cs="Arial"/>
                <w:lang w:val="en-US"/>
              </w:rPr>
              <w:t>to facilitate consultation between wind farm developers, the community, local councils and other stakeholders that may be involved in the development phase or operation of a wind farm.</w:t>
            </w:r>
          </w:p>
        </w:tc>
      </w:tr>
      <w:tr w:rsidR="004F09A3" w:rsidRPr="00F47E6D" w14:paraId="70000E04"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28199B46" w14:textId="77777777" w:rsidR="004F09A3" w:rsidRPr="00F47E6D" w:rsidRDefault="004F09A3" w:rsidP="00A67D71">
            <w:pPr>
              <w:rPr>
                <w:rFonts w:cs="Arial"/>
              </w:rPr>
            </w:pPr>
            <w:r w:rsidRPr="00F47E6D">
              <w:rPr>
                <w:rFonts w:cs="Arial"/>
                <w:lang w:val="en"/>
              </w:rPr>
              <w:t>Community Association</w:t>
            </w:r>
          </w:p>
        </w:tc>
        <w:tc>
          <w:tcPr>
            <w:tcW w:w="7626" w:type="dxa"/>
          </w:tcPr>
          <w:p w14:paraId="796698C7" w14:textId="77777777" w:rsidR="004F09A3" w:rsidRPr="00F47E6D" w:rsidRDefault="004F09A3" w:rsidP="00A67D71">
            <w:pPr>
              <w:rPr>
                <w:rFonts w:cs="Arial"/>
              </w:rPr>
            </w:pPr>
            <w:r>
              <w:rPr>
                <w:rFonts w:cs="Arial"/>
              </w:rPr>
              <w:t>A non-government association of participating members of a community who facilitate representative community engagement in the development process.</w:t>
            </w:r>
          </w:p>
        </w:tc>
      </w:tr>
      <w:tr w:rsidR="004F09A3" w:rsidRPr="00F47E6D" w14:paraId="20A01544"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4D2695E1" w14:textId="77777777" w:rsidR="004F09A3" w:rsidRPr="00F47E6D" w:rsidRDefault="004F09A3" w:rsidP="00A67D71">
            <w:pPr>
              <w:rPr>
                <w:rFonts w:cs="Arial"/>
              </w:rPr>
            </w:pPr>
            <w:r w:rsidRPr="00F47E6D">
              <w:rPr>
                <w:rFonts w:cs="Arial"/>
                <w:lang w:val="en"/>
              </w:rPr>
              <w:t>Community Engagement</w:t>
            </w:r>
          </w:p>
        </w:tc>
        <w:tc>
          <w:tcPr>
            <w:tcW w:w="7626" w:type="dxa"/>
          </w:tcPr>
          <w:p w14:paraId="5C50BE44" w14:textId="77777777" w:rsidR="004F09A3" w:rsidRPr="00F47E6D" w:rsidRDefault="004F09A3" w:rsidP="00A67D71">
            <w:pPr>
              <w:rPr>
                <w:rFonts w:cs="Arial"/>
              </w:rPr>
            </w:pPr>
            <w:r>
              <w:rPr>
                <w:rFonts w:cs="Arial"/>
              </w:rPr>
              <w:t>The consultative process of wind farm developers supporting the participation of community members in the development process.</w:t>
            </w:r>
          </w:p>
        </w:tc>
      </w:tr>
      <w:tr w:rsidR="004F09A3" w:rsidRPr="00F47E6D" w14:paraId="7C92E316"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85C8E05" w14:textId="77777777" w:rsidR="004F09A3" w:rsidRPr="00F47E6D" w:rsidRDefault="004F09A3" w:rsidP="00A67D71">
            <w:pPr>
              <w:rPr>
                <w:rFonts w:cs="Arial"/>
              </w:rPr>
            </w:pPr>
            <w:r w:rsidRPr="00F47E6D">
              <w:rPr>
                <w:rFonts w:cs="Arial"/>
              </w:rPr>
              <w:t>Commercial Dispute</w:t>
            </w:r>
          </w:p>
        </w:tc>
        <w:tc>
          <w:tcPr>
            <w:tcW w:w="7626" w:type="dxa"/>
          </w:tcPr>
          <w:p w14:paraId="51C1381F" w14:textId="77777777" w:rsidR="004F09A3" w:rsidRPr="00F47E6D" w:rsidRDefault="004F09A3" w:rsidP="00A67D71">
            <w:pPr>
              <w:rPr>
                <w:rFonts w:cs="Arial"/>
              </w:rPr>
            </w:pPr>
            <w:r w:rsidRPr="00F47E6D">
              <w:rPr>
                <w:rFonts w:cs="Arial"/>
              </w:rPr>
              <w:t>An issue regarding the contractual goods or services of a wind farm whereby financial compensation has been sought</w:t>
            </w:r>
            <w:r>
              <w:rPr>
                <w:rFonts w:cs="Arial"/>
              </w:rPr>
              <w:t xml:space="preserve"> by a party (for example, a host or a neighbour).</w:t>
            </w:r>
          </w:p>
        </w:tc>
      </w:tr>
      <w:tr w:rsidR="004F09A3" w:rsidRPr="00F47E6D" w14:paraId="0F3D9F4C"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A1EBD6D" w14:textId="77777777" w:rsidR="004F09A3" w:rsidRPr="00F47E6D" w:rsidRDefault="004F09A3" w:rsidP="00A67D71">
            <w:pPr>
              <w:rPr>
                <w:rFonts w:cs="Arial"/>
              </w:rPr>
            </w:pPr>
            <w:r w:rsidRPr="00F47E6D">
              <w:rPr>
                <w:rFonts w:cs="Arial"/>
              </w:rPr>
              <w:t>Complainant</w:t>
            </w:r>
          </w:p>
        </w:tc>
        <w:tc>
          <w:tcPr>
            <w:tcW w:w="7626" w:type="dxa"/>
          </w:tcPr>
          <w:p w14:paraId="7855D0F1" w14:textId="77777777" w:rsidR="004F09A3" w:rsidRPr="00F47E6D" w:rsidRDefault="004F09A3" w:rsidP="00A67D71">
            <w:pPr>
              <w:rPr>
                <w:rFonts w:cs="Arial"/>
              </w:rPr>
            </w:pPr>
            <w:r w:rsidRPr="00F47E6D">
              <w:rPr>
                <w:rFonts w:cs="Arial"/>
              </w:rPr>
              <w:t>One or more resident(s) from a residence who has contacted the Office for the purpose of making a complaint</w:t>
            </w:r>
            <w:r>
              <w:rPr>
                <w:rFonts w:cs="Arial"/>
              </w:rPr>
              <w:t>.</w:t>
            </w:r>
          </w:p>
        </w:tc>
      </w:tr>
      <w:tr w:rsidR="004F09A3" w:rsidRPr="00F47E6D" w14:paraId="7437C504"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A14CFE5" w14:textId="77777777" w:rsidR="004F09A3" w:rsidRPr="00F47E6D" w:rsidRDefault="004F09A3" w:rsidP="00A67D71">
            <w:pPr>
              <w:rPr>
                <w:rFonts w:cs="Arial"/>
              </w:rPr>
            </w:pPr>
            <w:r w:rsidRPr="00F47E6D">
              <w:rPr>
                <w:rFonts w:cs="Arial"/>
                <w:lang w:val="en"/>
              </w:rPr>
              <w:t>Concerned Resident</w:t>
            </w:r>
          </w:p>
        </w:tc>
        <w:tc>
          <w:tcPr>
            <w:tcW w:w="7626" w:type="dxa"/>
          </w:tcPr>
          <w:p w14:paraId="1B786141" w14:textId="77777777" w:rsidR="004F09A3" w:rsidRPr="00A815D8" w:rsidRDefault="004F09A3" w:rsidP="00A67D71">
            <w:pPr>
              <w:rPr>
                <w:rFonts w:cs="Arial"/>
              </w:rPr>
            </w:pPr>
            <w:r w:rsidRPr="00A815D8">
              <w:rPr>
                <w:rFonts w:cs="Arial"/>
              </w:rPr>
              <w:t xml:space="preserve">A person </w:t>
            </w:r>
            <w:r w:rsidRPr="00D4498E">
              <w:rPr>
                <w:rFonts w:eastAsia="Times New Roman" w:cs="Arial"/>
              </w:rPr>
              <w:t>who resides in a dwelling within proximity to a proposed or operating wind farm facility</w:t>
            </w:r>
            <w:r>
              <w:rPr>
                <w:rFonts w:eastAsia="Times New Roman" w:cs="Arial"/>
              </w:rPr>
              <w:t>, who holds concerns about potential impacts of the proposed or operating wind farm and may make a complaint to the Commissioner.</w:t>
            </w:r>
          </w:p>
        </w:tc>
      </w:tr>
      <w:tr w:rsidR="004F09A3" w:rsidRPr="00F47E6D" w14:paraId="1D727819"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1A8E1275" w14:textId="77777777" w:rsidR="004F09A3" w:rsidRPr="00F47E6D" w:rsidRDefault="004F09A3" w:rsidP="00A67D71">
            <w:pPr>
              <w:rPr>
                <w:rFonts w:cs="Arial"/>
              </w:rPr>
            </w:pPr>
            <w:r w:rsidRPr="00F47E6D">
              <w:rPr>
                <w:rFonts w:cs="Arial"/>
              </w:rPr>
              <w:t>Construction</w:t>
            </w:r>
          </w:p>
        </w:tc>
        <w:tc>
          <w:tcPr>
            <w:tcW w:w="7626" w:type="dxa"/>
          </w:tcPr>
          <w:p w14:paraId="5766CA79" w14:textId="77777777" w:rsidR="004F09A3" w:rsidRPr="00F47E6D" w:rsidRDefault="004F09A3" w:rsidP="00A67D71">
            <w:pPr>
              <w:rPr>
                <w:rFonts w:cs="Arial"/>
              </w:rPr>
            </w:pPr>
            <w:r w:rsidRPr="00F47E6D">
              <w:rPr>
                <w:rFonts w:cs="Arial"/>
              </w:rPr>
              <w:t>The stage in which the wind farm includi</w:t>
            </w:r>
            <w:r>
              <w:rPr>
                <w:rFonts w:cs="Arial"/>
              </w:rPr>
              <w:t>ng access roads is being built.</w:t>
            </w:r>
            <w:r w:rsidRPr="00F47E6D">
              <w:rPr>
                <w:rFonts w:cs="Arial"/>
              </w:rPr>
              <w:t xml:space="preserve"> The construction stage may last a number of years</w:t>
            </w:r>
            <w:r>
              <w:rPr>
                <w:rFonts w:cs="Arial"/>
              </w:rPr>
              <w:t>.</w:t>
            </w:r>
          </w:p>
        </w:tc>
      </w:tr>
      <w:tr w:rsidR="004F09A3" w:rsidRPr="00F47E6D" w14:paraId="277667C2"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B761F63" w14:textId="77777777" w:rsidR="004F09A3" w:rsidRPr="00F47E6D" w:rsidRDefault="004F09A3" w:rsidP="00A67D71">
            <w:pPr>
              <w:rPr>
                <w:rFonts w:cs="Arial"/>
              </w:rPr>
            </w:pPr>
            <w:r>
              <w:rPr>
                <w:rFonts w:cs="Arial"/>
              </w:rPr>
              <w:t>dB</w:t>
            </w:r>
          </w:p>
        </w:tc>
        <w:tc>
          <w:tcPr>
            <w:tcW w:w="7626" w:type="dxa"/>
          </w:tcPr>
          <w:p w14:paraId="0D9EFDAC" w14:textId="77777777" w:rsidR="004F09A3" w:rsidRPr="00F47E6D" w:rsidRDefault="004F09A3" w:rsidP="00A67D71">
            <w:pPr>
              <w:rPr>
                <w:rFonts w:cs="Arial"/>
              </w:rPr>
            </w:pPr>
            <w:r>
              <w:rPr>
                <w:rFonts w:cs="Arial"/>
              </w:rPr>
              <w:t>Decibels, a measurement unit used to describe the level or intensity (loudness) of a sound.</w:t>
            </w:r>
          </w:p>
        </w:tc>
      </w:tr>
      <w:tr w:rsidR="004F09A3" w:rsidRPr="00F47E6D" w14:paraId="04A36763"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47740C4" w14:textId="77777777" w:rsidR="004F09A3" w:rsidRPr="00F47E6D" w:rsidRDefault="004F09A3" w:rsidP="00A67D71">
            <w:pPr>
              <w:rPr>
                <w:rFonts w:cs="Arial"/>
              </w:rPr>
            </w:pPr>
            <w:r w:rsidRPr="00F47E6D">
              <w:rPr>
                <w:rFonts w:cs="Arial"/>
              </w:rPr>
              <w:t>dB(A)</w:t>
            </w:r>
          </w:p>
        </w:tc>
        <w:tc>
          <w:tcPr>
            <w:tcW w:w="7626" w:type="dxa"/>
          </w:tcPr>
          <w:p w14:paraId="6DFC5706" w14:textId="77777777" w:rsidR="004F09A3" w:rsidRPr="00F47E6D" w:rsidRDefault="004F09A3" w:rsidP="00A67D71">
            <w:pPr>
              <w:rPr>
                <w:rFonts w:cs="Arial"/>
              </w:rPr>
            </w:pPr>
            <w:r w:rsidRPr="00300F30">
              <w:rPr>
                <w:rFonts w:cs="Arial"/>
                <w:lang w:val="en"/>
              </w:rPr>
              <w:t xml:space="preserve">A-weighted decibels, a measurement </w:t>
            </w:r>
            <w:r>
              <w:rPr>
                <w:rFonts w:cs="Arial"/>
                <w:lang w:val="en"/>
              </w:rPr>
              <w:t xml:space="preserve">unit that used </w:t>
            </w:r>
            <w:r w:rsidRPr="00300F30">
              <w:rPr>
                <w:rFonts w:cs="Arial"/>
                <w:lang w:val="en"/>
              </w:rPr>
              <w:t>to express the relative loudness of sounds in air as perceived by the human ear.</w:t>
            </w:r>
          </w:p>
        </w:tc>
      </w:tr>
      <w:tr w:rsidR="004F09A3" w:rsidRPr="00F47E6D" w14:paraId="6DC89C27"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0BC1EB27" w14:textId="77777777" w:rsidR="004F09A3" w:rsidRPr="00F47E6D" w:rsidRDefault="004F09A3" w:rsidP="00A67D71">
            <w:pPr>
              <w:rPr>
                <w:rFonts w:cs="Arial"/>
                <w:lang w:val="en"/>
              </w:rPr>
            </w:pPr>
            <w:r w:rsidRPr="00F47E6D">
              <w:rPr>
                <w:rFonts w:cs="Arial"/>
                <w:lang w:val="en"/>
              </w:rPr>
              <w:t>dB(C)</w:t>
            </w:r>
          </w:p>
        </w:tc>
        <w:tc>
          <w:tcPr>
            <w:tcW w:w="7626" w:type="dxa"/>
          </w:tcPr>
          <w:p w14:paraId="2966F4C3" w14:textId="77777777" w:rsidR="004F09A3" w:rsidRPr="00F47E6D" w:rsidRDefault="004F09A3" w:rsidP="00A67D71">
            <w:pPr>
              <w:rPr>
                <w:rFonts w:cs="Arial"/>
              </w:rPr>
            </w:pPr>
            <w:r>
              <w:rPr>
                <w:rFonts w:cs="Arial"/>
                <w:lang w:val="en"/>
              </w:rPr>
              <w:t>C</w:t>
            </w:r>
            <w:r w:rsidRPr="00F47E6D">
              <w:rPr>
                <w:rFonts w:cs="Arial"/>
                <w:lang w:val="en"/>
              </w:rPr>
              <w:t xml:space="preserve">-weighted decibels, a </w:t>
            </w:r>
            <w:r>
              <w:rPr>
                <w:rFonts w:cs="Arial"/>
                <w:lang w:val="en"/>
              </w:rPr>
              <w:t>measurement unit that is</w:t>
            </w:r>
            <w:r>
              <w:rPr>
                <w:rFonts w:cs="Arial"/>
              </w:rPr>
              <w:t xml:space="preserve"> used to measure low-frequency noise.</w:t>
            </w:r>
          </w:p>
        </w:tc>
      </w:tr>
      <w:tr w:rsidR="004F09A3" w:rsidRPr="00F47E6D" w14:paraId="73B3D537"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441B70AA" w14:textId="77777777" w:rsidR="004F09A3" w:rsidRPr="00F47E6D" w:rsidRDefault="004F09A3" w:rsidP="00A67D71">
            <w:pPr>
              <w:rPr>
                <w:rFonts w:cs="Arial"/>
                <w:lang w:val="en"/>
              </w:rPr>
            </w:pPr>
            <w:r w:rsidRPr="00F47E6D">
              <w:rPr>
                <w:rFonts w:cs="Arial"/>
                <w:lang w:val="en"/>
              </w:rPr>
              <w:t>dB(G)</w:t>
            </w:r>
          </w:p>
        </w:tc>
        <w:tc>
          <w:tcPr>
            <w:tcW w:w="7626" w:type="dxa"/>
          </w:tcPr>
          <w:p w14:paraId="6BBE0432" w14:textId="77777777" w:rsidR="004F09A3" w:rsidRPr="00F47E6D" w:rsidRDefault="004F09A3" w:rsidP="00A67D71">
            <w:pPr>
              <w:rPr>
                <w:rFonts w:cs="Arial"/>
              </w:rPr>
            </w:pPr>
            <w:r>
              <w:rPr>
                <w:rFonts w:cs="Arial"/>
                <w:lang w:val="en"/>
              </w:rPr>
              <w:t>G</w:t>
            </w:r>
            <w:r w:rsidRPr="00F47E6D">
              <w:rPr>
                <w:rFonts w:cs="Arial"/>
                <w:lang w:val="en"/>
              </w:rPr>
              <w:t xml:space="preserve">-weighted decibels, a measurement </w:t>
            </w:r>
            <w:r>
              <w:rPr>
                <w:rFonts w:cs="Arial"/>
                <w:lang w:val="en"/>
              </w:rPr>
              <w:t xml:space="preserve">unit that is </w:t>
            </w:r>
            <w:r w:rsidRPr="00F47E6D">
              <w:rPr>
                <w:rFonts w:cs="Arial"/>
                <w:lang w:val="en"/>
              </w:rPr>
              <w:t xml:space="preserve">used to </w:t>
            </w:r>
            <w:r>
              <w:rPr>
                <w:rFonts w:cs="Arial"/>
                <w:lang w:val="en"/>
              </w:rPr>
              <w:t>measure to infrasound.</w:t>
            </w:r>
          </w:p>
        </w:tc>
      </w:tr>
      <w:tr w:rsidR="004F09A3" w:rsidRPr="00F47E6D" w14:paraId="331E3C37"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5507A447" w14:textId="77777777" w:rsidR="004F09A3" w:rsidRPr="00F47E6D" w:rsidRDefault="004F09A3" w:rsidP="00A67D71">
            <w:pPr>
              <w:rPr>
                <w:rFonts w:cs="Arial"/>
              </w:rPr>
            </w:pPr>
            <w:r w:rsidRPr="00F47E6D">
              <w:rPr>
                <w:rFonts w:cs="Arial"/>
              </w:rPr>
              <w:t>Economic Loss</w:t>
            </w:r>
          </w:p>
        </w:tc>
        <w:tc>
          <w:tcPr>
            <w:tcW w:w="7626" w:type="dxa"/>
          </w:tcPr>
          <w:p w14:paraId="21361707" w14:textId="77777777" w:rsidR="004F09A3" w:rsidRPr="00F47E6D" w:rsidRDefault="004F09A3" w:rsidP="00A67D71">
            <w:pPr>
              <w:rPr>
                <w:rFonts w:cs="Arial"/>
              </w:rPr>
            </w:pPr>
            <w:r>
              <w:rPr>
                <w:rFonts w:cs="Arial"/>
              </w:rPr>
              <w:t>The potential negative economic impact that a proposed or developed wind farm may have on a particular community or individuals within a community. This is typically the loss or perceived loss of property values or business within proximity to a proposed or operating wind farm.</w:t>
            </w:r>
          </w:p>
        </w:tc>
      </w:tr>
      <w:tr w:rsidR="004F09A3" w:rsidRPr="00F47E6D" w14:paraId="110D7487"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9F8C733" w14:textId="77777777" w:rsidR="004F09A3" w:rsidRPr="00F47E6D" w:rsidRDefault="004F09A3" w:rsidP="00A67D71">
            <w:pPr>
              <w:rPr>
                <w:rFonts w:cs="Arial"/>
              </w:rPr>
            </w:pPr>
            <w:r w:rsidRPr="00F47E6D">
              <w:rPr>
                <w:rFonts w:cs="Arial"/>
                <w:lang w:val="en"/>
              </w:rPr>
              <w:t>Expert</w:t>
            </w:r>
          </w:p>
        </w:tc>
        <w:tc>
          <w:tcPr>
            <w:tcW w:w="7626" w:type="dxa"/>
          </w:tcPr>
          <w:p w14:paraId="47FEB25D" w14:textId="77777777" w:rsidR="004F09A3" w:rsidRPr="00F47E6D" w:rsidRDefault="004F09A3" w:rsidP="00A67D71">
            <w:pPr>
              <w:rPr>
                <w:rFonts w:cs="Arial"/>
              </w:rPr>
            </w:pPr>
            <w:r>
              <w:rPr>
                <w:rFonts w:cs="Arial"/>
              </w:rPr>
              <w:t>A person who has special skill, knowledge or authority in a particular field of study.</w:t>
            </w:r>
          </w:p>
        </w:tc>
      </w:tr>
      <w:tr w:rsidR="004F09A3" w:rsidRPr="00F47E6D" w14:paraId="22394029"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C3C113F" w14:textId="77777777" w:rsidR="004F09A3" w:rsidRPr="00F47E6D" w:rsidRDefault="004F09A3" w:rsidP="00A67D71">
            <w:pPr>
              <w:rPr>
                <w:rFonts w:cs="Arial"/>
              </w:rPr>
            </w:pPr>
            <w:r w:rsidRPr="00F47E6D">
              <w:rPr>
                <w:rFonts w:cs="Arial"/>
                <w:lang w:val="en"/>
              </w:rPr>
              <w:t>Health</w:t>
            </w:r>
          </w:p>
        </w:tc>
        <w:tc>
          <w:tcPr>
            <w:tcW w:w="7626" w:type="dxa"/>
          </w:tcPr>
          <w:p w14:paraId="376E6C30" w14:textId="77777777" w:rsidR="004F09A3" w:rsidRPr="00F47E6D" w:rsidRDefault="004F09A3" w:rsidP="00A67D71">
            <w:pPr>
              <w:rPr>
                <w:rFonts w:cs="Arial"/>
              </w:rPr>
            </w:pPr>
            <w:r>
              <w:rPr>
                <w:rFonts w:cs="Arial"/>
              </w:rPr>
              <w:t>General physical or mental condition of a concerned resident.</w:t>
            </w:r>
          </w:p>
        </w:tc>
      </w:tr>
      <w:tr w:rsidR="004F09A3" w:rsidRPr="00F47E6D" w14:paraId="1B2E54BA"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95F2CC1" w14:textId="77777777" w:rsidR="004F09A3" w:rsidRPr="00F47E6D" w:rsidRDefault="00EC27BF" w:rsidP="00A67D71">
            <w:pPr>
              <w:rPr>
                <w:rFonts w:cs="Arial"/>
                <w:lang w:val="en"/>
              </w:rPr>
            </w:pPr>
            <w:r>
              <w:rPr>
                <w:rFonts w:cs="Arial"/>
                <w:lang w:val="en"/>
              </w:rPr>
              <w:t>H</w:t>
            </w:r>
            <w:r w:rsidR="004F09A3">
              <w:rPr>
                <w:rFonts w:cs="Arial"/>
                <w:lang w:val="en"/>
              </w:rPr>
              <w:t>z</w:t>
            </w:r>
          </w:p>
        </w:tc>
        <w:tc>
          <w:tcPr>
            <w:tcW w:w="7626" w:type="dxa"/>
          </w:tcPr>
          <w:p w14:paraId="2344A302" w14:textId="77777777" w:rsidR="004F09A3" w:rsidRDefault="004F09A3" w:rsidP="00A67D71">
            <w:pPr>
              <w:rPr>
                <w:rFonts w:cs="Arial"/>
              </w:rPr>
            </w:pPr>
            <w:r w:rsidRPr="000F313C">
              <w:rPr>
                <w:rFonts w:cs="Arial"/>
              </w:rPr>
              <w:t xml:space="preserve">Hertz, </w:t>
            </w:r>
            <w:r w:rsidRPr="000F313C">
              <w:rPr>
                <w:rStyle w:val="st1"/>
                <w:rFonts w:cs="Arial"/>
              </w:rPr>
              <w:t xml:space="preserve">a unit which measures the frequency of sound waves, perceived by the human ear as pitch. </w:t>
            </w:r>
            <w:r w:rsidRPr="000F313C">
              <w:rPr>
                <w:rFonts w:cs="Arial"/>
              </w:rPr>
              <w:t xml:space="preserve">The typical </w:t>
            </w:r>
            <w:r>
              <w:rPr>
                <w:rFonts w:cs="Arial"/>
              </w:rPr>
              <w:t>range of human hearing is 20</w:t>
            </w:r>
            <w:r>
              <w:rPr>
                <w:rFonts w:cs="Arial"/>
              </w:rPr>
              <w:noBreakHyphen/>
              <w:t>20,</w:t>
            </w:r>
            <w:r w:rsidRPr="000F313C">
              <w:rPr>
                <w:rFonts w:cs="Arial"/>
              </w:rPr>
              <w:t>000 </w:t>
            </w:r>
            <w:r w:rsidR="00EC27BF">
              <w:rPr>
                <w:rFonts w:cs="Arial"/>
              </w:rPr>
              <w:t>H</w:t>
            </w:r>
            <w:r w:rsidRPr="000F313C">
              <w:rPr>
                <w:rFonts w:cs="Arial"/>
              </w:rPr>
              <w:t>z.</w:t>
            </w:r>
          </w:p>
        </w:tc>
      </w:tr>
      <w:tr w:rsidR="004F09A3" w:rsidRPr="00F47E6D" w14:paraId="7C845F81"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5B75249B" w14:textId="77777777" w:rsidR="004F09A3" w:rsidRPr="00F47E6D" w:rsidRDefault="004F09A3" w:rsidP="00A67D71">
            <w:pPr>
              <w:rPr>
                <w:rFonts w:cs="Arial"/>
              </w:rPr>
            </w:pPr>
            <w:r w:rsidRPr="00F47E6D">
              <w:rPr>
                <w:rFonts w:cs="Arial"/>
                <w:lang w:val="en"/>
              </w:rPr>
              <w:t>Industry Association</w:t>
            </w:r>
          </w:p>
        </w:tc>
        <w:tc>
          <w:tcPr>
            <w:tcW w:w="7626" w:type="dxa"/>
          </w:tcPr>
          <w:p w14:paraId="380A41A0" w14:textId="77777777" w:rsidR="004F09A3" w:rsidRPr="00F47E6D" w:rsidRDefault="004F09A3" w:rsidP="00A67D71">
            <w:pPr>
              <w:rPr>
                <w:rFonts w:cs="Arial"/>
              </w:rPr>
            </w:pPr>
            <w:r>
              <w:rPr>
                <w:rFonts w:cs="Arial"/>
              </w:rPr>
              <w:t>An organisation founded and funded by businesses and other parties that have an interest in the wind energy industry.</w:t>
            </w:r>
          </w:p>
        </w:tc>
      </w:tr>
      <w:tr w:rsidR="004F09A3" w:rsidRPr="00F47E6D" w14:paraId="6C27491F"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7D50C388" w14:textId="77777777" w:rsidR="004F09A3" w:rsidRPr="00F47E6D" w:rsidRDefault="004F09A3" w:rsidP="00A67D71">
            <w:pPr>
              <w:rPr>
                <w:rFonts w:cs="Arial"/>
              </w:rPr>
            </w:pPr>
            <w:r w:rsidRPr="00F47E6D">
              <w:rPr>
                <w:rFonts w:cs="Arial"/>
                <w:lang w:val="en"/>
              </w:rPr>
              <w:t>Industry Member</w:t>
            </w:r>
          </w:p>
        </w:tc>
        <w:tc>
          <w:tcPr>
            <w:tcW w:w="7626" w:type="dxa"/>
          </w:tcPr>
          <w:p w14:paraId="1E6A395C" w14:textId="77777777" w:rsidR="004F09A3" w:rsidRPr="00F47E6D" w:rsidRDefault="004F09A3" w:rsidP="00A67D71">
            <w:pPr>
              <w:rPr>
                <w:rFonts w:cs="Arial"/>
              </w:rPr>
            </w:pPr>
            <w:r>
              <w:rPr>
                <w:rFonts w:cs="Arial"/>
              </w:rPr>
              <w:t>Employee or other party who is involved as a member of an industry association.</w:t>
            </w:r>
          </w:p>
        </w:tc>
      </w:tr>
      <w:tr w:rsidR="004F09A3" w:rsidRPr="00F47E6D" w14:paraId="78E803F2"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A2D2E23" w14:textId="77777777" w:rsidR="004F09A3" w:rsidRPr="00F47E6D" w:rsidRDefault="004F09A3" w:rsidP="00A67D71">
            <w:pPr>
              <w:rPr>
                <w:rFonts w:cs="Arial"/>
              </w:rPr>
            </w:pPr>
            <w:r w:rsidRPr="00F47E6D">
              <w:rPr>
                <w:rFonts w:cs="Arial"/>
                <w:lang w:val="en"/>
              </w:rPr>
              <w:t>Infrasound</w:t>
            </w:r>
          </w:p>
        </w:tc>
        <w:tc>
          <w:tcPr>
            <w:tcW w:w="7626" w:type="dxa"/>
          </w:tcPr>
          <w:p w14:paraId="724FC290" w14:textId="77777777" w:rsidR="004F09A3" w:rsidRPr="00F47E6D" w:rsidRDefault="004F09A3" w:rsidP="00A67D71">
            <w:pPr>
              <w:rPr>
                <w:rFonts w:cs="Arial"/>
              </w:rPr>
            </w:pPr>
            <w:r w:rsidRPr="00F47E6D">
              <w:rPr>
                <w:rStyle w:val="tgc"/>
                <w:rFonts w:cs="Arial"/>
              </w:rPr>
              <w:t>Sound that is lower in frequency than 20 Hz or cycles per second, the ‘normal’ limit of human hearing.</w:t>
            </w:r>
          </w:p>
        </w:tc>
      </w:tr>
      <w:tr w:rsidR="004F09A3" w:rsidRPr="00F47E6D" w14:paraId="30602B51"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77EC6202" w14:textId="77777777" w:rsidR="004F09A3" w:rsidRPr="00F47E6D" w:rsidRDefault="004F09A3" w:rsidP="00A67D71">
            <w:pPr>
              <w:rPr>
                <w:rFonts w:cs="Arial"/>
                <w:lang w:val="en"/>
              </w:rPr>
            </w:pPr>
            <w:r>
              <w:rPr>
                <w:rFonts w:cs="Arial"/>
              </w:rPr>
              <w:t>Independent Scientific Committee on Wind Turbines</w:t>
            </w:r>
          </w:p>
        </w:tc>
        <w:tc>
          <w:tcPr>
            <w:tcW w:w="7626" w:type="dxa"/>
          </w:tcPr>
          <w:p w14:paraId="4278D3BF" w14:textId="77777777" w:rsidR="004F09A3" w:rsidRPr="00F47E6D" w:rsidRDefault="004F09A3" w:rsidP="00A67D71">
            <w:pPr>
              <w:rPr>
                <w:rStyle w:val="tgc"/>
                <w:rFonts w:cs="Arial"/>
              </w:rPr>
            </w:pPr>
            <w:r>
              <w:rPr>
                <w:lang w:val="en"/>
              </w:rPr>
              <w:t>An independent, multidisciplinary, expert group established in 2015 by the then Minister for the Environment, the Hon Greg Hunt. The Committee was primarily established to investigate and provide advice on the potential impacts of sound from wind turbines on health and the environment.</w:t>
            </w:r>
          </w:p>
        </w:tc>
      </w:tr>
      <w:tr w:rsidR="004F09A3" w:rsidRPr="00F47E6D" w14:paraId="35055688"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746A8F99" w14:textId="77777777" w:rsidR="004F09A3" w:rsidRPr="00F47E6D" w:rsidRDefault="004F09A3" w:rsidP="00A67D71">
            <w:pPr>
              <w:rPr>
                <w:rFonts w:cs="Arial"/>
                <w:lang w:val="en"/>
              </w:rPr>
            </w:pPr>
            <w:r w:rsidRPr="00F47E6D">
              <w:rPr>
                <w:rFonts w:cs="Arial"/>
              </w:rPr>
              <w:t>L</w:t>
            </w:r>
            <w:r w:rsidRPr="00F47E6D">
              <w:rPr>
                <w:rFonts w:cs="Arial"/>
                <w:vertAlign w:val="subscript"/>
              </w:rPr>
              <w:t>A90,10min</w:t>
            </w:r>
          </w:p>
        </w:tc>
        <w:tc>
          <w:tcPr>
            <w:tcW w:w="7626" w:type="dxa"/>
          </w:tcPr>
          <w:p w14:paraId="3713E43B" w14:textId="77777777" w:rsidR="004F09A3" w:rsidRPr="00F47E6D" w:rsidRDefault="004F09A3" w:rsidP="00A67D71">
            <w:pPr>
              <w:rPr>
                <w:rFonts w:cs="Arial"/>
              </w:rPr>
            </w:pPr>
            <w:r>
              <w:rPr>
                <w:rFonts w:cs="Arial"/>
              </w:rPr>
              <w:t>T</w:t>
            </w:r>
            <w:r w:rsidRPr="00F47E6D">
              <w:rPr>
                <w:rFonts w:cs="Arial"/>
              </w:rPr>
              <w:t xml:space="preserve">he A-weighted sound pressure level, obtained by using the fast time-weighting, that is equal to or exceeded for </w:t>
            </w:r>
            <w:r>
              <w:rPr>
                <w:rFonts w:cs="Arial"/>
              </w:rPr>
              <w:t>90% of a 10</w:t>
            </w:r>
            <w:r w:rsidRPr="00F47E6D">
              <w:rPr>
                <w:rFonts w:cs="Arial"/>
              </w:rPr>
              <w:t xml:space="preserve"> minute time interval. The values for individual 10 minute time periods are highly variable and a function of the hub height wind speed. The actual value for a particular hub height wind speed is determined by best fitting a polynomial function of hub height wind speed, which can be up to fo</w:t>
            </w:r>
            <w:r>
              <w:rPr>
                <w:rFonts w:cs="Arial"/>
              </w:rPr>
              <w:t>urth order, to the individual 10</w:t>
            </w:r>
            <w:r w:rsidRPr="00F47E6D">
              <w:rPr>
                <w:rFonts w:cs="Arial"/>
              </w:rPr>
              <w:t xml:space="preserve"> minute time period L</w:t>
            </w:r>
            <w:r w:rsidRPr="00F47E6D">
              <w:rPr>
                <w:rFonts w:cs="Arial"/>
                <w:vertAlign w:val="subscript"/>
              </w:rPr>
              <w:t>A90,10min</w:t>
            </w:r>
            <w:r w:rsidRPr="00F47E6D">
              <w:rPr>
                <w:rFonts w:cs="Arial"/>
              </w:rPr>
              <w:t xml:space="preserve"> values when the wind turbines are operating. It is corrected to remove the effect of the background noise by subtracting a background noise function determined in the same way when the wind turbines are not operating.</w:t>
            </w:r>
          </w:p>
          <w:p w14:paraId="11278AD2" w14:textId="77777777" w:rsidR="004F09A3" w:rsidRPr="00F47E6D" w:rsidRDefault="004F09A3" w:rsidP="00A67D71">
            <w:pPr>
              <w:rPr>
                <w:rStyle w:val="tgc"/>
                <w:rFonts w:cs="Arial"/>
              </w:rPr>
            </w:pPr>
            <w:r w:rsidRPr="00F47E6D">
              <w:rPr>
                <w:rFonts w:cs="Arial"/>
              </w:rPr>
              <w:lastRenderedPageBreak/>
              <w:t>For example, for a particular hub height wind speed, the L</w:t>
            </w:r>
            <w:r w:rsidRPr="00F47E6D">
              <w:rPr>
                <w:rFonts w:cs="Arial"/>
                <w:vertAlign w:val="subscript"/>
              </w:rPr>
              <w:t>A90,10min</w:t>
            </w:r>
            <w:r w:rsidRPr="00F47E6D">
              <w:rPr>
                <w:rFonts w:cs="Arial"/>
              </w:rPr>
              <w:t xml:space="preserve"> function determined as described above must be le</w:t>
            </w:r>
            <w:r>
              <w:rPr>
                <w:rFonts w:cs="Arial"/>
              </w:rPr>
              <w:t>ss than the greater of 35 </w:t>
            </w:r>
            <w:r w:rsidRPr="00F47E6D">
              <w:rPr>
                <w:rFonts w:cs="Arial"/>
              </w:rPr>
              <w:t>dB and the background noise function determined as described above plus 5 dB.</w:t>
            </w:r>
          </w:p>
        </w:tc>
      </w:tr>
      <w:tr w:rsidR="004F09A3" w:rsidRPr="00F47E6D" w14:paraId="4E758827"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8D57ABF" w14:textId="77777777" w:rsidR="004F09A3" w:rsidRPr="00F47E6D" w:rsidRDefault="004F09A3" w:rsidP="00A67D71">
            <w:pPr>
              <w:rPr>
                <w:rFonts w:cs="Arial"/>
                <w:lang w:val="en"/>
              </w:rPr>
            </w:pPr>
            <w:r w:rsidRPr="00F47E6D">
              <w:rPr>
                <w:rFonts w:cs="Arial"/>
              </w:rPr>
              <w:lastRenderedPageBreak/>
              <w:t>Micro-siting</w:t>
            </w:r>
          </w:p>
        </w:tc>
        <w:tc>
          <w:tcPr>
            <w:tcW w:w="7626" w:type="dxa"/>
          </w:tcPr>
          <w:p w14:paraId="20D2B4F9" w14:textId="77777777" w:rsidR="004F09A3" w:rsidRPr="00F47E6D" w:rsidRDefault="004F09A3" w:rsidP="00A67D71">
            <w:pPr>
              <w:rPr>
                <w:rStyle w:val="tgc"/>
                <w:rFonts w:cs="Arial"/>
              </w:rPr>
            </w:pPr>
            <w:r w:rsidRPr="00F47E6D">
              <w:rPr>
                <w:rStyle w:val="tgc"/>
                <w:rFonts w:cs="Arial"/>
              </w:rPr>
              <w:t>The process whereby the specific location of a wind turbine is determined</w:t>
            </w:r>
            <w:r>
              <w:rPr>
                <w:rStyle w:val="tgc"/>
                <w:rFonts w:cs="Arial"/>
              </w:rPr>
              <w:t>.</w:t>
            </w:r>
          </w:p>
        </w:tc>
      </w:tr>
      <w:tr w:rsidR="004F09A3" w:rsidRPr="00F47E6D" w14:paraId="7FD6B274"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0DF515E4" w14:textId="77777777" w:rsidR="004F09A3" w:rsidRPr="00F47E6D" w:rsidRDefault="004F09A3" w:rsidP="00A67D71">
            <w:pPr>
              <w:rPr>
                <w:rFonts w:cs="Arial"/>
                <w:lang w:val="en"/>
              </w:rPr>
            </w:pPr>
            <w:r w:rsidRPr="00E00EB7">
              <w:rPr>
                <w:rFonts w:ascii="Helvetica" w:eastAsia="Times New Roman" w:hAnsi="Helvetica" w:cs="Helvetica"/>
                <w:color w:val="000000"/>
              </w:rPr>
              <w:t>National Health and Medical Research Council (NHMRC</w:t>
            </w:r>
            <w:r>
              <w:rPr>
                <w:rFonts w:ascii="Helvetica" w:eastAsia="Times New Roman" w:hAnsi="Helvetica" w:cs="Helvetica"/>
                <w:color w:val="000000"/>
              </w:rPr>
              <w:t>)</w:t>
            </w:r>
          </w:p>
        </w:tc>
        <w:tc>
          <w:tcPr>
            <w:tcW w:w="7626" w:type="dxa"/>
          </w:tcPr>
          <w:p w14:paraId="0E557784" w14:textId="77777777" w:rsidR="004F09A3" w:rsidRPr="00F47E6D" w:rsidRDefault="004F09A3" w:rsidP="00A67D71">
            <w:pPr>
              <w:rPr>
                <w:rStyle w:val="tgc"/>
                <w:rFonts w:cs="Arial"/>
              </w:rPr>
            </w:pPr>
            <w:r w:rsidRPr="00674543">
              <w:rPr>
                <w:rFonts w:eastAsia="Times New Roman" w:cs="Arial"/>
                <w:lang w:val="en"/>
              </w:rPr>
              <w:t>An independent statutory agency and expert body that promotes the development and maintenance of public and individual health standards. NHMRC provides research funding and development of advice, drawing upon a broad range of resources.</w:t>
            </w:r>
          </w:p>
        </w:tc>
      </w:tr>
      <w:tr w:rsidR="004F09A3" w:rsidRPr="00F47E6D" w14:paraId="69C500DF"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6A89127C" w14:textId="77777777" w:rsidR="004F09A3" w:rsidRPr="00F47E6D" w:rsidRDefault="004F09A3" w:rsidP="00A67D71">
            <w:pPr>
              <w:rPr>
                <w:rStyle w:val="tgc"/>
                <w:rFonts w:cs="Arial"/>
              </w:rPr>
            </w:pPr>
            <w:r w:rsidRPr="00F47E6D">
              <w:rPr>
                <w:rStyle w:val="tgc"/>
                <w:rFonts w:cs="Arial"/>
              </w:rPr>
              <w:t>Natural Environment</w:t>
            </w:r>
          </w:p>
        </w:tc>
        <w:tc>
          <w:tcPr>
            <w:tcW w:w="7626" w:type="dxa"/>
          </w:tcPr>
          <w:p w14:paraId="2797131D" w14:textId="77777777" w:rsidR="004F09A3" w:rsidRPr="00F47E6D" w:rsidRDefault="004F09A3" w:rsidP="00A67D71">
            <w:pPr>
              <w:rPr>
                <w:rStyle w:val="tgc"/>
                <w:rFonts w:cs="Arial"/>
              </w:rPr>
            </w:pPr>
            <w:r>
              <w:rPr>
                <w:rStyle w:val="tgc"/>
                <w:rFonts w:cs="Arial"/>
              </w:rPr>
              <w:t>The land, water, biodiversity, flora and fauna and the naturally occurring ecological processes that may be impacted by the development or operation of a wind farm.</w:t>
            </w:r>
          </w:p>
        </w:tc>
      </w:tr>
      <w:tr w:rsidR="004F09A3" w:rsidRPr="00F47E6D" w14:paraId="167F482C"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5BF53D6" w14:textId="77777777" w:rsidR="004F09A3" w:rsidRPr="00F47E6D" w:rsidRDefault="004F09A3" w:rsidP="00A67D71">
            <w:pPr>
              <w:rPr>
                <w:rFonts w:cs="Arial"/>
              </w:rPr>
            </w:pPr>
            <w:r>
              <w:rPr>
                <w:rStyle w:val="tgc"/>
                <w:rFonts w:cs="Arial"/>
              </w:rPr>
              <w:t>Neighbour</w:t>
            </w:r>
          </w:p>
        </w:tc>
        <w:tc>
          <w:tcPr>
            <w:tcW w:w="7626" w:type="dxa"/>
          </w:tcPr>
          <w:p w14:paraId="58001700" w14:textId="77777777" w:rsidR="004F09A3" w:rsidRPr="00674543" w:rsidRDefault="004F09A3" w:rsidP="00A67D71">
            <w:pPr>
              <w:spacing w:line="264" w:lineRule="auto"/>
              <w:rPr>
                <w:rFonts w:eastAsia="Times New Roman" w:cs="Arial"/>
                <w:lang w:val="en"/>
              </w:rPr>
            </w:pPr>
            <w:r>
              <w:rPr>
                <w:rFonts w:cs="Arial"/>
              </w:rPr>
              <w:t>A resident of a property</w:t>
            </w:r>
            <w:r w:rsidRPr="00F47E6D">
              <w:rPr>
                <w:rFonts w:cs="Arial"/>
              </w:rPr>
              <w:t xml:space="preserve"> </w:t>
            </w:r>
            <w:r>
              <w:rPr>
                <w:rFonts w:cs="Arial"/>
              </w:rPr>
              <w:t xml:space="preserve">that is </w:t>
            </w:r>
            <w:r w:rsidRPr="00F47E6D">
              <w:rPr>
                <w:rFonts w:cs="Arial"/>
              </w:rPr>
              <w:t xml:space="preserve">within </w:t>
            </w:r>
            <w:r>
              <w:rPr>
                <w:rFonts w:cs="Arial"/>
              </w:rPr>
              <w:t xml:space="preserve">close </w:t>
            </w:r>
            <w:r w:rsidRPr="00F47E6D">
              <w:rPr>
                <w:rFonts w:cs="Arial"/>
              </w:rPr>
              <w:t xml:space="preserve">proximity to wind farm </w:t>
            </w:r>
            <w:r>
              <w:rPr>
                <w:rFonts w:cs="Arial"/>
              </w:rPr>
              <w:t>turbine/s, but does not host the turbine.</w:t>
            </w:r>
          </w:p>
        </w:tc>
      </w:tr>
      <w:tr w:rsidR="004F09A3" w:rsidRPr="00F47E6D" w14:paraId="08EA006E"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C008C6A" w14:textId="77777777" w:rsidR="004F09A3" w:rsidRPr="00E00EB7" w:rsidRDefault="004F09A3" w:rsidP="00A67D71">
            <w:pPr>
              <w:rPr>
                <w:rFonts w:ascii="Helvetica" w:eastAsia="Times New Roman" w:hAnsi="Helvetica" w:cs="Helvetica"/>
                <w:color w:val="000000"/>
              </w:rPr>
            </w:pPr>
            <w:r w:rsidRPr="00F47E6D">
              <w:rPr>
                <w:rFonts w:cs="Arial"/>
              </w:rPr>
              <w:t>NZS 6808:1998</w:t>
            </w:r>
          </w:p>
        </w:tc>
        <w:tc>
          <w:tcPr>
            <w:tcW w:w="7626" w:type="dxa"/>
          </w:tcPr>
          <w:p w14:paraId="2C177C7A" w14:textId="77777777" w:rsidR="004F09A3" w:rsidRPr="006B14B3" w:rsidRDefault="004F09A3" w:rsidP="00A67D71">
            <w:pPr>
              <w:autoSpaceDE w:val="0"/>
              <w:autoSpaceDN w:val="0"/>
              <w:adjustRightInd w:val="0"/>
              <w:spacing w:line="264" w:lineRule="auto"/>
              <w:rPr>
                <w:rFonts w:cs="Arial"/>
              </w:rPr>
            </w:pPr>
            <w:r w:rsidRPr="006B14B3">
              <w:rPr>
                <w:rFonts w:cs="Arial"/>
              </w:rPr>
              <w:t>A recognised standard in New Zealand introduced in 1998 that provides methods for the prediction, measurement and assessment of sound from wind turbines.</w:t>
            </w:r>
          </w:p>
          <w:p w14:paraId="1C0F101E" w14:textId="77777777" w:rsidR="004F09A3" w:rsidRPr="006B466D" w:rsidRDefault="004F09A3" w:rsidP="00A67D71">
            <w:pPr>
              <w:autoSpaceDE w:val="0"/>
              <w:autoSpaceDN w:val="0"/>
              <w:adjustRightInd w:val="0"/>
              <w:spacing w:line="264" w:lineRule="auto"/>
              <w:rPr>
                <w:rFonts w:cs="Arial"/>
                <w:i/>
                <w:iCs/>
              </w:rPr>
            </w:pPr>
            <w:r w:rsidRPr="006B14B3">
              <w:rPr>
                <w:rFonts w:cs="Arial"/>
              </w:rPr>
              <w:t xml:space="preserve">This standard was based on the United Kingdom 1996 </w:t>
            </w:r>
            <w:r>
              <w:rPr>
                <w:rFonts w:cs="Arial"/>
              </w:rPr>
              <w:t>Energy Technology Support Unit (</w:t>
            </w:r>
            <w:r w:rsidRPr="006B14B3">
              <w:rPr>
                <w:rFonts w:cs="Arial"/>
              </w:rPr>
              <w:t>ETSU</w:t>
            </w:r>
            <w:r>
              <w:rPr>
                <w:rFonts w:cs="Arial"/>
              </w:rPr>
              <w:t>)</w:t>
            </w:r>
            <w:r w:rsidRPr="006B14B3">
              <w:rPr>
                <w:rFonts w:cs="Arial"/>
              </w:rPr>
              <w:t xml:space="preserve"> report</w:t>
            </w:r>
            <w:r w:rsidRPr="006B466D">
              <w:rPr>
                <w:rFonts w:cs="Arial"/>
              </w:rPr>
              <w:t xml:space="preserve"> </w:t>
            </w:r>
            <w:r w:rsidRPr="006B466D">
              <w:rPr>
                <w:rFonts w:cs="Arial"/>
                <w:i/>
                <w:iCs/>
              </w:rPr>
              <w:t>The assessment and rating of noise from</w:t>
            </w:r>
            <w:r>
              <w:rPr>
                <w:rFonts w:cs="Arial"/>
                <w:i/>
                <w:iCs/>
              </w:rPr>
              <w:t xml:space="preserve"> wind farms</w:t>
            </w:r>
            <w:r w:rsidRPr="006B466D">
              <w:rPr>
                <w:rFonts w:cs="Arial"/>
                <w:i/>
                <w:iCs/>
              </w:rPr>
              <w:t xml:space="preserve"> </w:t>
            </w:r>
            <w:r>
              <w:rPr>
                <w:rFonts w:cs="Arial"/>
                <w:iCs/>
              </w:rPr>
              <w:t>(</w:t>
            </w:r>
            <w:r>
              <w:rPr>
                <w:rFonts w:cs="Arial"/>
              </w:rPr>
              <w:t xml:space="preserve">ETSU-R-97, </w:t>
            </w:r>
            <w:r w:rsidRPr="006B466D">
              <w:rPr>
                <w:rFonts w:cs="Arial"/>
              </w:rPr>
              <w:t>1996)</w:t>
            </w:r>
            <w:r>
              <w:rPr>
                <w:rFonts w:cs="Arial"/>
              </w:rPr>
              <w:t>. H</w:t>
            </w:r>
            <w:r w:rsidRPr="006B14B3">
              <w:rPr>
                <w:rFonts w:cs="Arial"/>
              </w:rPr>
              <w:t>owever</w:t>
            </w:r>
            <w:r>
              <w:rPr>
                <w:rFonts w:cs="Arial"/>
              </w:rPr>
              <w:t xml:space="preserve"> the New Zealand standard</w:t>
            </w:r>
            <w:r w:rsidRPr="006B14B3">
              <w:rPr>
                <w:rFonts w:cs="Arial"/>
              </w:rPr>
              <w:t xml:space="preserve"> introduced the L95 measurement </w:t>
            </w:r>
            <w:r>
              <w:rPr>
                <w:rFonts w:cs="Arial"/>
              </w:rPr>
              <w:t xml:space="preserve">used to describe background </w:t>
            </w:r>
            <w:r w:rsidRPr="006B14B3">
              <w:rPr>
                <w:rFonts w:cs="Arial"/>
              </w:rPr>
              <w:t xml:space="preserve">sound in New Zealand. </w:t>
            </w:r>
            <w:r>
              <w:rPr>
                <w:rFonts w:cs="Arial"/>
              </w:rPr>
              <w:t xml:space="preserve">The standard </w:t>
            </w:r>
            <w:r w:rsidRPr="006B14B3">
              <w:rPr>
                <w:rFonts w:cs="Arial"/>
              </w:rPr>
              <w:t>limi</w:t>
            </w:r>
            <w:r>
              <w:rPr>
                <w:rFonts w:cs="Arial"/>
              </w:rPr>
              <w:t xml:space="preserve">t was 40dB, with a </w:t>
            </w:r>
            <w:r w:rsidRPr="006B14B3">
              <w:rPr>
                <w:rFonts w:cs="Arial"/>
              </w:rPr>
              <w:t>‘background +5 dB’ variable</w:t>
            </w:r>
            <w:r>
              <w:rPr>
                <w:rFonts w:cs="Arial"/>
              </w:rPr>
              <w:t>.</w:t>
            </w:r>
            <w:r w:rsidRPr="006B14B3">
              <w:rPr>
                <w:rFonts w:cs="Arial"/>
              </w:rPr>
              <w:t xml:space="preserve"> </w:t>
            </w:r>
            <w:r>
              <w:rPr>
                <w:rFonts w:cs="Arial"/>
              </w:rPr>
              <w:t xml:space="preserve">This standard was used for all wind </w:t>
            </w:r>
            <w:r w:rsidRPr="006B14B3">
              <w:rPr>
                <w:rFonts w:cs="Arial"/>
              </w:rPr>
              <w:t>farms in New Zealand</w:t>
            </w:r>
            <w:r>
              <w:rPr>
                <w:rFonts w:cs="Arial"/>
              </w:rPr>
              <w:t xml:space="preserve"> until the introduction of the 2010 standard and was also adopted in</w:t>
            </w:r>
            <w:r w:rsidRPr="006B14B3">
              <w:rPr>
                <w:rFonts w:cs="Arial"/>
              </w:rPr>
              <w:t xml:space="preserve"> Victoria prior to 2010</w:t>
            </w:r>
            <w:r>
              <w:rPr>
                <w:rFonts w:cs="Arial"/>
              </w:rPr>
              <w:t>. This standard is now succeeded by NZS 6808:2010.</w:t>
            </w:r>
          </w:p>
        </w:tc>
      </w:tr>
      <w:tr w:rsidR="004F09A3" w:rsidRPr="00F47E6D" w14:paraId="5DFEFF7A"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141F31EA" w14:textId="77777777" w:rsidR="004F09A3" w:rsidRPr="00F47E6D" w:rsidRDefault="004F09A3" w:rsidP="00A67D71">
            <w:pPr>
              <w:rPr>
                <w:rFonts w:cs="Arial"/>
              </w:rPr>
            </w:pPr>
            <w:r w:rsidRPr="00F47E6D">
              <w:rPr>
                <w:rFonts w:cs="Arial"/>
              </w:rPr>
              <w:t>NZS 6808:</w:t>
            </w:r>
            <w:r>
              <w:rPr>
                <w:rFonts w:cs="Arial"/>
              </w:rPr>
              <w:t>2010</w:t>
            </w:r>
          </w:p>
        </w:tc>
        <w:tc>
          <w:tcPr>
            <w:tcW w:w="7626" w:type="dxa"/>
          </w:tcPr>
          <w:p w14:paraId="0BCA8918" w14:textId="77777777" w:rsidR="004F09A3" w:rsidRPr="002340D9" w:rsidRDefault="004F09A3" w:rsidP="00A67D71">
            <w:pPr>
              <w:autoSpaceDE w:val="0"/>
              <w:autoSpaceDN w:val="0"/>
              <w:adjustRightInd w:val="0"/>
              <w:spacing w:line="264" w:lineRule="auto"/>
              <w:rPr>
                <w:rFonts w:cs="Arial"/>
              </w:rPr>
            </w:pPr>
            <w:r w:rsidRPr="002340D9">
              <w:rPr>
                <w:rFonts w:cs="Arial"/>
              </w:rPr>
              <w:t>A recognised standard in New Zealand introduced in 2010 that provides methods for the prediction, measurement and assessment of sound from wind turbines. This standard succeeded the 1998 version</w:t>
            </w:r>
            <w:r>
              <w:rPr>
                <w:rFonts w:cs="Arial"/>
              </w:rPr>
              <w:t xml:space="preserve"> (NZS 6808:1998).</w:t>
            </w:r>
          </w:p>
          <w:p w14:paraId="73FA2233" w14:textId="77777777" w:rsidR="004F09A3" w:rsidRPr="002340D9" w:rsidRDefault="004F09A3" w:rsidP="00A67D71">
            <w:pPr>
              <w:autoSpaceDE w:val="0"/>
              <w:autoSpaceDN w:val="0"/>
              <w:adjustRightInd w:val="0"/>
              <w:spacing w:line="264" w:lineRule="auto"/>
              <w:rPr>
                <w:rFonts w:cs="Arial"/>
              </w:rPr>
            </w:pPr>
            <w:r>
              <w:rPr>
                <w:rFonts w:cs="Arial"/>
              </w:rPr>
              <w:t>While the</w:t>
            </w:r>
            <w:r w:rsidRPr="002340D9">
              <w:rPr>
                <w:rFonts w:cs="Arial"/>
              </w:rPr>
              <w:t xml:space="preserve"> 1998 version was </w:t>
            </w:r>
            <w:r>
              <w:rPr>
                <w:rFonts w:cs="Arial"/>
              </w:rPr>
              <w:t>introduced</w:t>
            </w:r>
            <w:r w:rsidRPr="002340D9">
              <w:rPr>
                <w:rFonts w:cs="Arial"/>
              </w:rPr>
              <w:t xml:space="preserve"> prior to significant wind farm develo</w:t>
            </w:r>
            <w:r>
              <w:rPr>
                <w:rFonts w:cs="Arial"/>
              </w:rPr>
              <w:t>pment in New Zealand</w:t>
            </w:r>
            <w:r w:rsidRPr="002340D9">
              <w:rPr>
                <w:rFonts w:cs="Arial"/>
              </w:rPr>
              <w:t xml:space="preserve">, </w:t>
            </w:r>
            <w:r>
              <w:rPr>
                <w:rFonts w:cs="Arial"/>
              </w:rPr>
              <w:t>a number of</w:t>
            </w:r>
            <w:r w:rsidRPr="002340D9">
              <w:rPr>
                <w:rFonts w:cs="Arial"/>
              </w:rPr>
              <w:t xml:space="preserve"> technical refinements and inc</w:t>
            </w:r>
            <w:r>
              <w:rPr>
                <w:rFonts w:cs="Arial"/>
              </w:rPr>
              <w:t>remental enhancements</w:t>
            </w:r>
            <w:r w:rsidRPr="002340D9">
              <w:rPr>
                <w:rFonts w:cs="Arial"/>
              </w:rPr>
              <w:t xml:space="preserve"> </w:t>
            </w:r>
            <w:r>
              <w:rPr>
                <w:rFonts w:cs="Arial"/>
              </w:rPr>
              <w:t>were included in the</w:t>
            </w:r>
            <w:r w:rsidRPr="002340D9">
              <w:rPr>
                <w:rFonts w:cs="Arial"/>
              </w:rPr>
              <w:t xml:space="preserve"> 2010 </w:t>
            </w:r>
            <w:r>
              <w:rPr>
                <w:rFonts w:cs="Arial"/>
              </w:rPr>
              <w:t>standard</w:t>
            </w:r>
            <w:r w:rsidRPr="002340D9">
              <w:rPr>
                <w:rFonts w:cs="Arial"/>
              </w:rPr>
              <w:t>.</w:t>
            </w:r>
            <w:r>
              <w:rPr>
                <w:rFonts w:cs="Arial"/>
              </w:rPr>
              <w:t xml:space="preserve"> Notably, the standard also provided</w:t>
            </w:r>
            <w:r w:rsidRPr="002340D9">
              <w:rPr>
                <w:rFonts w:cs="Arial"/>
              </w:rPr>
              <w:t xml:space="preserve"> for a mor</w:t>
            </w:r>
            <w:r>
              <w:rPr>
                <w:rFonts w:cs="Arial"/>
              </w:rPr>
              <w:t xml:space="preserve">e stringent ‘high amenity noise </w:t>
            </w:r>
            <w:r w:rsidRPr="002340D9">
              <w:rPr>
                <w:rFonts w:cs="Arial"/>
              </w:rPr>
              <w:t xml:space="preserve">limit’ </w:t>
            </w:r>
            <w:r>
              <w:rPr>
                <w:rFonts w:cs="Arial"/>
              </w:rPr>
              <w:t xml:space="preserve">in </w:t>
            </w:r>
            <w:r w:rsidRPr="002340D9">
              <w:rPr>
                <w:rFonts w:cs="Arial"/>
              </w:rPr>
              <w:t>special local circumstances.</w:t>
            </w:r>
          </w:p>
        </w:tc>
      </w:tr>
      <w:tr w:rsidR="004F09A3" w:rsidRPr="00F47E6D" w14:paraId="2A8CD92C"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1A9BDC64" w14:textId="77777777" w:rsidR="004F09A3" w:rsidRPr="00F47E6D" w:rsidRDefault="004F09A3" w:rsidP="00A67D71">
            <w:pPr>
              <w:rPr>
                <w:rFonts w:cs="Arial"/>
                <w:lang w:val="en"/>
              </w:rPr>
            </w:pPr>
            <w:r w:rsidRPr="00F47E6D">
              <w:rPr>
                <w:rStyle w:val="tgc"/>
                <w:rFonts w:cs="Arial"/>
              </w:rPr>
              <w:t>Ombudsman</w:t>
            </w:r>
          </w:p>
        </w:tc>
        <w:tc>
          <w:tcPr>
            <w:tcW w:w="7626" w:type="dxa"/>
          </w:tcPr>
          <w:p w14:paraId="68629F79" w14:textId="77777777" w:rsidR="004F09A3" w:rsidRPr="00F47E6D" w:rsidRDefault="004F09A3" w:rsidP="00A67D71">
            <w:pPr>
              <w:rPr>
                <w:rStyle w:val="tgc"/>
                <w:rFonts w:cs="Arial"/>
              </w:rPr>
            </w:pPr>
            <w:r w:rsidRPr="002F6417">
              <w:rPr>
                <w:rStyle w:val="st1"/>
                <w:rFonts w:cs="Arial"/>
              </w:rPr>
              <w:t>Appointed authority to assist the public by investigating and resolving complaints on a specified issue.</w:t>
            </w:r>
          </w:p>
        </w:tc>
      </w:tr>
      <w:tr w:rsidR="004F09A3" w:rsidRPr="00F47E6D" w14:paraId="7B0E9D08"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78743C41" w14:textId="77777777" w:rsidR="004F09A3" w:rsidRPr="00F47E6D" w:rsidRDefault="004F09A3" w:rsidP="00A67D71">
            <w:pPr>
              <w:rPr>
                <w:rFonts w:cs="Arial"/>
                <w:lang w:val="en"/>
              </w:rPr>
            </w:pPr>
            <w:r w:rsidRPr="00F47E6D">
              <w:rPr>
                <w:rStyle w:val="tgc"/>
                <w:rFonts w:cs="Arial"/>
              </w:rPr>
              <w:t>Planning Process</w:t>
            </w:r>
          </w:p>
        </w:tc>
        <w:tc>
          <w:tcPr>
            <w:tcW w:w="7626" w:type="dxa"/>
          </w:tcPr>
          <w:p w14:paraId="1E389090" w14:textId="77777777" w:rsidR="004F09A3" w:rsidRPr="00F47E6D" w:rsidRDefault="004F09A3" w:rsidP="00A67D71">
            <w:pPr>
              <w:rPr>
                <w:rStyle w:val="tgc"/>
                <w:rFonts w:cs="Arial"/>
              </w:rPr>
            </w:pPr>
            <w:r>
              <w:rPr>
                <w:rStyle w:val="tgc"/>
                <w:rFonts w:cs="Arial"/>
              </w:rPr>
              <w:t>A local, state or Federal Government process to determine whether a proposed project will be approved.</w:t>
            </w:r>
          </w:p>
        </w:tc>
      </w:tr>
      <w:tr w:rsidR="004F09A3" w:rsidRPr="00F47E6D" w14:paraId="1E67F0D1"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7AAB2900" w14:textId="77777777" w:rsidR="004F09A3" w:rsidRPr="00F47E6D" w:rsidRDefault="004F09A3" w:rsidP="00A67D71">
            <w:pPr>
              <w:rPr>
                <w:rFonts w:cs="Arial"/>
                <w:lang w:val="en"/>
              </w:rPr>
            </w:pPr>
            <w:r w:rsidRPr="00F47E6D">
              <w:rPr>
                <w:rStyle w:val="st1"/>
                <w:rFonts w:cs="Arial"/>
              </w:rPr>
              <w:t>Responsible Authority</w:t>
            </w:r>
          </w:p>
        </w:tc>
        <w:tc>
          <w:tcPr>
            <w:tcW w:w="7626" w:type="dxa"/>
          </w:tcPr>
          <w:p w14:paraId="1350D0D3" w14:textId="77777777" w:rsidR="004F09A3" w:rsidRPr="00F47E6D" w:rsidRDefault="004F09A3" w:rsidP="00A67D71">
            <w:pPr>
              <w:rPr>
                <w:rStyle w:val="tgc"/>
                <w:rFonts w:cs="Arial"/>
              </w:rPr>
            </w:pPr>
            <w:r w:rsidRPr="00F47E6D">
              <w:rPr>
                <w:rStyle w:val="st1"/>
                <w:rFonts w:cs="Arial"/>
              </w:rPr>
              <w:t>The planning authority responsible for the project from a planning/approval/compliance perspective</w:t>
            </w:r>
            <w:r>
              <w:rPr>
                <w:rStyle w:val="st1"/>
                <w:rFonts w:cs="Arial"/>
              </w:rPr>
              <w:t>.</w:t>
            </w:r>
          </w:p>
        </w:tc>
      </w:tr>
      <w:tr w:rsidR="004F09A3" w:rsidRPr="00F47E6D" w14:paraId="0A7ED5FE"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148E4451" w14:textId="77777777" w:rsidR="004F09A3" w:rsidRPr="00F47E6D" w:rsidRDefault="004F09A3" w:rsidP="00A67D71">
            <w:pPr>
              <w:rPr>
                <w:rFonts w:cs="Arial"/>
                <w:lang w:val="en"/>
              </w:rPr>
            </w:pPr>
            <w:r w:rsidRPr="00F47E6D">
              <w:rPr>
                <w:rFonts w:cs="Arial"/>
              </w:rPr>
              <w:t>Safety</w:t>
            </w:r>
          </w:p>
        </w:tc>
        <w:tc>
          <w:tcPr>
            <w:tcW w:w="7626" w:type="dxa"/>
          </w:tcPr>
          <w:p w14:paraId="30DF885B" w14:textId="77777777" w:rsidR="004F09A3" w:rsidRPr="00F47E6D" w:rsidRDefault="004F09A3" w:rsidP="00A67D71">
            <w:pPr>
              <w:rPr>
                <w:rStyle w:val="tgc"/>
                <w:rFonts w:cs="Arial"/>
              </w:rPr>
            </w:pPr>
            <w:r>
              <w:rPr>
                <w:rStyle w:val="tgc"/>
                <w:rFonts w:cs="Arial"/>
              </w:rPr>
              <w:t xml:space="preserve">The potential for the wind farm to cause danger, risk or injury to </w:t>
            </w:r>
            <w:r>
              <w:rPr>
                <w:rFonts w:cs="Arial"/>
              </w:rPr>
              <w:t xml:space="preserve">residents of a community within </w:t>
            </w:r>
            <w:r w:rsidRPr="00F47E6D">
              <w:rPr>
                <w:rFonts w:cs="Arial"/>
              </w:rPr>
              <w:t xml:space="preserve">proximity to </w:t>
            </w:r>
            <w:r>
              <w:rPr>
                <w:rFonts w:cs="Arial"/>
              </w:rPr>
              <w:t xml:space="preserve">a </w:t>
            </w:r>
            <w:r w:rsidRPr="00F47E6D">
              <w:rPr>
                <w:rFonts w:cs="Arial"/>
              </w:rPr>
              <w:t>wind farm</w:t>
            </w:r>
            <w:r>
              <w:rPr>
                <w:rFonts w:cs="Arial"/>
              </w:rPr>
              <w:t>.</w:t>
            </w:r>
            <w:r>
              <w:rPr>
                <w:rStyle w:val="tgc"/>
                <w:rFonts w:cs="Arial"/>
              </w:rPr>
              <w:t xml:space="preserve"> May include issues such as sleep deprivation, fire hazard, or any personal well-being.</w:t>
            </w:r>
          </w:p>
        </w:tc>
      </w:tr>
      <w:tr w:rsidR="004F09A3" w:rsidRPr="00F47E6D" w14:paraId="0EBB0BBF"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EE416F6" w14:textId="77777777" w:rsidR="004F09A3" w:rsidRPr="00F47E6D" w:rsidRDefault="004F09A3" w:rsidP="00A67D71">
            <w:pPr>
              <w:rPr>
                <w:rFonts w:cs="Arial"/>
                <w:lang w:val="en"/>
              </w:rPr>
            </w:pPr>
            <w:r w:rsidRPr="00F47E6D">
              <w:rPr>
                <w:rFonts w:cs="Arial"/>
              </w:rPr>
              <w:t>Shadow flicker</w:t>
            </w:r>
          </w:p>
        </w:tc>
        <w:tc>
          <w:tcPr>
            <w:tcW w:w="7626" w:type="dxa"/>
          </w:tcPr>
          <w:p w14:paraId="4F51C338" w14:textId="77777777" w:rsidR="004F09A3" w:rsidRPr="00F47E6D" w:rsidRDefault="004F09A3" w:rsidP="00A67D71">
            <w:pPr>
              <w:rPr>
                <w:rStyle w:val="tgc"/>
                <w:rFonts w:cs="Arial"/>
              </w:rPr>
            </w:pPr>
            <w:r w:rsidRPr="00F47E6D">
              <w:rPr>
                <w:rFonts w:cs="Arial"/>
              </w:rPr>
              <w:t>The shadow cast by the sun over the rotating blades of a wind turbine that results in a rotating shadow affecting neighbouring properties</w:t>
            </w:r>
            <w:r>
              <w:rPr>
                <w:rFonts w:cs="Arial"/>
              </w:rPr>
              <w:t>.</w:t>
            </w:r>
          </w:p>
        </w:tc>
      </w:tr>
      <w:tr w:rsidR="004F09A3" w:rsidRPr="00F47E6D" w14:paraId="528EE3F8"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8BE4E0B" w14:textId="77777777" w:rsidR="004F09A3" w:rsidRPr="00F47E6D" w:rsidRDefault="004F09A3" w:rsidP="00A67D71">
            <w:pPr>
              <w:rPr>
                <w:rFonts w:cs="Arial"/>
                <w:lang w:val="en"/>
              </w:rPr>
            </w:pPr>
            <w:r w:rsidRPr="00F47E6D">
              <w:rPr>
                <w:rStyle w:val="tgc"/>
                <w:rFonts w:cs="Arial"/>
              </w:rPr>
              <w:t>Supportive Member</w:t>
            </w:r>
          </w:p>
        </w:tc>
        <w:tc>
          <w:tcPr>
            <w:tcW w:w="7626" w:type="dxa"/>
          </w:tcPr>
          <w:p w14:paraId="77C4C38D" w14:textId="77777777" w:rsidR="004F09A3" w:rsidRPr="00F47E6D" w:rsidRDefault="004F09A3" w:rsidP="00A67D71">
            <w:pPr>
              <w:rPr>
                <w:rStyle w:val="tgc"/>
                <w:rFonts w:cs="Arial"/>
              </w:rPr>
            </w:pPr>
            <w:r>
              <w:t>A member of the community that is in favour of a proposed or operating wind farm, including persons who reside in a dwelling within proximity of a proposed or operating wind farm</w:t>
            </w:r>
          </w:p>
        </w:tc>
      </w:tr>
      <w:tr w:rsidR="004F09A3" w:rsidRPr="00F47E6D" w14:paraId="5B0F8A27"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4ECC82BA" w14:textId="77777777" w:rsidR="004F09A3" w:rsidRPr="00F47E6D" w:rsidRDefault="004F09A3" w:rsidP="00A67D71">
            <w:pPr>
              <w:rPr>
                <w:rFonts w:cs="Arial"/>
                <w:lang w:val="en"/>
              </w:rPr>
            </w:pPr>
            <w:r w:rsidRPr="00F47E6D">
              <w:rPr>
                <w:rStyle w:val="tgc"/>
                <w:rFonts w:cs="Arial"/>
              </w:rPr>
              <w:t>Terms of Reference</w:t>
            </w:r>
          </w:p>
        </w:tc>
        <w:tc>
          <w:tcPr>
            <w:tcW w:w="7626" w:type="dxa"/>
          </w:tcPr>
          <w:p w14:paraId="16BFE70D" w14:textId="77777777" w:rsidR="004F09A3" w:rsidRPr="00F47E6D" w:rsidRDefault="004F09A3" w:rsidP="00A67D71">
            <w:pPr>
              <w:rPr>
                <w:rStyle w:val="tgc"/>
                <w:rFonts w:cs="Arial"/>
              </w:rPr>
            </w:pPr>
            <w:r>
              <w:rPr>
                <w:rStyle w:val="tgc"/>
                <w:rFonts w:cs="Arial"/>
              </w:rPr>
              <w:t xml:space="preserve">The specifications that outline the scope and limitations of the Office of the National Wind Farm Commissioner. See </w:t>
            </w:r>
            <w:r>
              <w:rPr>
                <w:rStyle w:val="tgc"/>
                <w:rFonts w:cs="Arial"/>
                <w:u w:val="single"/>
              </w:rPr>
              <w:t>Appendix </w:t>
            </w:r>
            <w:r w:rsidRPr="005E538C">
              <w:rPr>
                <w:rStyle w:val="tgc"/>
                <w:rFonts w:cs="Arial"/>
                <w:u w:val="single"/>
              </w:rPr>
              <w:t>A</w:t>
            </w:r>
            <w:r>
              <w:rPr>
                <w:rStyle w:val="tgc"/>
                <w:rFonts w:cs="Arial"/>
              </w:rPr>
              <w:t>.</w:t>
            </w:r>
          </w:p>
        </w:tc>
      </w:tr>
      <w:tr w:rsidR="004F09A3" w:rsidRPr="00F47E6D" w14:paraId="21EE769D"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7E33EF5A" w14:textId="77777777" w:rsidR="004F09A3" w:rsidRPr="00F47E6D" w:rsidRDefault="004F09A3" w:rsidP="00A67D71">
            <w:pPr>
              <w:rPr>
                <w:rFonts w:cs="Arial"/>
                <w:lang w:val="en"/>
              </w:rPr>
            </w:pPr>
            <w:r w:rsidRPr="00F47E6D">
              <w:rPr>
                <w:rStyle w:val="st1"/>
                <w:rFonts w:cs="Arial"/>
              </w:rPr>
              <w:t>Vibration</w:t>
            </w:r>
          </w:p>
        </w:tc>
        <w:tc>
          <w:tcPr>
            <w:tcW w:w="7626" w:type="dxa"/>
          </w:tcPr>
          <w:p w14:paraId="29725332" w14:textId="77777777" w:rsidR="004F09A3" w:rsidRPr="00F47E6D" w:rsidRDefault="003A59EF" w:rsidP="00A67D71">
            <w:pPr>
              <w:rPr>
                <w:rStyle w:val="tgc"/>
                <w:rFonts w:cs="Arial"/>
              </w:rPr>
            </w:pPr>
            <w:r>
              <w:rPr>
                <w:rStyle w:val="tgc"/>
                <w:rFonts w:cs="Arial"/>
              </w:rPr>
              <w:t>The oscillatory motion of an object or parts of an object. One of its possible causes is infrasound from a wind turbine.</w:t>
            </w:r>
          </w:p>
        </w:tc>
      </w:tr>
      <w:tr w:rsidR="004F09A3" w:rsidRPr="00F47E6D" w14:paraId="1B7E67EA"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54492985" w14:textId="77777777" w:rsidR="004F09A3" w:rsidRPr="00F47E6D" w:rsidRDefault="004F09A3" w:rsidP="00A67D71">
            <w:pPr>
              <w:rPr>
                <w:rFonts w:cs="Arial"/>
              </w:rPr>
            </w:pPr>
            <w:r w:rsidRPr="00F47E6D">
              <w:rPr>
                <w:rStyle w:val="st1"/>
                <w:rFonts w:cs="Arial"/>
              </w:rPr>
              <w:t>Wind Farm Maintenance/Operations</w:t>
            </w:r>
          </w:p>
        </w:tc>
        <w:tc>
          <w:tcPr>
            <w:tcW w:w="7626" w:type="dxa"/>
          </w:tcPr>
          <w:p w14:paraId="15CAADE8" w14:textId="77777777" w:rsidR="004F09A3" w:rsidRPr="00F47E6D" w:rsidRDefault="004F09A3" w:rsidP="00A67D71">
            <w:pPr>
              <w:rPr>
                <w:rStyle w:val="tgc"/>
                <w:rFonts w:cs="Arial"/>
              </w:rPr>
            </w:pPr>
            <w:r>
              <w:rPr>
                <w:rStyle w:val="tgc"/>
                <w:rFonts w:cs="Arial"/>
              </w:rPr>
              <w:t xml:space="preserve">Related to the ongoing process of ensuring the upkeep of the wind farm turbines for the life of the project. </w:t>
            </w:r>
          </w:p>
        </w:tc>
      </w:tr>
      <w:tr w:rsidR="004F09A3" w:rsidRPr="00F47E6D" w14:paraId="31BF2E0C"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5B652C2F" w14:textId="77777777" w:rsidR="004F09A3" w:rsidRPr="00F47E6D" w:rsidRDefault="004F09A3" w:rsidP="00A67D71">
            <w:pPr>
              <w:rPr>
                <w:rFonts w:cs="Arial"/>
                <w:lang w:val="en"/>
              </w:rPr>
            </w:pPr>
            <w:r w:rsidRPr="00F47E6D">
              <w:rPr>
                <w:rFonts w:cs="Arial"/>
              </w:rPr>
              <w:t>Wind Turbine</w:t>
            </w:r>
          </w:p>
        </w:tc>
        <w:tc>
          <w:tcPr>
            <w:tcW w:w="7626" w:type="dxa"/>
          </w:tcPr>
          <w:p w14:paraId="535CFF68" w14:textId="7A420333" w:rsidR="004F09A3" w:rsidRPr="00F47E6D" w:rsidRDefault="004F09A3" w:rsidP="00377E68">
            <w:pPr>
              <w:rPr>
                <w:rStyle w:val="tgc"/>
                <w:rFonts w:cs="Arial"/>
              </w:rPr>
            </w:pPr>
            <w:r w:rsidRPr="00F47E6D">
              <w:rPr>
                <w:rStyle w:val="st1"/>
                <w:rFonts w:cs="Arial"/>
              </w:rPr>
              <w:t xml:space="preserve">Device with at least one moving part called a rotor assembly, which is a shaft or drum with blades attached, which is used to convert the </w:t>
            </w:r>
            <w:r w:rsidR="00377E68" w:rsidRPr="00F47E6D">
              <w:rPr>
                <w:rStyle w:val="st1"/>
                <w:rFonts w:cs="Arial"/>
              </w:rPr>
              <w:t>wind</w:t>
            </w:r>
            <w:r w:rsidR="00377E68">
              <w:rPr>
                <w:rStyle w:val="st1"/>
                <w:rFonts w:cs="Arial"/>
              </w:rPr>
              <w:t>’</w:t>
            </w:r>
            <w:r w:rsidR="00377E68" w:rsidRPr="00F47E6D">
              <w:rPr>
                <w:rStyle w:val="st1"/>
                <w:rFonts w:cs="Arial"/>
              </w:rPr>
              <w:t xml:space="preserve">s </w:t>
            </w:r>
            <w:r w:rsidRPr="00F47E6D">
              <w:rPr>
                <w:rStyle w:val="st1"/>
                <w:rFonts w:cs="Arial"/>
              </w:rPr>
              <w:t>kinetic energy into electrical power</w:t>
            </w:r>
            <w:r>
              <w:rPr>
                <w:rStyle w:val="st1"/>
                <w:rFonts w:cs="Arial"/>
              </w:rPr>
              <w:t>.</w:t>
            </w:r>
          </w:p>
        </w:tc>
      </w:tr>
    </w:tbl>
    <w:p w14:paraId="0E56401B" w14:textId="77777777" w:rsidR="004F09A3" w:rsidRDefault="004F09A3" w:rsidP="004F09A3">
      <w:pPr>
        <w:sectPr w:rsidR="004F09A3" w:rsidSect="00A67D71">
          <w:headerReference w:type="even" r:id="rId74"/>
          <w:footerReference w:type="even" r:id="rId75"/>
          <w:footerReference w:type="default" r:id="rId76"/>
          <w:headerReference w:type="first" r:id="rId77"/>
          <w:pgSz w:w="11906" w:h="16838" w:code="9"/>
          <w:pgMar w:top="720" w:right="720" w:bottom="720" w:left="720" w:header="425" w:footer="425" w:gutter="0"/>
          <w:cols w:space="708"/>
          <w:docGrid w:linePitch="360"/>
        </w:sectPr>
      </w:pPr>
    </w:p>
    <w:p w14:paraId="1DE5F2B3" w14:textId="684C7E8B" w:rsidR="008C1629" w:rsidRPr="007D65DB" w:rsidRDefault="008C1629" w:rsidP="008C1629">
      <w:pPr>
        <w:pStyle w:val="Heading1"/>
        <w:rPr>
          <w:sz w:val="24"/>
          <w:szCs w:val="24"/>
        </w:rPr>
      </w:pPr>
      <w:bookmarkStart w:id="54" w:name="-a-id-tor-name-tor-a-national-wind-farm-"/>
      <w:bookmarkStart w:id="55" w:name="tor"/>
      <w:bookmarkStart w:id="56" w:name="_Toc36657398"/>
      <w:bookmarkStart w:id="57" w:name="_Toc84430839"/>
      <w:bookmarkEnd w:id="32"/>
      <w:bookmarkEnd w:id="54"/>
      <w:bookmarkEnd w:id="55"/>
      <w:r>
        <w:rPr>
          <w:sz w:val="24"/>
          <w:szCs w:val="24"/>
        </w:rPr>
        <w:lastRenderedPageBreak/>
        <w:t xml:space="preserve">Appendix </w:t>
      </w:r>
      <w:r w:rsidR="0042062D">
        <w:rPr>
          <w:sz w:val="24"/>
          <w:szCs w:val="24"/>
        </w:rPr>
        <w:t>B</w:t>
      </w:r>
      <w:r>
        <w:rPr>
          <w:sz w:val="24"/>
          <w:szCs w:val="24"/>
        </w:rPr>
        <w:t xml:space="preserve"> – </w:t>
      </w:r>
      <w:r w:rsidR="00E54CF4">
        <w:rPr>
          <w:sz w:val="24"/>
          <w:szCs w:val="24"/>
        </w:rPr>
        <w:t xml:space="preserve">UPDATED </w:t>
      </w:r>
      <w:r>
        <w:rPr>
          <w:sz w:val="24"/>
          <w:szCs w:val="24"/>
        </w:rPr>
        <w:t>TERMS OF REFERENCE 2018-21</w:t>
      </w:r>
      <w:bookmarkEnd w:id="56"/>
      <w:bookmarkEnd w:id="57"/>
    </w:p>
    <w:p w14:paraId="199C7AEC" w14:textId="5DB3CCE4" w:rsidR="008C1629" w:rsidRPr="004726FB" w:rsidRDefault="008C1629" w:rsidP="008C1629">
      <w:pPr>
        <w:rPr>
          <w:b/>
          <w:lang w:val="en" w:eastAsia="en-AU"/>
        </w:rPr>
      </w:pPr>
      <w:r w:rsidRPr="004726FB">
        <w:rPr>
          <w:b/>
          <w:lang w:val="en" w:eastAsia="en-AU"/>
        </w:rPr>
        <w:t xml:space="preserve">National Wind Farm Commissioner </w:t>
      </w:r>
      <w:r w:rsidR="00E54CF4">
        <w:rPr>
          <w:b/>
          <w:lang w:val="en" w:eastAsia="en-AU"/>
        </w:rPr>
        <w:t xml:space="preserve">Updated </w:t>
      </w:r>
      <w:r w:rsidRPr="004726FB">
        <w:rPr>
          <w:b/>
          <w:lang w:val="en" w:eastAsia="en-AU"/>
        </w:rPr>
        <w:t>Terms of Reference 2018-21</w:t>
      </w:r>
      <w:r w:rsidR="00E54CF4">
        <w:rPr>
          <w:b/>
          <w:lang w:val="en" w:eastAsia="en-AU"/>
        </w:rPr>
        <w:t xml:space="preserve"> (revised March 2021)</w:t>
      </w:r>
    </w:p>
    <w:p w14:paraId="02DC56C3" w14:textId="77777777" w:rsidR="00E54CF4" w:rsidRPr="00E54CF4" w:rsidRDefault="00E54CF4" w:rsidP="00E54CF4">
      <w:pPr>
        <w:shd w:val="clear" w:color="auto" w:fill="FFFFFF"/>
        <w:spacing w:before="168" w:after="168" w:line="336" w:lineRule="atLeast"/>
        <w:rPr>
          <w:rFonts w:eastAsia="Times New Roman" w:cs="Arial"/>
          <w:color w:val="000000"/>
          <w:lang w:eastAsia="en-AU"/>
        </w:rPr>
      </w:pPr>
      <w:r w:rsidRPr="00E54CF4">
        <w:rPr>
          <w:rFonts w:eastAsia="Times New Roman" w:cs="Arial"/>
          <w:color w:val="000000"/>
          <w:lang w:eastAsia="en-AU"/>
        </w:rPr>
        <w:t>The role of the National Wind Farm Commissioner will now be known as the Australian Energy Infrastructure Commissioner. The Government has also agreed to expand the role to include new major transmission projects.</w:t>
      </w:r>
    </w:p>
    <w:p w14:paraId="59F91722" w14:textId="14D7D6A4" w:rsidR="00E54CF4" w:rsidRPr="00E54CF4" w:rsidRDefault="00E54CF4" w:rsidP="00E54CF4">
      <w:pPr>
        <w:shd w:val="clear" w:color="auto" w:fill="FFFFFF"/>
        <w:spacing w:before="168" w:after="168" w:line="336" w:lineRule="atLeast"/>
        <w:rPr>
          <w:rFonts w:eastAsia="Times New Roman" w:cs="Arial"/>
          <w:color w:val="000000"/>
          <w:lang w:eastAsia="en-AU"/>
        </w:rPr>
      </w:pPr>
      <w:r w:rsidRPr="00E54CF4">
        <w:rPr>
          <w:rFonts w:eastAsia="Times New Roman" w:cs="Arial"/>
          <w:color w:val="000000"/>
          <w:lang w:eastAsia="en-AU"/>
        </w:rPr>
        <w:t>The Commissioner will work collaboratively with all levels of government, scientists, experts, industry and the community to resolve complaints from community members about proposed and operational wind farms, large scale solar farms (5 MW or more), storage facilities, such as large scale batteries (1 MW or more) and new major transmission projects.</w:t>
      </w:r>
    </w:p>
    <w:p w14:paraId="43F95835" w14:textId="77777777" w:rsidR="00E54CF4" w:rsidRPr="00E54CF4" w:rsidRDefault="00E54CF4" w:rsidP="00E54CF4">
      <w:pPr>
        <w:shd w:val="clear" w:color="auto" w:fill="FFFFFF"/>
        <w:spacing w:before="168" w:after="168" w:line="336" w:lineRule="atLeast"/>
        <w:rPr>
          <w:rFonts w:eastAsia="Times New Roman" w:cs="Arial"/>
          <w:color w:val="000000"/>
          <w:lang w:eastAsia="en-AU"/>
        </w:rPr>
      </w:pPr>
      <w:r w:rsidRPr="00E54CF4">
        <w:rPr>
          <w:rFonts w:eastAsia="Times New Roman" w:cs="Arial"/>
          <w:color w:val="000000"/>
          <w:lang w:eastAsia="en-AU"/>
        </w:rPr>
        <w:t>The Commissioner will refer complaints about wind farms, large scale solar farms, storage facilities and new major transmission projects to relevant authorities and help ensure that they are properly addressed.</w:t>
      </w:r>
    </w:p>
    <w:p w14:paraId="4FB9C677" w14:textId="77777777" w:rsidR="00E54CF4" w:rsidRPr="00E54CF4" w:rsidRDefault="00E54CF4" w:rsidP="00E54CF4">
      <w:pPr>
        <w:shd w:val="clear" w:color="auto" w:fill="FFFFFF"/>
        <w:spacing w:before="168" w:after="168" w:line="336" w:lineRule="atLeast"/>
        <w:rPr>
          <w:rFonts w:eastAsia="Times New Roman" w:cs="Arial"/>
          <w:color w:val="000000"/>
          <w:lang w:eastAsia="en-AU"/>
        </w:rPr>
      </w:pPr>
      <w:r w:rsidRPr="00E54CF4">
        <w:rPr>
          <w:rFonts w:eastAsia="Times New Roman" w:cs="Arial"/>
          <w:color w:val="000000"/>
          <w:lang w:eastAsia="en-AU"/>
        </w:rPr>
        <w:t>The Commissioner will lead efforts to promote best practices, information availability, and provide a central, trusted source for dissemination of information.</w:t>
      </w:r>
    </w:p>
    <w:p w14:paraId="24FF9B93" w14:textId="77777777" w:rsidR="00E54CF4" w:rsidRPr="00E54CF4" w:rsidRDefault="00E54CF4" w:rsidP="00E54CF4">
      <w:pPr>
        <w:shd w:val="clear" w:color="auto" w:fill="FFFFFF"/>
        <w:spacing w:before="168" w:after="168" w:line="336" w:lineRule="atLeast"/>
        <w:rPr>
          <w:rFonts w:eastAsia="Times New Roman" w:cs="Arial"/>
          <w:color w:val="000000"/>
          <w:lang w:eastAsia="en-AU"/>
        </w:rPr>
      </w:pPr>
      <w:r w:rsidRPr="00E54CF4">
        <w:rPr>
          <w:rFonts w:eastAsia="Times New Roman" w:cs="Arial"/>
          <w:color w:val="000000"/>
          <w:lang w:eastAsia="en-AU"/>
        </w:rPr>
        <w:t>The Commissioner, supported by the Australian Government Department of Industry, Science, Energy and Resources will report to the Minister for Energy and Emissions Reduction and provide an Annual Report to the Australian Parliament on delivering against these Terms of Reference.</w:t>
      </w:r>
    </w:p>
    <w:p w14:paraId="7D000FCB" w14:textId="77777777" w:rsidR="00E54CF4" w:rsidRPr="00E54CF4" w:rsidRDefault="00E54CF4" w:rsidP="00E54CF4">
      <w:pPr>
        <w:shd w:val="clear" w:color="auto" w:fill="FFFFFF"/>
        <w:spacing w:before="168" w:after="168" w:line="336" w:lineRule="atLeast"/>
        <w:rPr>
          <w:rFonts w:eastAsia="Times New Roman" w:cs="Arial"/>
          <w:color w:val="000000"/>
          <w:lang w:eastAsia="en-AU"/>
        </w:rPr>
      </w:pPr>
      <w:r w:rsidRPr="00E54CF4">
        <w:rPr>
          <w:rFonts w:eastAsia="Times New Roman" w:cs="Arial"/>
          <w:color w:val="000000"/>
          <w:lang w:eastAsia="en-AU"/>
        </w:rPr>
        <w:t>The Commissioner’s role will not duplicate or override the important statutory responsibilities of other jurisdictions, such as those relating to the planning and approval of wind farms, large scale solar farms, storage facilities and new major transmission projects.</w:t>
      </w:r>
    </w:p>
    <w:p w14:paraId="066AE432" w14:textId="77777777" w:rsidR="00E54CF4" w:rsidRPr="00E54CF4" w:rsidRDefault="00E54CF4" w:rsidP="00E54CF4">
      <w:pPr>
        <w:shd w:val="clear" w:color="auto" w:fill="FFFFFF"/>
        <w:spacing w:before="168" w:after="168" w:line="336" w:lineRule="atLeast"/>
        <w:rPr>
          <w:rFonts w:eastAsia="Times New Roman" w:cs="Arial"/>
          <w:color w:val="000000"/>
          <w:lang w:eastAsia="en-AU"/>
        </w:rPr>
      </w:pPr>
      <w:r w:rsidRPr="00E54CF4">
        <w:rPr>
          <w:rFonts w:eastAsia="Times New Roman" w:cs="Arial"/>
          <w:color w:val="000000"/>
          <w:lang w:eastAsia="en-AU"/>
        </w:rPr>
        <w:t>The Commissioner is to draw on the work of the Independent Scientific Committee on Wind Turbines.</w:t>
      </w:r>
    </w:p>
    <w:p w14:paraId="2CFF26CE" w14:textId="44BF3150" w:rsidR="00B62658" w:rsidRPr="00DD77A5" w:rsidRDefault="00E54CF4" w:rsidP="00DD77A5">
      <w:pPr>
        <w:shd w:val="clear" w:color="auto" w:fill="FFFFFF"/>
        <w:spacing w:before="168" w:after="168" w:line="336" w:lineRule="atLeast"/>
        <w:rPr>
          <w:sz w:val="12"/>
          <w:szCs w:val="2"/>
        </w:rPr>
      </w:pPr>
      <w:r w:rsidRPr="00E54CF4">
        <w:rPr>
          <w:rFonts w:eastAsia="Times New Roman" w:cs="Arial"/>
          <w:color w:val="000000"/>
          <w:lang w:eastAsia="en-AU"/>
        </w:rPr>
        <w:t>In 2018, the role of the Commissioner was extended for a period of three years, until October 2021. The role will be re-evaluated by the Australian</w:t>
      </w:r>
      <w:r w:rsidR="00DD77A5">
        <w:rPr>
          <w:rFonts w:eastAsia="Times New Roman" w:cs="Arial"/>
          <w:color w:val="000000"/>
          <w:lang w:eastAsia="en-AU"/>
        </w:rPr>
        <w:t xml:space="preserve"> Government prior to that date.</w:t>
      </w:r>
    </w:p>
    <w:sectPr w:rsidR="00B62658" w:rsidRPr="00DD77A5" w:rsidSect="00C90C75">
      <w:headerReference w:type="even" r:id="rId78"/>
      <w:headerReference w:type="default" r:id="rId79"/>
      <w:footerReference w:type="even" r:id="rId80"/>
      <w:footerReference w:type="default" r:id="rId81"/>
      <w:pgSz w:w="11906" w:h="16838"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82120" w14:textId="77777777" w:rsidR="00F72FA4" w:rsidRDefault="00F72FA4" w:rsidP="005874E7">
      <w:pPr>
        <w:spacing w:after="0" w:line="240" w:lineRule="auto"/>
      </w:pPr>
      <w:r>
        <w:separator/>
      </w:r>
    </w:p>
  </w:endnote>
  <w:endnote w:type="continuationSeparator" w:id="0">
    <w:p w14:paraId="249BC216" w14:textId="77777777" w:rsidR="00F72FA4" w:rsidRDefault="00F72FA4" w:rsidP="005874E7">
      <w:pPr>
        <w:spacing w:after="0" w:line="240" w:lineRule="auto"/>
      </w:pPr>
      <w:r>
        <w:continuationSeparator/>
      </w:r>
    </w:p>
  </w:endnote>
  <w:endnote w:type="continuationNotice" w:id="1">
    <w:p w14:paraId="4B0B79BB" w14:textId="77777777" w:rsidR="00F72FA4" w:rsidRDefault="00F72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BEA9" w14:textId="77777777" w:rsidR="003E23E9" w:rsidRPr="006048D4" w:rsidRDefault="003E23E9" w:rsidP="003E23E9">
    <w:pPr>
      <w:pStyle w:val="Footer"/>
      <w:jc w:val="center"/>
      <w:rPr>
        <w:rFonts w:ascii="Calibri" w:hAnsi="Calibri"/>
      </w:rPr>
    </w:pPr>
    <w:r>
      <w:rPr>
        <w:rFonts w:ascii="Calibri" w:hAnsi="Calibri"/>
        <w:sz w:val="20"/>
      </w:rPr>
      <w:pict w14:anchorId="6545FAFE">
        <v:rect id="_x0000_i1048" style="width:481.9pt;height:1pt" o:hralign="center" o:hrstd="t" o:hrnoshade="t" o:hr="t" fillcolor="black [3213]" stroked="f"/>
      </w:pict>
    </w:r>
  </w:p>
  <w:p w14:paraId="3F3131CF" w14:textId="77777777" w:rsidR="003E23E9" w:rsidRPr="006048D4" w:rsidRDefault="003E23E9" w:rsidP="003E23E9">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www.nwfc.gov.au</w:t>
    </w:r>
  </w:p>
  <w:p w14:paraId="3FDB4EC4" w14:textId="77777777" w:rsidR="003E23E9" w:rsidRDefault="003E23E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887548"/>
      <w:docPartObj>
        <w:docPartGallery w:val="Page Numbers (Bottom of Page)"/>
        <w:docPartUnique/>
      </w:docPartObj>
    </w:sdtPr>
    <w:sdtEndPr>
      <w:rPr>
        <w:noProof/>
      </w:rPr>
    </w:sdtEndPr>
    <w:sdtContent>
      <w:p w14:paraId="6E57D940" w14:textId="77777777" w:rsidR="00F72FA4" w:rsidRPr="000F2F29" w:rsidRDefault="00F72FA4"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14</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r>
        <w:r w:rsidRPr="005C613A">
          <w:rPr>
            <w:rFonts w:ascii="Calibri Light" w:hAnsi="Calibri Light"/>
            <w:sz w:val="20"/>
            <w:szCs w:val="20"/>
          </w:rPr>
          <w:t>National Wind Farm Commis</w:t>
        </w:r>
        <w:r>
          <w:rPr>
            <w:rFonts w:ascii="Calibri Light" w:hAnsi="Calibri Light"/>
            <w:sz w:val="20"/>
            <w:szCs w:val="20"/>
          </w:rPr>
          <w:t xml:space="preserve">sioner: 2020 Annual Report            </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24B6" w14:textId="77777777" w:rsidR="00F72FA4" w:rsidRPr="005257B7" w:rsidRDefault="00F72FA4"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2020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13</w:t>
    </w:r>
    <w:r w:rsidRPr="005257B7">
      <w:rPr>
        <w:rFonts w:ascii="Calibri Light" w:hAnsi="Calibri Light"/>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152910"/>
      <w:docPartObj>
        <w:docPartGallery w:val="Page Numbers (Bottom of Page)"/>
        <w:docPartUnique/>
      </w:docPartObj>
    </w:sdtPr>
    <w:sdtEndPr>
      <w:rPr>
        <w:noProof/>
      </w:rPr>
    </w:sdtEndPr>
    <w:sdtContent>
      <w:p w14:paraId="36F36302" w14:textId="77777777" w:rsidR="00F72FA4" w:rsidRPr="000F2F29" w:rsidRDefault="00F72FA4"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16</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r>
        <w:r w:rsidRPr="005C613A">
          <w:rPr>
            <w:rFonts w:ascii="Calibri Light" w:hAnsi="Calibri Light"/>
            <w:sz w:val="20"/>
            <w:szCs w:val="20"/>
          </w:rPr>
          <w:t>National Wind Farm Commis</w:t>
        </w:r>
        <w:r>
          <w:rPr>
            <w:rFonts w:ascii="Calibri Light" w:hAnsi="Calibri Light"/>
            <w:sz w:val="20"/>
            <w:szCs w:val="20"/>
          </w:rPr>
          <w:t xml:space="preserve">sioner: 2020 Annual Report            </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3C8F" w14:textId="77777777" w:rsidR="00F72FA4" w:rsidRPr="005257B7" w:rsidRDefault="00F72FA4"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2020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15</w:t>
    </w:r>
    <w:r w:rsidRPr="005257B7">
      <w:rPr>
        <w:rFonts w:ascii="Calibri Light" w:hAnsi="Calibri Light"/>
        <w:noProof/>
        <w:sz w:val="20"/>
        <w:szCs w:val="2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895581"/>
      <w:docPartObj>
        <w:docPartGallery w:val="Page Numbers (Bottom of Page)"/>
        <w:docPartUnique/>
      </w:docPartObj>
    </w:sdtPr>
    <w:sdtEndPr>
      <w:rPr>
        <w:noProof/>
      </w:rPr>
    </w:sdtEndPr>
    <w:sdtContent>
      <w:p w14:paraId="0897B426" w14:textId="77777777" w:rsidR="00F72FA4" w:rsidRPr="000F2F29" w:rsidRDefault="00F72FA4"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20</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r>
        <w:r w:rsidRPr="005C613A">
          <w:rPr>
            <w:rFonts w:ascii="Calibri Light" w:hAnsi="Calibri Light"/>
            <w:sz w:val="20"/>
            <w:szCs w:val="20"/>
          </w:rPr>
          <w:t>National Wind Farm Commis</w:t>
        </w:r>
        <w:r>
          <w:rPr>
            <w:rFonts w:ascii="Calibri Light" w:hAnsi="Calibri Light"/>
            <w:sz w:val="20"/>
            <w:szCs w:val="20"/>
          </w:rPr>
          <w:t xml:space="preserve">sioner: 2020 Annual Report            </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74C5F" w14:textId="77777777" w:rsidR="00F72FA4" w:rsidRPr="005257B7" w:rsidRDefault="00F72FA4"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2020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21</w:t>
    </w:r>
    <w:r w:rsidRPr="005257B7">
      <w:rPr>
        <w:rFonts w:ascii="Calibri Light" w:hAnsi="Calibri Light"/>
        <w:noProof/>
        <w:sz w:val="20"/>
        <w:szCs w:val="2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36908"/>
      <w:docPartObj>
        <w:docPartGallery w:val="Page Numbers (Bottom of Page)"/>
        <w:docPartUnique/>
      </w:docPartObj>
    </w:sdtPr>
    <w:sdtEndPr>
      <w:rPr>
        <w:noProof/>
      </w:rPr>
    </w:sdtEndPr>
    <w:sdtContent>
      <w:p w14:paraId="26801FD8" w14:textId="77777777" w:rsidR="00F72FA4" w:rsidRPr="000F2F29" w:rsidRDefault="00F72FA4"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62</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r>
        <w:r w:rsidRPr="005C613A">
          <w:rPr>
            <w:rFonts w:ascii="Calibri Light" w:hAnsi="Calibri Light"/>
            <w:sz w:val="20"/>
            <w:szCs w:val="20"/>
          </w:rPr>
          <w:t>National Wind Farm Commis</w:t>
        </w:r>
        <w:r>
          <w:rPr>
            <w:rFonts w:ascii="Calibri Light" w:hAnsi="Calibri Light"/>
            <w:sz w:val="20"/>
            <w:szCs w:val="20"/>
          </w:rPr>
          <w:t xml:space="preserve">sioner: 2020 Annual Report            </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2457"/>
      <w:docPartObj>
        <w:docPartGallery w:val="Page Numbers (Bottom of Page)"/>
        <w:docPartUnique/>
      </w:docPartObj>
    </w:sdtPr>
    <w:sdtEndPr>
      <w:rPr>
        <w:noProof/>
      </w:rPr>
    </w:sdtEndPr>
    <w:sdtContent>
      <w:p w14:paraId="0CC3A51B" w14:textId="77777777" w:rsidR="00F72FA4" w:rsidRPr="006E5DF3" w:rsidRDefault="00F72FA4" w:rsidP="00A67D71">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2020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63</w:t>
        </w:r>
        <w:r w:rsidRPr="005257B7">
          <w:rPr>
            <w:rFonts w:ascii="Calibri Light" w:hAnsi="Calibri Light"/>
            <w:noProof/>
            <w:sz w:val="20"/>
            <w:szCs w:val="20"/>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167635"/>
      <w:docPartObj>
        <w:docPartGallery w:val="Page Numbers (Bottom of Page)"/>
        <w:docPartUnique/>
      </w:docPartObj>
    </w:sdtPr>
    <w:sdtEndPr>
      <w:rPr>
        <w:noProof/>
      </w:rPr>
    </w:sdtEndPr>
    <w:sdtContent>
      <w:p w14:paraId="30ABD4F2" w14:textId="77777777" w:rsidR="00F72FA4" w:rsidRPr="000F2F29" w:rsidRDefault="00F72FA4"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64</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r>
        <w:r w:rsidRPr="005C613A">
          <w:rPr>
            <w:rFonts w:ascii="Calibri Light" w:hAnsi="Calibri Light"/>
            <w:sz w:val="20"/>
            <w:szCs w:val="20"/>
          </w:rPr>
          <w:t>National Wind Farm Commis</w:t>
        </w:r>
        <w:r>
          <w:rPr>
            <w:rFonts w:ascii="Calibri Light" w:hAnsi="Calibri Light"/>
            <w:sz w:val="20"/>
            <w:szCs w:val="20"/>
          </w:rPr>
          <w:t xml:space="preserve">sioner: 2020 Annual Report            </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692967"/>
      <w:docPartObj>
        <w:docPartGallery w:val="Page Numbers (Bottom of Page)"/>
        <w:docPartUnique/>
      </w:docPartObj>
    </w:sdtPr>
    <w:sdtEndPr>
      <w:rPr>
        <w:noProof/>
      </w:rPr>
    </w:sdtEndPr>
    <w:sdtContent>
      <w:p w14:paraId="603149CB" w14:textId="77777777" w:rsidR="00F72FA4" w:rsidRPr="006E5DF3" w:rsidRDefault="00F72FA4" w:rsidP="00A67D71">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2020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65</w:t>
        </w:r>
        <w:r w:rsidRPr="005257B7">
          <w:rPr>
            <w:rFonts w:ascii="Calibri Light" w:hAnsi="Calibri Light"/>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E3BE" w14:textId="77777777" w:rsidR="00F72FA4" w:rsidRPr="0096116D" w:rsidRDefault="00F72FA4" w:rsidP="00C90C75">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90587"/>
      <w:docPartObj>
        <w:docPartGallery w:val="Page Numbers (Bottom of Page)"/>
        <w:docPartUnique/>
      </w:docPartObj>
    </w:sdtPr>
    <w:sdtEndPr>
      <w:rPr>
        <w:noProof/>
      </w:rPr>
    </w:sdtEndPr>
    <w:sdtContent>
      <w:p w14:paraId="049EA842" w14:textId="33781420" w:rsidR="00F72FA4" w:rsidRPr="00DD77A5" w:rsidRDefault="00DD77A5" w:rsidP="00DD77A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2020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66</w:t>
        </w:r>
        <w:r w:rsidRPr="005257B7">
          <w:rPr>
            <w:rFonts w:ascii="Calibri Light" w:hAnsi="Calibri Light"/>
            <w:noProof/>
            <w:sz w:val="20"/>
            <w:szCs w:val="20"/>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4BC6" w14:textId="54F69BEF" w:rsidR="00F72FA4" w:rsidRPr="006C15BB" w:rsidRDefault="00F72FA4" w:rsidP="006C1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FE3D" w14:textId="77777777" w:rsidR="003E23E9" w:rsidRPr="006048D4" w:rsidRDefault="003E23E9" w:rsidP="00C90C75">
    <w:pPr>
      <w:pStyle w:val="Footer"/>
      <w:jc w:val="center"/>
      <w:rPr>
        <w:rFonts w:ascii="Calibri" w:hAnsi="Calibri"/>
      </w:rPr>
    </w:pPr>
    <w:r>
      <w:rPr>
        <w:rFonts w:ascii="Calibri" w:hAnsi="Calibri"/>
        <w:sz w:val="20"/>
      </w:rPr>
      <w:pict w14:anchorId="1D83F162">
        <v:rect id="_x0000_i1051" style="width:481.9pt;height:1pt" o:hralign="center" o:hrstd="t" o:hrnoshade="t" o:hr="t" fillcolor="black [3213]" stroked="f"/>
      </w:pict>
    </w:r>
  </w:p>
  <w:p w14:paraId="6B59487E" w14:textId="77777777" w:rsidR="003E23E9" w:rsidRPr="006048D4" w:rsidRDefault="003E23E9" w:rsidP="00C90C75">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www.nwfc.gov.au</w:t>
    </w:r>
  </w:p>
  <w:p w14:paraId="5B3EFDE9" w14:textId="77777777" w:rsidR="003E23E9" w:rsidRPr="0096116D" w:rsidRDefault="003E23E9" w:rsidP="00C90C7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8304" w14:textId="77777777" w:rsidR="00F72FA4" w:rsidRPr="0096116D" w:rsidRDefault="00F72FA4" w:rsidP="00C90C7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0B29" w14:textId="49E11FF7" w:rsidR="00F72FA4" w:rsidRPr="004B44A3" w:rsidRDefault="00F72FA4" w:rsidP="004B44A3">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2020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1</w:t>
    </w:r>
    <w:r w:rsidRPr="005257B7">
      <w:rPr>
        <w:rFonts w:ascii="Calibri Light" w:hAnsi="Calibri Light"/>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3B1E" w14:textId="52ACD586" w:rsidR="00F72FA4" w:rsidRPr="004B44A3" w:rsidRDefault="00F72FA4" w:rsidP="004B44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192537"/>
      <w:docPartObj>
        <w:docPartGallery w:val="Page Numbers (Bottom of Page)"/>
        <w:docPartUnique/>
      </w:docPartObj>
    </w:sdtPr>
    <w:sdtEndPr>
      <w:rPr>
        <w:noProof/>
      </w:rPr>
    </w:sdtEndPr>
    <w:sdtContent>
      <w:p w14:paraId="428E6B6E" w14:textId="30264159" w:rsidR="00F72FA4" w:rsidRPr="000F2F29" w:rsidRDefault="00F72FA4"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4</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r>
        <w:r w:rsidRPr="005C613A">
          <w:rPr>
            <w:rFonts w:ascii="Calibri Light" w:hAnsi="Calibri Light"/>
            <w:sz w:val="20"/>
            <w:szCs w:val="20"/>
          </w:rPr>
          <w:t>National Wind Farm Commis</w:t>
        </w:r>
        <w:r>
          <w:rPr>
            <w:rFonts w:ascii="Calibri Light" w:hAnsi="Calibri Light"/>
            <w:sz w:val="20"/>
            <w:szCs w:val="20"/>
          </w:rPr>
          <w:t xml:space="preserve">sioner: 2020 Annual Report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C742" w14:textId="77777777" w:rsidR="00F72FA4" w:rsidRPr="005257B7" w:rsidRDefault="00F72FA4"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2020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5</w:t>
    </w:r>
    <w:r w:rsidRPr="005257B7">
      <w:rPr>
        <w:rFonts w:ascii="Calibri Light" w:hAnsi="Calibri Light"/>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228198"/>
      <w:docPartObj>
        <w:docPartGallery w:val="Page Numbers (Bottom of Page)"/>
        <w:docPartUnique/>
      </w:docPartObj>
    </w:sdtPr>
    <w:sdtEndPr>
      <w:rPr>
        <w:noProof/>
      </w:rPr>
    </w:sdtEndPr>
    <w:sdtContent>
      <w:p w14:paraId="6A997351" w14:textId="77777777" w:rsidR="00F72FA4" w:rsidRPr="000F2F29" w:rsidRDefault="00F72FA4"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997E3F">
          <w:rPr>
            <w:rFonts w:ascii="Calibri Light" w:hAnsi="Calibri Light"/>
            <w:noProof/>
            <w:sz w:val="20"/>
            <w:szCs w:val="20"/>
          </w:rPr>
          <w:t>6</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r>
        <w:r w:rsidRPr="005C613A">
          <w:rPr>
            <w:rFonts w:ascii="Calibri Light" w:hAnsi="Calibri Light"/>
            <w:sz w:val="20"/>
            <w:szCs w:val="20"/>
          </w:rPr>
          <w:t>National Wind Farm Commis</w:t>
        </w:r>
        <w:r>
          <w:rPr>
            <w:rFonts w:ascii="Calibri Light" w:hAnsi="Calibri Light"/>
            <w:sz w:val="20"/>
            <w:szCs w:val="20"/>
          </w:rPr>
          <w:t xml:space="preserve">sioner: 2020 Annual Report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6494" w14:textId="77777777" w:rsidR="00F72FA4" w:rsidRDefault="00F72FA4" w:rsidP="005874E7">
      <w:pPr>
        <w:spacing w:after="0" w:line="240" w:lineRule="auto"/>
      </w:pPr>
      <w:r>
        <w:separator/>
      </w:r>
    </w:p>
  </w:footnote>
  <w:footnote w:type="continuationSeparator" w:id="0">
    <w:p w14:paraId="38A532C7" w14:textId="77777777" w:rsidR="00F72FA4" w:rsidRDefault="00F72FA4" w:rsidP="005874E7">
      <w:pPr>
        <w:spacing w:after="0" w:line="240" w:lineRule="auto"/>
      </w:pPr>
      <w:r>
        <w:continuationSeparator/>
      </w:r>
    </w:p>
  </w:footnote>
  <w:footnote w:type="continuationNotice" w:id="1">
    <w:p w14:paraId="0B543810" w14:textId="77777777" w:rsidR="00F72FA4" w:rsidRDefault="00F72FA4">
      <w:pPr>
        <w:spacing w:after="0" w:line="240" w:lineRule="auto"/>
      </w:pPr>
    </w:p>
  </w:footnote>
  <w:footnote w:id="2">
    <w:p w14:paraId="7A08743C" w14:textId="77777777" w:rsidR="00F72FA4" w:rsidRDefault="00F72FA4" w:rsidP="001556F0">
      <w:pPr>
        <w:pStyle w:val="FootnoteText"/>
      </w:pPr>
      <w:r>
        <w:rPr>
          <w:rStyle w:val="FootnoteReference"/>
        </w:rPr>
        <w:t>*</w:t>
      </w:r>
      <w:r>
        <w:t xml:space="preserve"> or background noise plus 5 </w:t>
      </w:r>
      <w:r w:rsidRPr="007672A1">
        <w:t>dB(A), whichever is the greater amount</w:t>
      </w:r>
      <w:r>
        <w:t>. Measurements of A-weighted sound pressure level are generally taken on the basis of LA90, 10-min.</w:t>
      </w:r>
    </w:p>
  </w:footnote>
  <w:footnote w:id="3">
    <w:p w14:paraId="316025BF" w14:textId="77777777" w:rsidR="00F72FA4" w:rsidRPr="0068632D" w:rsidRDefault="00F72FA4" w:rsidP="001556F0">
      <w:pPr>
        <w:pStyle w:val="FootnoteText"/>
        <w:rPr>
          <w:sz w:val="2"/>
          <w:szCs w:val="2"/>
        </w:rPr>
      </w:pPr>
    </w:p>
  </w:footnote>
  <w:footnote w:id="4">
    <w:p w14:paraId="5094E548" w14:textId="77777777" w:rsidR="00F72FA4" w:rsidRPr="0068632D" w:rsidRDefault="00F72FA4" w:rsidP="001556F0">
      <w:pPr>
        <w:pStyle w:val="FootnoteText"/>
        <w:rPr>
          <w:sz w:val="2"/>
          <w:szCs w:val="2"/>
        </w:rPr>
      </w:pPr>
    </w:p>
  </w:footnote>
  <w:footnote w:id="5">
    <w:p w14:paraId="7B2CCD46" w14:textId="77777777" w:rsidR="00F72FA4" w:rsidRPr="0068632D" w:rsidRDefault="00F72FA4" w:rsidP="001556F0">
      <w:pPr>
        <w:pStyle w:val="FootnoteText"/>
        <w:rPr>
          <w:sz w:val="2"/>
          <w:szCs w:val="2"/>
        </w:rPr>
      </w:pPr>
    </w:p>
  </w:footnote>
  <w:footnote w:id="6">
    <w:p w14:paraId="00CBF9A2" w14:textId="77777777" w:rsidR="00F72FA4" w:rsidRPr="0068632D" w:rsidRDefault="00F72FA4" w:rsidP="001556F0">
      <w:pPr>
        <w:pStyle w:val="FootnoteText"/>
        <w:rPr>
          <w:sz w:val="2"/>
          <w:szCs w:val="2"/>
        </w:rPr>
      </w:pPr>
    </w:p>
  </w:footnote>
  <w:footnote w:id="7">
    <w:p w14:paraId="2C34716D" w14:textId="77777777" w:rsidR="00F72FA4" w:rsidRPr="0068632D" w:rsidRDefault="00F72FA4" w:rsidP="001556F0">
      <w:pPr>
        <w:pStyle w:val="FootnoteText"/>
        <w:rPr>
          <w:sz w:val="2"/>
          <w:szCs w:val="2"/>
        </w:rPr>
      </w:pPr>
    </w:p>
  </w:footnote>
  <w:footnote w:id="8">
    <w:p w14:paraId="72F03791" w14:textId="77777777" w:rsidR="00F72FA4" w:rsidRDefault="00F72FA4" w:rsidP="001556F0">
      <w:pPr>
        <w:pStyle w:val="FootnoteText"/>
      </w:pPr>
      <w:r>
        <w:rPr>
          <w:rStyle w:val="FootnoteReference"/>
        </w:rPr>
        <w:t>*</w:t>
      </w:r>
      <w:r>
        <w:t xml:space="preserve"> LA90, 10-min; or background noise plus 5 </w:t>
      </w:r>
      <w:r w:rsidRPr="007672A1">
        <w:t>dB(A), whichever is the greater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2512C" w14:textId="1A9FC277" w:rsidR="00F72FA4" w:rsidRPr="006048D4" w:rsidRDefault="00F72FA4" w:rsidP="00C90C75">
    <w:pPr>
      <w:pStyle w:val="Header"/>
      <w:rPr>
        <w:rFonts w:ascii="Calibri" w:hAnsi="Calibri"/>
        <w:sz w:val="20"/>
      </w:rPr>
    </w:pPr>
  </w:p>
  <w:p w14:paraId="4BD0EE55" w14:textId="77777777" w:rsidR="00F72FA4" w:rsidRPr="0096116D" w:rsidRDefault="00F72FA4" w:rsidP="00C90C7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37875" w14:textId="77777777" w:rsidR="00F72FA4" w:rsidRDefault="00F72FA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50DB0" w14:textId="570EF708" w:rsidR="00F72FA4" w:rsidRPr="004B44A3" w:rsidRDefault="00F72FA4"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48B9" w14:textId="77777777" w:rsidR="00F72FA4" w:rsidRPr="006F365A" w:rsidRDefault="00F72FA4"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C810" w14:textId="77777777" w:rsidR="00F72FA4" w:rsidRPr="006F365A" w:rsidRDefault="00F72FA4"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A853" w14:textId="26D9E2B3" w:rsidR="00F72FA4" w:rsidRPr="004B44A3" w:rsidRDefault="00F72FA4"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MANAGEMENT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49FDE" w14:textId="77777777" w:rsidR="00F72FA4" w:rsidRPr="006F365A" w:rsidRDefault="00F72FA4"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MANAGEMENT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4F5F" w14:textId="77777777" w:rsidR="00F72FA4" w:rsidRPr="006F365A" w:rsidRDefault="00F72FA4"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WEBSITE DEVELOPMENT STAGES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A245" w14:textId="5D025B12" w:rsidR="00F72FA4" w:rsidRPr="004B44A3" w:rsidRDefault="00F72FA4"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96394" w14:textId="77777777" w:rsidR="00F72FA4" w:rsidRPr="00C706E3" w:rsidRDefault="00F72FA4" w:rsidP="00C706E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9442" w14:textId="77777777" w:rsidR="00F72FA4" w:rsidRDefault="00F72FA4">
    <w:pPr>
      <w:pStyle w:val="Header"/>
    </w:pPr>
  </w:p>
  <w:p w14:paraId="015B46A0" w14:textId="77777777" w:rsidR="00F72FA4" w:rsidRDefault="00F72F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770E" w14:textId="77777777" w:rsidR="003E23E9" w:rsidRDefault="003E23E9" w:rsidP="00C90C75">
    <w:pPr>
      <w:spacing w:after="0"/>
      <w:jc w:val="center"/>
      <w:rPr>
        <w:rFonts w:ascii="Calibri" w:hAnsi="Calibri"/>
        <w:b/>
        <w:sz w:val="28"/>
        <w:szCs w:val="28"/>
      </w:rPr>
    </w:pPr>
    <w:r>
      <w:rPr>
        <w:rFonts w:ascii="Times New Roman" w:hAnsi="Times New Roman"/>
        <w:b/>
        <w:noProof/>
        <w:sz w:val="36"/>
        <w:szCs w:val="36"/>
        <w:lang w:eastAsia="en-AU"/>
      </w:rPr>
      <w:drawing>
        <wp:inline distT="0" distB="0" distL="0" distR="0" wp14:anchorId="20DA1214" wp14:editId="68F453D1">
          <wp:extent cx="857250" cy="723900"/>
          <wp:effectExtent l="19050" t="0" r="0" b="0"/>
          <wp:docPr id="14" name="Picture 14"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
                  <a:srcRect l="6934" t="9615" r="4741"/>
                  <a:stretch>
                    <a:fillRect/>
                  </a:stretch>
                </pic:blipFill>
                <pic:spPr bwMode="auto">
                  <a:xfrm>
                    <a:off x="0" y="0"/>
                    <a:ext cx="857250" cy="723900"/>
                  </a:xfrm>
                  <a:prstGeom prst="rect">
                    <a:avLst/>
                  </a:prstGeom>
                  <a:noFill/>
                  <a:ln w="9525">
                    <a:noFill/>
                    <a:miter lim="800000"/>
                    <a:headEnd/>
                    <a:tailEnd/>
                  </a:ln>
                </pic:spPr>
              </pic:pic>
            </a:graphicData>
          </a:graphic>
        </wp:inline>
      </w:drawing>
    </w:r>
  </w:p>
  <w:p w14:paraId="0EB5198C" w14:textId="77777777" w:rsidR="003E23E9" w:rsidRPr="006048D4" w:rsidRDefault="003E23E9" w:rsidP="00C90C75">
    <w:pPr>
      <w:spacing w:after="0"/>
      <w:jc w:val="center"/>
      <w:rPr>
        <w:rFonts w:ascii="Calibri" w:hAnsi="Calibri"/>
        <w:b/>
        <w:sz w:val="28"/>
        <w:szCs w:val="28"/>
      </w:rPr>
    </w:pPr>
    <w:r w:rsidRPr="006048D4">
      <w:rPr>
        <w:rFonts w:ascii="Calibri" w:hAnsi="Calibri"/>
        <w:b/>
        <w:sz w:val="28"/>
        <w:szCs w:val="28"/>
      </w:rPr>
      <w:t xml:space="preserve">Office of the </w:t>
    </w:r>
    <w:r>
      <w:rPr>
        <w:rFonts w:ascii="Calibri" w:hAnsi="Calibri"/>
        <w:b/>
        <w:sz w:val="28"/>
        <w:szCs w:val="28"/>
      </w:rPr>
      <w:t>Australian Energy Infrastructure Commissioner</w:t>
    </w:r>
  </w:p>
  <w:p w14:paraId="54A1D1F2" w14:textId="77777777" w:rsidR="003E23E9" w:rsidRPr="006048D4" w:rsidRDefault="003E23E9" w:rsidP="00C90C75">
    <w:pPr>
      <w:pStyle w:val="Header"/>
      <w:rPr>
        <w:rFonts w:ascii="Calibri" w:hAnsi="Calibri"/>
        <w:sz w:val="20"/>
      </w:rPr>
    </w:pPr>
    <w:r>
      <w:rPr>
        <w:rFonts w:ascii="Calibri" w:hAnsi="Calibri"/>
        <w:sz w:val="20"/>
      </w:rPr>
      <w:pict w14:anchorId="72498879">
        <v:rect id="_x0000_i1049" style="width:481.9pt;height:1pt" o:hralign="center" o:hrstd="t" o:hrnoshade="t" o:hr="t" fillcolor="black [3213]" stroked="f"/>
      </w:pict>
    </w:r>
  </w:p>
  <w:p w14:paraId="5F0012B2" w14:textId="77777777" w:rsidR="003E23E9" w:rsidRPr="0096116D" w:rsidRDefault="003E23E9" w:rsidP="00C90C7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0CD9" w14:textId="6BCAA209" w:rsidR="00F72FA4" w:rsidRPr="004B44A3" w:rsidRDefault="00F72FA4"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REFORMS AND ADVOCACY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C9BD" w14:textId="77777777" w:rsidR="00F72FA4" w:rsidRPr="006F365A" w:rsidRDefault="00F72FA4"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REFORMS AND ADVOCACY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F089" w14:textId="77777777" w:rsidR="00F72FA4" w:rsidRDefault="00F72FA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BAA0" w14:textId="7363415D" w:rsidR="00F72FA4" w:rsidRPr="004B44A3" w:rsidRDefault="00F72FA4"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OBSERVATIONS AND RECOMMENDATIONS 2020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2A01" w14:textId="7F4D0639" w:rsidR="00F72FA4" w:rsidRPr="006F365A" w:rsidRDefault="00F72FA4" w:rsidP="00A67D71">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OBSERVATIONS AND RECOMMENDATIONS - 2020</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71FE" w14:textId="6E2AD75D" w:rsidR="00F72FA4" w:rsidRPr="000F2F29" w:rsidRDefault="00F72FA4" w:rsidP="000F2F29">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OBSERVATIONS AND RECOMMENDATIONS - 2020</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3B785" w14:textId="77777777" w:rsidR="00F72FA4" w:rsidRDefault="00F72FA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67032" w14:textId="64E610A0" w:rsidR="00DD77A5" w:rsidRPr="006F365A" w:rsidRDefault="00DD77A5" w:rsidP="00DD77A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B: UPDATED TERMS OF REFERENCE 2018-21</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C8EDE" w14:textId="1871879C" w:rsidR="00F72FA4" w:rsidRPr="006C15BB" w:rsidRDefault="00F72FA4" w:rsidP="006C15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720B6" w14:textId="77777777" w:rsidR="00F72FA4" w:rsidRPr="0096116D" w:rsidRDefault="00F72FA4" w:rsidP="00C90C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60F8" w14:textId="77777777" w:rsidR="00F72FA4" w:rsidRDefault="00F72F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5198E" w14:textId="77777777" w:rsidR="00F72FA4" w:rsidRDefault="00F72F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CC95A" w14:textId="77777777" w:rsidR="00F72FA4" w:rsidRPr="006F365A" w:rsidRDefault="00F72FA4" w:rsidP="00C90C75">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CONTENTS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B88C" w14:textId="35EDC26E" w:rsidR="00F72FA4" w:rsidRPr="004B44A3" w:rsidRDefault="00F72FA4" w:rsidP="004B44A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7905" w14:textId="5C97633D" w:rsidR="00F72FA4" w:rsidRPr="004B44A3" w:rsidRDefault="00F72FA4"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COMMISSIONER’S REVIEW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D1CE" w14:textId="77777777" w:rsidR="00F72FA4" w:rsidRPr="00C1107C" w:rsidRDefault="00F72FA4"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COMMISSIONER’S REVIEW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48E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4105A7A"/>
    <w:multiLevelType w:val="hybridMultilevel"/>
    <w:tmpl w:val="8E1A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D6F62"/>
    <w:multiLevelType w:val="hybridMultilevel"/>
    <w:tmpl w:val="C51A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D4DA1"/>
    <w:multiLevelType w:val="hybridMultilevel"/>
    <w:tmpl w:val="CD20D9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23A4CB5"/>
    <w:multiLevelType w:val="hybridMultilevel"/>
    <w:tmpl w:val="1E309F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 w15:restartNumberingAfterBreak="0">
    <w:nsid w:val="2BD41C6D"/>
    <w:multiLevelType w:val="hybridMultilevel"/>
    <w:tmpl w:val="6EE2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0734E"/>
    <w:multiLevelType w:val="hybridMultilevel"/>
    <w:tmpl w:val="1CF06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470316"/>
    <w:multiLevelType w:val="hybridMultilevel"/>
    <w:tmpl w:val="A954B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B55AA4"/>
    <w:multiLevelType w:val="hybridMultilevel"/>
    <w:tmpl w:val="435A2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D675E43"/>
    <w:multiLevelType w:val="hybridMultilevel"/>
    <w:tmpl w:val="11F40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0047CE7"/>
    <w:multiLevelType w:val="multilevel"/>
    <w:tmpl w:val="209ED6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FA3C2D"/>
    <w:multiLevelType w:val="hybridMultilevel"/>
    <w:tmpl w:val="B95C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EB80D98"/>
    <w:multiLevelType w:val="hybridMultilevel"/>
    <w:tmpl w:val="63E4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456429"/>
    <w:multiLevelType w:val="multilevel"/>
    <w:tmpl w:val="E898CC72"/>
    <w:numStyleLink w:val="KeyPoints"/>
  </w:abstractNum>
  <w:abstractNum w:abstractNumId="17" w15:restartNumberingAfterBreak="0">
    <w:nsid w:val="67852629"/>
    <w:multiLevelType w:val="hybridMultilevel"/>
    <w:tmpl w:val="C660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91DB9"/>
    <w:multiLevelType w:val="hybridMultilevel"/>
    <w:tmpl w:val="FB1878E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9" w15:restartNumberingAfterBreak="0">
    <w:nsid w:val="6C5C5676"/>
    <w:multiLevelType w:val="hybridMultilevel"/>
    <w:tmpl w:val="8B6AEC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73206F69"/>
    <w:multiLevelType w:val="singleLevel"/>
    <w:tmpl w:val="0C090003"/>
    <w:lvl w:ilvl="0">
      <w:start w:val="1"/>
      <w:numFmt w:val="bullet"/>
      <w:pStyle w:val="ListBullet4"/>
      <w:lvlText w:val="o"/>
      <w:lvlJc w:val="left"/>
      <w:pPr>
        <w:ind w:left="369" w:hanging="369"/>
      </w:pPr>
      <w:rPr>
        <w:rFonts w:ascii="Courier New" w:hAnsi="Courier New" w:cs="Courier New" w:hint="default"/>
      </w:rPr>
    </w:lvl>
  </w:abstractNum>
  <w:abstractNum w:abstractNumId="21" w15:restartNumberingAfterBreak="0">
    <w:nsid w:val="73A83D87"/>
    <w:multiLevelType w:val="hybridMultilevel"/>
    <w:tmpl w:val="5B4626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796A2821"/>
    <w:multiLevelType w:val="hybridMultilevel"/>
    <w:tmpl w:val="D2E66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9"/>
  </w:num>
  <w:num w:numId="4">
    <w:abstractNumId w:val="8"/>
  </w:num>
  <w:num w:numId="5">
    <w:abstractNumId w:val="16"/>
    <w:lvlOverride w:ilvl="0">
      <w:lvl w:ilvl="0">
        <w:start w:val="1"/>
        <w:numFmt w:val="decimal"/>
        <w:pStyle w:val="ListNumber"/>
        <w:lvlText w:val="%1."/>
        <w:lvlJc w:val="left"/>
        <w:pPr>
          <w:ind w:left="369" w:hanging="369"/>
        </w:pPr>
        <w:rPr>
          <w:rFonts w:ascii="Calibri Light" w:hAnsi="Calibri Light" w:hint="default"/>
          <w:sz w:val="22"/>
        </w:rPr>
      </w:lvl>
    </w:lvlOverride>
  </w:num>
  <w:num w:numId="6">
    <w:abstractNumId w:val="20"/>
  </w:num>
  <w:num w:numId="7">
    <w:abstractNumId w:val="2"/>
  </w:num>
  <w:num w:numId="8">
    <w:abstractNumId w:val="13"/>
  </w:num>
  <w:num w:numId="9">
    <w:abstractNumId w:val="11"/>
  </w:num>
  <w:num w:numId="10">
    <w:abstractNumId w:val="14"/>
  </w:num>
  <w:num w:numId="11">
    <w:abstractNumId w:val="18"/>
  </w:num>
  <w:num w:numId="12">
    <w:abstractNumId w:val="12"/>
  </w:num>
  <w:num w:numId="13">
    <w:abstractNumId w:val="4"/>
  </w:num>
  <w:num w:numId="14">
    <w:abstractNumId w:val="19"/>
  </w:num>
  <w:num w:numId="15">
    <w:abstractNumId w:val="0"/>
  </w:num>
  <w:num w:numId="16">
    <w:abstractNumId w:val="3"/>
  </w:num>
  <w:num w:numId="17">
    <w:abstractNumId w:val="21"/>
  </w:num>
  <w:num w:numId="18">
    <w:abstractNumId w:val="10"/>
  </w:num>
  <w:num w:numId="19">
    <w:abstractNumId w:val="15"/>
  </w:num>
  <w:num w:numId="20">
    <w:abstractNumId w:val="7"/>
  </w:num>
  <w:num w:numId="21">
    <w:abstractNumId w:val="5"/>
  </w:num>
  <w:num w:numId="22">
    <w:abstractNumId w:val="23"/>
  </w:num>
  <w:num w:numId="23">
    <w:abstractNumId w:val="17"/>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characterSpacingControl w:val="doNotCompress"/>
  <w:hdrShapeDefaults>
    <o:shapedefaults v:ext="edit" spidmax="696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E7"/>
    <w:rsid w:val="0000125B"/>
    <w:rsid w:val="0000225B"/>
    <w:rsid w:val="00002BB9"/>
    <w:rsid w:val="000041E8"/>
    <w:rsid w:val="00007830"/>
    <w:rsid w:val="00010428"/>
    <w:rsid w:val="00010811"/>
    <w:rsid w:val="00010DC6"/>
    <w:rsid w:val="00012A95"/>
    <w:rsid w:val="00012BD7"/>
    <w:rsid w:val="0001336F"/>
    <w:rsid w:val="00013D5D"/>
    <w:rsid w:val="00013DDE"/>
    <w:rsid w:val="00014694"/>
    <w:rsid w:val="000160E7"/>
    <w:rsid w:val="0001612D"/>
    <w:rsid w:val="00016645"/>
    <w:rsid w:val="00017DD8"/>
    <w:rsid w:val="00023727"/>
    <w:rsid w:val="000237A1"/>
    <w:rsid w:val="00024212"/>
    <w:rsid w:val="00024A28"/>
    <w:rsid w:val="00024A2E"/>
    <w:rsid w:val="00024CC5"/>
    <w:rsid w:val="00027692"/>
    <w:rsid w:val="0002774F"/>
    <w:rsid w:val="000277FC"/>
    <w:rsid w:val="00027BA3"/>
    <w:rsid w:val="0003161D"/>
    <w:rsid w:val="00033D1F"/>
    <w:rsid w:val="000363BA"/>
    <w:rsid w:val="000374EC"/>
    <w:rsid w:val="00040103"/>
    <w:rsid w:val="00040B52"/>
    <w:rsid w:val="00044144"/>
    <w:rsid w:val="00044E29"/>
    <w:rsid w:val="00045C90"/>
    <w:rsid w:val="00046944"/>
    <w:rsid w:val="00046EF9"/>
    <w:rsid w:val="00047242"/>
    <w:rsid w:val="00047B1D"/>
    <w:rsid w:val="000535EA"/>
    <w:rsid w:val="00054666"/>
    <w:rsid w:val="0005480D"/>
    <w:rsid w:val="000549BA"/>
    <w:rsid w:val="000554E5"/>
    <w:rsid w:val="00055815"/>
    <w:rsid w:val="00056BE4"/>
    <w:rsid w:val="00057AF4"/>
    <w:rsid w:val="00057BBA"/>
    <w:rsid w:val="00057EE9"/>
    <w:rsid w:val="00057F15"/>
    <w:rsid w:val="00060094"/>
    <w:rsid w:val="00061D1D"/>
    <w:rsid w:val="00063D6A"/>
    <w:rsid w:val="0006622E"/>
    <w:rsid w:val="00067681"/>
    <w:rsid w:val="00070426"/>
    <w:rsid w:val="00070E1F"/>
    <w:rsid w:val="00070F51"/>
    <w:rsid w:val="00070FE7"/>
    <w:rsid w:val="00071F68"/>
    <w:rsid w:val="00074E69"/>
    <w:rsid w:val="00075990"/>
    <w:rsid w:val="00075A40"/>
    <w:rsid w:val="00076A95"/>
    <w:rsid w:val="00080CEC"/>
    <w:rsid w:val="000825B6"/>
    <w:rsid w:val="00082D20"/>
    <w:rsid w:val="000832CB"/>
    <w:rsid w:val="00084366"/>
    <w:rsid w:val="000847FB"/>
    <w:rsid w:val="000864C8"/>
    <w:rsid w:val="00086A5D"/>
    <w:rsid w:val="00086B76"/>
    <w:rsid w:val="00086D63"/>
    <w:rsid w:val="00086D8F"/>
    <w:rsid w:val="0009073C"/>
    <w:rsid w:val="00090870"/>
    <w:rsid w:val="000914E7"/>
    <w:rsid w:val="00091D95"/>
    <w:rsid w:val="00093162"/>
    <w:rsid w:val="000945B7"/>
    <w:rsid w:val="0009535D"/>
    <w:rsid w:val="000953ED"/>
    <w:rsid w:val="00095E67"/>
    <w:rsid w:val="00096A1A"/>
    <w:rsid w:val="000A0214"/>
    <w:rsid w:val="000A05A6"/>
    <w:rsid w:val="000A29E5"/>
    <w:rsid w:val="000A4878"/>
    <w:rsid w:val="000A67DB"/>
    <w:rsid w:val="000A7725"/>
    <w:rsid w:val="000B0675"/>
    <w:rsid w:val="000B34CB"/>
    <w:rsid w:val="000B592A"/>
    <w:rsid w:val="000B5FAF"/>
    <w:rsid w:val="000C004D"/>
    <w:rsid w:val="000C1905"/>
    <w:rsid w:val="000C196D"/>
    <w:rsid w:val="000C1D10"/>
    <w:rsid w:val="000C2353"/>
    <w:rsid w:val="000C3931"/>
    <w:rsid w:val="000C59BC"/>
    <w:rsid w:val="000C65CA"/>
    <w:rsid w:val="000D0598"/>
    <w:rsid w:val="000D1EA9"/>
    <w:rsid w:val="000D39A3"/>
    <w:rsid w:val="000D435C"/>
    <w:rsid w:val="000D45B8"/>
    <w:rsid w:val="000D6A82"/>
    <w:rsid w:val="000E0300"/>
    <w:rsid w:val="000E0817"/>
    <w:rsid w:val="000E16D4"/>
    <w:rsid w:val="000E2BC3"/>
    <w:rsid w:val="000E2DE0"/>
    <w:rsid w:val="000E4312"/>
    <w:rsid w:val="000E5C06"/>
    <w:rsid w:val="000E666B"/>
    <w:rsid w:val="000F1C26"/>
    <w:rsid w:val="000F1D88"/>
    <w:rsid w:val="000F2F29"/>
    <w:rsid w:val="000F3E7D"/>
    <w:rsid w:val="000F516F"/>
    <w:rsid w:val="00101AED"/>
    <w:rsid w:val="00102043"/>
    <w:rsid w:val="00102E5C"/>
    <w:rsid w:val="001051F8"/>
    <w:rsid w:val="001054B4"/>
    <w:rsid w:val="00106950"/>
    <w:rsid w:val="0010703F"/>
    <w:rsid w:val="001071DF"/>
    <w:rsid w:val="00111058"/>
    <w:rsid w:val="00111A15"/>
    <w:rsid w:val="00111AB8"/>
    <w:rsid w:val="0011253E"/>
    <w:rsid w:val="00112CCD"/>
    <w:rsid w:val="0011370A"/>
    <w:rsid w:val="00116524"/>
    <w:rsid w:val="001169FF"/>
    <w:rsid w:val="00117353"/>
    <w:rsid w:val="0011762E"/>
    <w:rsid w:val="001209F9"/>
    <w:rsid w:val="0012378A"/>
    <w:rsid w:val="00124FBB"/>
    <w:rsid w:val="00126404"/>
    <w:rsid w:val="00126705"/>
    <w:rsid w:val="00127B22"/>
    <w:rsid w:val="00127DA6"/>
    <w:rsid w:val="00130ABA"/>
    <w:rsid w:val="00131081"/>
    <w:rsid w:val="00132612"/>
    <w:rsid w:val="0013429A"/>
    <w:rsid w:val="00134C44"/>
    <w:rsid w:val="00135B37"/>
    <w:rsid w:val="00140612"/>
    <w:rsid w:val="00140A22"/>
    <w:rsid w:val="00140FAA"/>
    <w:rsid w:val="00141314"/>
    <w:rsid w:val="00141896"/>
    <w:rsid w:val="00143313"/>
    <w:rsid w:val="00145944"/>
    <w:rsid w:val="00145FBE"/>
    <w:rsid w:val="00147261"/>
    <w:rsid w:val="00150EE7"/>
    <w:rsid w:val="00154694"/>
    <w:rsid w:val="00154BD1"/>
    <w:rsid w:val="00154D60"/>
    <w:rsid w:val="001556F0"/>
    <w:rsid w:val="00155C9D"/>
    <w:rsid w:val="0016057F"/>
    <w:rsid w:val="00160BE4"/>
    <w:rsid w:val="0016124D"/>
    <w:rsid w:val="001613A5"/>
    <w:rsid w:val="00161CB1"/>
    <w:rsid w:val="00163092"/>
    <w:rsid w:val="00164765"/>
    <w:rsid w:val="001647EC"/>
    <w:rsid w:val="00164C9A"/>
    <w:rsid w:val="00165225"/>
    <w:rsid w:val="00165EFA"/>
    <w:rsid w:val="001660C2"/>
    <w:rsid w:val="001665C0"/>
    <w:rsid w:val="00166EC5"/>
    <w:rsid w:val="00167ACA"/>
    <w:rsid w:val="001702E0"/>
    <w:rsid w:val="0017092D"/>
    <w:rsid w:val="00173327"/>
    <w:rsid w:val="0017359D"/>
    <w:rsid w:val="00173E3C"/>
    <w:rsid w:val="00174120"/>
    <w:rsid w:val="00174405"/>
    <w:rsid w:val="00174911"/>
    <w:rsid w:val="00174E4D"/>
    <w:rsid w:val="00175FC6"/>
    <w:rsid w:val="00176628"/>
    <w:rsid w:val="00177680"/>
    <w:rsid w:val="0018149E"/>
    <w:rsid w:val="001815C1"/>
    <w:rsid w:val="00181FE7"/>
    <w:rsid w:val="001831F6"/>
    <w:rsid w:val="00183A15"/>
    <w:rsid w:val="00183DFB"/>
    <w:rsid w:val="001907DF"/>
    <w:rsid w:val="001913E9"/>
    <w:rsid w:val="0019146B"/>
    <w:rsid w:val="001945E9"/>
    <w:rsid w:val="00194C44"/>
    <w:rsid w:val="00195FCD"/>
    <w:rsid w:val="001A0125"/>
    <w:rsid w:val="001A041D"/>
    <w:rsid w:val="001A04B0"/>
    <w:rsid w:val="001A09A6"/>
    <w:rsid w:val="001A1C97"/>
    <w:rsid w:val="001A3187"/>
    <w:rsid w:val="001A3640"/>
    <w:rsid w:val="001A3F6C"/>
    <w:rsid w:val="001A4278"/>
    <w:rsid w:val="001A6C25"/>
    <w:rsid w:val="001A755D"/>
    <w:rsid w:val="001A795E"/>
    <w:rsid w:val="001A79BD"/>
    <w:rsid w:val="001A7D9A"/>
    <w:rsid w:val="001B03D7"/>
    <w:rsid w:val="001B0419"/>
    <w:rsid w:val="001B13A9"/>
    <w:rsid w:val="001B24F7"/>
    <w:rsid w:val="001B4052"/>
    <w:rsid w:val="001B5E7B"/>
    <w:rsid w:val="001B7267"/>
    <w:rsid w:val="001C0B94"/>
    <w:rsid w:val="001C19BE"/>
    <w:rsid w:val="001C223B"/>
    <w:rsid w:val="001C5706"/>
    <w:rsid w:val="001C5C22"/>
    <w:rsid w:val="001C681F"/>
    <w:rsid w:val="001C6F9E"/>
    <w:rsid w:val="001D06A0"/>
    <w:rsid w:val="001D08FA"/>
    <w:rsid w:val="001D1173"/>
    <w:rsid w:val="001D25BB"/>
    <w:rsid w:val="001D328F"/>
    <w:rsid w:val="001D3967"/>
    <w:rsid w:val="001D533E"/>
    <w:rsid w:val="001D54CF"/>
    <w:rsid w:val="001D6ED9"/>
    <w:rsid w:val="001D7769"/>
    <w:rsid w:val="001D77FB"/>
    <w:rsid w:val="001E1E69"/>
    <w:rsid w:val="001E2A7D"/>
    <w:rsid w:val="001E2C14"/>
    <w:rsid w:val="001E3CF6"/>
    <w:rsid w:val="001E4298"/>
    <w:rsid w:val="001E47E7"/>
    <w:rsid w:val="001E5F89"/>
    <w:rsid w:val="001E7884"/>
    <w:rsid w:val="001E7A26"/>
    <w:rsid w:val="001F1909"/>
    <w:rsid w:val="001F1F44"/>
    <w:rsid w:val="001F2B02"/>
    <w:rsid w:val="001F2BF8"/>
    <w:rsid w:val="001F2D10"/>
    <w:rsid w:val="001F35E0"/>
    <w:rsid w:val="001F3E88"/>
    <w:rsid w:val="002007E4"/>
    <w:rsid w:val="0020096D"/>
    <w:rsid w:val="00201886"/>
    <w:rsid w:val="00202D8B"/>
    <w:rsid w:val="00203766"/>
    <w:rsid w:val="00203776"/>
    <w:rsid w:val="00203A05"/>
    <w:rsid w:val="00203F64"/>
    <w:rsid w:val="0020427F"/>
    <w:rsid w:val="0020526F"/>
    <w:rsid w:val="00205A7A"/>
    <w:rsid w:val="00206F39"/>
    <w:rsid w:val="002078D6"/>
    <w:rsid w:val="00207E95"/>
    <w:rsid w:val="00210C22"/>
    <w:rsid w:val="002120E7"/>
    <w:rsid w:val="0021215E"/>
    <w:rsid w:val="002135B4"/>
    <w:rsid w:val="0021506B"/>
    <w:rsid w:val="00215FC0"/>
    <w:rsid w:val="00216BF4"/>
    <w:rsid w:val="00221467"/>
    <w:rsid w:val="00222F6A"/>
    <w:rsid w:val="00223D2E"/>
    <w:rsid w:val="0022534F"/>
    <w:rsid w:val="0022537A"/>
    <w:rsid w:val="002254AB"/>
    <w:rsid w:val="00226042"/>
    <w:rsid w:val="0022646F"/>
    <w:rsid w:val="002278A8"/>
    <w:rsid w:val="00230875"/>
    <w:rsid w:val="002320B6"/>
    <w:rsid w:val="00233815"/>
    <w:rsid w:val="0023507D"/>
    <w:rsid w:val="002350B7"/>
    <w:rsid w:val="0023637E"/>
    <w:rsid w:val="00236394"/>
    <w:rsid w:val="002367F4"/>
    <w:rsid w:val="00240076"/>
    <w:rsid w:val="0024008E"/>
    <w:rsid w:val="002406E8"/>
    <w:rsid w:val="0024097A"/>
    <w:rsid w:val="002417CF"/>
    <w:rsid w:val="00241BD8"/>
    <w:rsid w:val="00241D80"/>
    <w:rsid w:val="00243120"/>
    <w:rsid w:val="00244998"/>
    <w:rsid w:val="00244E35"/>
    <w:rsid w:val="00245389"/>
    <w:rsid w:val="00246425"/>
    <w:rsid w:val="002466CF"/>
    <w:rsid w:val="00246797"/>
    <w:rsid w:val="00251216"/>
    <w:rsid w:val="002515EC"/>
    <w:rsid w:val="0025228E"/>
    <w:rsid w:val="00252A00"/>
    <w:rsid w:val="0025301E"/>
    <w:rsid w:val="002569FE"/>
    <w:rsid w:val="0025735C"/>
    <w:rsid w:val="00260F3B"/>
    <w:rsid w:val="002624BA"/>
    <w:rsid w:val="002633C5"/>
    <w:rsid w:val="00263504"/>
    <w:rsid w:val="0026395F"/>
    <w:rsid w:val="00263C39"/>
    <w:rsid w:val="00265ECB"/>
    <w:rsid w:val="00267426"/>
    <w:rsid w:val="00271CE3"/>
    <w:rsid w:val="00272BF7"/>
    <w:rsid w:val="00272D09"/>
    <w:rsid w:val="0027571C"/>
    <w:rsid w:val="0027687B"/>
    <w:rsid w:val="0027719B"/>
    <w:rsid w:val="002776FF"/>
    <w:rsid w:val="0028168A"/>
    <w:rsid w:val="00281C38"/>
    <w:rsid w:val="00282A51"/>
    <w:rsid w:val="002830C8"/>
    <w:rsid w:val="002847E1"/>
    <w:rsid w:val="00286B75"/>
    <w:rsid w:val="002879A1"/>
    <w:rsid w:val="00290C8F"/>
    <w:rsid w:val="00290CC4"/>
    <w:rsid w:val="002921D4"/>
    <w:rsid w:val="002932F2"/>
    <w:rsid w:val="00295544"/>
    <w:rsid w:val="00295B7E"/>
    <w:rsid w:val="00297217"/>
    <w:rsid w:val="002A1475"/>
    <w:rsid w:val="002A2135"/>
    <w:rsid w:val="002A2A7C"/>
    <w:rsid w:val="002A2AD5"/>
    <w:rsid w:val="002A54DC"/>
    <w:rsid w:val="002A6011"/>
    <w:rsid w:val="002A63CB"/>
    <w:rsid w:val="002A6479"/>
    <w:rsid w:val="002A668F"/>
    <w:rsid w:val="002A6706"/>
    <w:rsid w:val="002A6FB5"/>
    <w:rsid w:val="002A70E8"/>
    <w:rsid w:val="002A7C21"/>
    <w:rsid w:val="002A7D00"/>
    <w:rsid w:val="002B0B91"/>
    <w:rsid w:val="002B0DB2"/>
    <w:rsid w:val="002B1437"/>
    <w:rsid w:val="002B21E5"/>
    <w:rsid w:val="002B2E31"/>
    <w:rsid w:val="002B3AFE"/>
    <w:rsid w:val="002B4280"/>
    <w:rsid w:val="002B6066"/>
    <w:rsid w:val="002B6C16"/>
    <w:rsid w:val="002B6CBB"/>
    <w:rsid w:val="002C01BF"/>
    <w:rsid w:val="002C0940"/>
    <w:rsid w:val="002C1C98"/>
    <w:rsid w:val="002C30AF"/>
    <w:rsid w:val="002C38EC"/>
    <w:rsid w:val="002C4E77"/>
    <w:rsid w:val="002C58C0"/>
    <w:rsid w:val="002C70C7"/>
    <w:rsid w:val="002C7B40"/>
    <w:rsid w:val="002D1788"/>
    <w:rsid w:val="002D214A"/>
    <w:rsid w:val="002D2343"/>
    <w:rsid w:val="002D3012"/>
    <w:rsid w:val="002D355C"/>
    <w:rsid w:val="002D4470"/>
    <w:rsid w:val="002D507D"/>
    <w:rsid w:val="002D5A92"/>
    <w:rsid w:val="002D5D1B"/>
    <w:rsid w:val="002D6963"/>
    <w:rsid w:val="002D6DD0"/>
    <w:rsid w:val="002D726F"/>
    <w:rsid w:val="002E13ED"/>
    <w:rsid w:val="002E1427"/>
    <w:rsid w:val="002E19F7"/>
    <w:rsid w:val="002E226F"/>
    <w:rsid w:val="002E2477"/>
    <w:rsid w:val="002E4DF0"/>
    <w:rsid w:val="002E5188"/>
    <w:rsid w:val="002E62D6"/>
    <w:rsid w:val="002E62EE"/>
    <w:rsid w:val="002E7D46"/>
    <w:rsid w:val="002F0B0D"/>
    <w:rsid w:val="002F122C"/>
    <w:rsid w:val="002F15DC"/>
    <w:rsid w:val="002F32FB"/>
    <w:rsid w:val="002F3729"/>
    <w:rsid w:val="002F637C"/>
    <w:rsid w:val="002F72F3"/>
    <w:rsid w:val="00300762"/>
    <w:rsid w:val="003007E4"/>
    <w:rsid w:val="003009DB"/>
    <w:rsid w:val="00304F3A"/>
    <w:rsid w:val="0030506C"/>
    <w:rsid w:val="00306731"/>
    <w:rsid w:val="003074B3"/>
    <w:rsid w:val="003074BE"/>
    <w:rsid w:val="00310CB5"/>
    <w:rsid w:val="003111D8"/>
    <w:rsid w:val="003119B7"/>
    <w:rsid w:val="003136CE"/>
    <w:rsid w:val="00314962"/>
    <w:rsid w:val="00314F52"/>
    <w:rsid w:val="00316AEB"/>
    <w:rsid w:val="00320E47"/>
    <w:rsid w:val="0032273D"/>
    <w:rsid w:val="00323444"/>
    <w:rsid w:val="0032384D"/>
    <w:rsid w:val="00326042"/>
    <w:rsid w:val="00326A7F"/>
    <w:rsid w:val="00331981"/>
    <w:rsid w:val="00332E48"/>
    <w:rsid w:val="00334984"/>
    <w:rsid w:val="00335649"/>
    <w:rsid w:val="00335910"/>
    <w:rsid w:val="00337615"/>
    <w:rsid w:val="00342E52"/>
    <w:rsid w:val="00345CFC"/>
    <w:rsid w:val="00346149"/>
    <w:rsid w:val="00346865"/>
    <w:rsid w:val="003479AA"/>
    <w:rsid w:val="00347EDD"/>
    <w:rsid w:val="0035117A"/>
    <w:rsid w:val="00351571"/>
    <w:rsid w:val="00352050"/>
    <w:rsid w:val="003529A0"/>
    <w:rsid w:val="003529E4"/>
    <w:rsid w:val="003537AB"/>
    <w:rsid w:val="00353BC0"/>
    <w:rsid w:val="00354E19"/>
    <w:rsid w:val="00355862"/>
    <w:rsid w:val="003571C8"/>
    <w:rsid w:val="00357643"/>
    <w:rsid w:val="0036016D"/>
    <w:rsid w:val="003605D4"/>
    <w:rsid w:val="00360F11"/>
    <w:rsid w:val="00363513"/>
    <w:rsid w:val="003639C7"/>
    <w:rsid w:val="00364939"/>
    <w:rsid w:val="00364DCB"/>
    <w:rsid w:val="00365784"/>
    <w:rsid w:val="003659EE"/>
    <w:rsid w:val="00366BF9"/>
    <w:rsid w:val="00367120"/>
    <w:rsid w:val="003700EE"/>
    <w:rsid w:val="00370CD6"/>
    <w:rsid w:val="00371562"/>
    <w:rsid w:val="00373672"/>
    <w:rsid w:val="00375C7C"/>
    <w:rsid w:val="00377E68"/>
    <w:rsid w:val="00380608"/>
    <w:rsid w:val="00380BD1"/>
    <w:rsid w:val="00383691"/>
    <w:rsid w:val="00383C69"/>
    <w:rsid w:val="00385338"/>
    <w:rsid w:val="003861BD"/>
    <w:rsid w:val="00386DE6"/>
    <w:rsid w:val="00387948"/>
    <w:rsid w:val="00391088"/>
    <w:rsid w:val="003916B2"/>
    <w:rsid w:val="00391FA9"/>
    <w:rsid w:val="00394013"/>
    <w:rsid w:val="003943CA"/>
    <w:rsid w:val="00395879"/>
    <w:rsid w:val="00396011"/>
    <w:rsid w:val="00396D0D"/>
    <w:rsid w:val="00396FAD"/>
    <w:rsid w:val="00397330"/>
    <w:rsid w:val="003A40DB"/>
    <w:rsid w:val="003A43BC"/>
    <w:rsid w:val="003A59EF"/>
    <w:rsid w:val="003A6EF2"/>
    <w:rsid w:val="003A719C"/>
    <w:rsid w:val="003A7545"/>
    <w:rsid w:val="003B06FB"/>
    <w:rsid w:val="003B23DC"/>
    <w:rsid w:val="003B2545"/>
    <w:rsid w:val="003B328F"/>
    <w:rsid w:val="003B3F72"/>
    <w:rsid w:val="003B3FB4"/>
    <w:rsid w:val="003B47B4"/>
    <w:rsid w:val="003B4A65"/>
    <w:rsid w:val="003B560A"/>
    <w:rsid w:val="003B5DA1"/>
    <w:rsid w:val="003B61ED"/>
    <w:rsid w:val="003B7002"/>
    <w:rsid w:val="003C06CA"/>
    <w:rsid w:val="003C06D4"/>
    <w:rsid w:val="003C0896"/>
    <w:rsid w:val="003C0C76"/>
    <w:rsid w:val="003C109F"/>
    <w:rsid w:val="003C1423"/>
    <w:rsid w:val="003C15DF"/>
    <w:rsid w:val="003C178B"/>
    <w:rsid w:val="003C2236"/>
    <w:rsid w:val="003C310E"/>
    <w:rsid w:val="003C31AC"/>
    <w:rsid w:val="003C34D6"/>
    <w:rsid w:val="003C41BE"/>
    <w:rsid w:val="003C435B"/>
    <w:rsid w:val="003C5F9F"/>
    <w:rsid w:val="003C6DA3"/>
    <w:rsid w:val="003D021D"/>
    <w:rsid w:val="003D2214"/>
    <w:rsid w:val="003D236C"/>
    <w:rsid w:val="003D3962"/>
    <w:rsid w:val="003D3CC8"/>
    <w:rsid w:val="003D3FBD"/>
    <w:rsid w:val="003D3FBE"/>
    <w:rsid w:val="003D5719"/>
    <w:rsid w:val="003D5C93"/>
    <w:rsid w:val="003D6887"/>
    <w:rsid w:val="003D710F"/>
    <w:rsid w:val="003D79A3"/>
    <w:rsid w:val="003E0061"/>
    <w:rsid w:val="003E128F"/>
    <w:rsid w:val="003E12C5"/>
    <w:rsid w:val="003E23E9"/>
    <w:rsid w:val="003E2F95"/>
    <w:rsid w:val="003E3C0F"/>
    <w:rsid w:val="003E53CB"/>
    <w:rsid w:val="003E5C20"/>
    <w:rsid w:val="003E5F75"/>
    <w:rsid w:val="003E5F8C"/>
    <w:rsid w:val="003E7CCB"/>
    <w:rsid w:val="003F2343"/>
    <w:rsid w:val="003F235E"/>
    <w:rsid w:val="003F255B"/>
    <w:rsid w:val="003F2AF7"/>
    <w:rsid w:val="003F3EF9"/>
    <w:rsid w:val="003F6111"/>
    <w:rsid w:val="003F7288"/>
    <w:rsid w:val="00401A6C"/>
    <w:rsid w:val="00402E34"/>
    <w:rsid w:val="00403523"/>
    <w:rsid w:val="004037CD"/>
    <w:rsid w:val="0040443C"/>
    <w:rsid w:val="004059FC"/>
    <w:rsid w:val="00405CE1"/>
    <w:rsid w:val="004061F8"/>
    <w:rsid w:val="00407C7D"/>
    <w:rsid w:val="00411F50"/>
    <w:rsid w:val="00412928"/>
    <w:rsid w:val="00412E8D"/>
    <w:rsid w:val="00413DBE"/>
    <w:rsid w:val="004146C5"/>
    <w:rsid w:val="004151F7"/>
    <w:rsid w:val="00415FFC"/>
    <w:rsid w:val="00416A3D"/>
    <w:rsid w:val="00417BC5"/>
    <w:rsid w:val="00420193"/>
    <w:rsid w:val="0042062D"/>
    <w:rsid w:val="00420C8B"/>
    <w:rsid w:val="00421C90"/>
    <w:rsid w:val="00423681"/>
    <w:rsid w:val="00423A2B"/>
    <w:rsid w:val="00424AF7"/>
    <w:rsid w:val="00425201"/>
    <w:rsid w:val="00425A42"/>
    <w:rsid w:val="00426380"/>
    <w:rsid w:val="00426FBC"/>
    <w:rsid w:val="00427778"/>
    <w:rsid w:val="00427975"/>
    <w:rsid w:val="004314B5"/>
    <w:rsid w:val="0043339D"/>
    <w:rsid w:val="00433A2D"/>
    <w:rsid w:val="00434259"/>
    <w:rsid w:val="00434F8B"/>
    <w:rsid w:val="0043522C"/>
    <w:rsid w:val="00437631"/>
    <w:rsid w:val="00437F6B"/>
    <w:rsid w:val="004400B1"/>
    <w:rsid w:val="0044051C"/>
    <w:rsid w:val="00440812"/>
    <w:rsid w:val="00440EB8"/>
    <w:rsid w:val="0044134D"/>
    <w:rsid w:val="00441D1F"/>
    <w:rsid w:val="00442666"/>
    <w:rsid w:val="00444419"/>
    <w:rsid w:val="004458DF"/>
    <w:rsid w:val="00446263"/>
    <w:rsid w:val="0044640C"/>
    <w:rsid w:val="004464C9"/>
    <w:rsid w:val="00450DFD"/>
    <w:rsid w:val="00450E84"/>
    <w:rsid w:val="00452EA3"/>
    <w:rsid w:val="00453089"/>
    <w:rsid w:val="0045506D"/>
    <w:rsid w:val="004553F3"/>
    <w:rsid w:val="004560EE"/>
    <w:rsid w:val="00456FC5"/>
    <w:rsid w:val="00457AD1"/>
    <w:rsid w:val="004606F6"/>
    <w:rsid w:val="00460DD9"/>
    <w:rsid w:val="00462269"/>
    <w:rsid w:val="00463598"/>
    <w:rsid w:val="0046359B"/>
    <w:rsid w:val="0046365A"/>
    <w:rsid w:val="00463677"/>
    <w:rsid w:val="004644C1"/>
    <w:rsid w:val="004647DB"/>
    <w:rsid w:val="0046524D"/>
    <w:rsid w:val="0046588A"/>
    <w:rsid w:val="00466460"/>
    <w:rsid w:val="0046752B"/>
    <w:rsid w:val="00467BD6"/>
    <w:rsid w:val="004700C5"/>
    <w:rsid w:val="00470E24"/>
    <w:rsid w:val="0047107B"/>
    <w:rsid w:val="0047191A"/>
    <w:rsid w:val="00472609"/>
    <w:rsid w:val="004726FB"/>
    <w:rsid w:val="00472A30"/>
    <w:rsid w:val="0047410B"/>
    <w:rsid w:val="0047473C"/>
    <w:rsid w:val="00474CB5"/>
    <w:rsid w:val="004750A6"/>
    <w:rsid w:val="0047587F"/>
    <w:rsid w:val="00475C12"/>
    <w:rsid w:val="004767EA"/>
    <w:rsid w:val="004801EC"/>
    <w:rsid w:val="0048035A"/>
    <w:rsid w:val="00482A63"/>
    <w:rsid w:val="00482B8B"/>
    <w:rsid w:val="004837A3"/>
    <w:rsid w:val="00483978"/>
    <w:rsid w:val="004845DF"/>
    <w:rsid w:val="004849A2"/>
    <w:rsid w:val="00484DDC"/>
    <w:rsid w:val="004864C7"/>
    <w:rsid w:val="00487DFD"/>
    <w:rsid w:val="0049089E"/>
    <w:rsid w:val="0049224F"/>
    <w:rsid w:val="00495E67"/>
    <w:rsid w:val="0049797D"/>
    <w:rsid w:val="00497CE0"/>
    <w:rsid w:val="00497E06"/>
    <w:rsid w:val="004A07FB"/>
    <w:rsid w:val="004A2D71"/>
    <w:rsid w:val="004A3212"/>
    <w:rsid w:val="004A4956"/>
    <w:rsid w:val="004A7E8C"/>
    <w:rsid w:val="004B03D9"/>
    <w:rsid w:val="004B3AB7"/>
    <w:rsid w:val="004B44A3"/>
    <w:rsid w:val="004B599F"/>
    <w:rsid w:val="004B6B08"/>
    <w:rsid w:val="004B7015"/>
    <w:rsid w:val="004B710C"/>
    <w:rsid w:val="004B7E7A"/>
    <w:rsid w:val="004C31A6"/>
    <w:rsid w:val="004C46F0"/>
    <w:rsid w:val="004C521A"/>
    <w:rsid w:val="004C55D1"/>
    <w:rsid w:val="004C5A7B"/>
    <w:rsid w:val="004C5B3C"/>
    <w:rsid w:val="004D0F84"/>
    <w:rsid w:val="004D1E73"/>
    <w:rsid w:val="004D29C5"/>
    <w:rsid w:val="004D3882"/>
    <w:rsid w:val="004E1E7B"/>
    <w:rsid w:val="004E35C1"/>
    <w:rsid w:val="004E3922"/>
    <w:rsid w:val="004E40B1"/>
    <w:rsid w:val="004E42AA"/>
    <w:rsid w:val="004E5DCA"/>
    <w:rsid w:val="004E61B1"/>
    <w:rsid w:val="004E657F"/>
    <w:rsid w:val="004E6FEA"/>
    <w:rsid w:val="004F09A3"/>
    <w:rsid w:val="004F398B"/>
    <w:rsid w:val="004F456C"/>
    <w:rsid w:val="004F4870"/>
    <w:rsid w:val="004F4CDA"/>
    <w:rsid w:val="004F5262"/>
    <w:rsid w:val="004F5892"/>
    <w:rsid w:val="004F5F3D"/>
    <w:rsid w:val="004F65E8"/>
    <w:rsid w:val="004F6D5B"/>
    <w:rsid w:val="004F70A1"/>
    <w:rsid w:val="00500F66"/>
    <w:rsid w:val="00501785"/>
    <w:rsid w:val="00501D42"/>
    <w:rsid w:val="0050245A"/>
    <w:rsid w:val="00502C75"/>
    <w:rsid w:val="0050394A"/>
    <w:rsid w:val="00506D17"/>
    <w:rsid w:val="005077F9"/>
    <w:rsid w:val="0051053D"/>
    <w:rsid w:val="005116C8"/>
    <w:rsid w:val="0051194D"/>
    <w:rsid w:val="0051215F"/>
    <w:rsid w:val="00512AE0"/>
    <w:rsid w:val="00512B42"/>
    <w:rsid w:val="0051475C"/>
    <w:rsid w:val="00517FE9"/>
    <w:rsid w:val="0052032C"/>
    <w:rsid w:val="00520699"/>
    <w:rsid w:val="005208CC"/>
    <w:rsid w:val="0052117D"/>
    <w:rsid w:val="00522215"/>
    <w:rsid w:val="005273B0"/>
    <w:rsid w:val="00527830"/>
    <w:rsid w:val="00527D82"/>
    <w:rsid w:val="005302ED"/>
    <w:rsid w:val="0053103B"/>
    <w:rsid w:val="00532021"/>
    <w:rsid w:val="00533F26"/>
    <w:rsid w:val="0053437E"/>
    <w:rsid w:val="0053472B"/>
    <w:rsid w:val="00535768"/>
    <w:rsid w:val="0053596B"/>
    <w:rsid w:val="005404E2"/>
    <w:rsid w:val="00540DA2"/>
    <w:rsid w:val="00543EEE"/>
    <w:rsid w:val="00544265"/>
    <w:rsid w:val="00544A75"/>
    <w:rsid w:val="00547CD6"/>
    <w:rsid w:val="005513DB"/>
    <w:rsid w:val="0055286F"/>
    <w:rsid w:val="0055410F"/>
    <w:rsid w:val="00555309"/>
    <w:rsid w:val="0055534C"/>
    <w:rsid w:val="0055605C"/>
    <w:rsid w:val="005561DF"/>
    <w:rsid w:val="005573B9"/>
    <w:rsid w:val="00557E79"/>
    <w:rsid w:val="005612D4"/>
    <w:rsid w:val="00561935"/>
    <w:rsid w:val="00562B02"/>
    <w:rsid w:val="00563A75"/>
    <w:rsid w:val="00564075"/>
    <w:rsid w:val="00564E91"/>
    <w:rsid w:val="005651DF"/>
    <w:rsid w:val="00565A7B"/>
    <w:rsid w:val="0056666D"/>
    <w:rsid w:val="00567DD4"/>
    <w:rsid w:val="00567FE6"/>
    <w:rsid w:val="0057254D"/>
    <w:rsid w:val="00573894"/>
    <w:rsid w:val="005741BA"/>
    <w:rsid w:val="00574557"/>
    <w:rsid w:val="0057754E"/>
    <w:rsid w:val="00577D13"/>
    <w:rsid w:val="00581629"/>
    <w:rsid w:val="00581966"/>
    <w:rsid w:val="0058219A"/>
    <w:rsid w:val="00582332"/>
    <w:rsid w:val="00583545"/>
    <w:rsid w:val="00586A15"/>
    <w:rsid w:val="005871FE"/>
    <w:rsid w:val="005874E7"/>
    <w:rsid w:val="005902C8"/>
    <w:rsid w:val="005904E8"/>
    <w:rsid w:val="00591BB4"/>
    <w:rsid w:val="005920B0"/>
    <w:rsid w:val="0059268E"/>
    <w:rsid w:val="00593192"/>
    <w:rsid w:val="005958C3"/>
    <w:rsid w:val="0059602C"/>
    <w:rsid w:val="00596F10"/>
    <w:rsid w:val="005A0E9F"/>
    <w:rsid w:val="005A3B2A"/>
    <w:rsid w:val="005A3C58"/>
    <w:rsid w:val="005A49D2"/>
    <w:rsid w:val="005A5127"/>
    <w:rsid w:val="005A55E9"/>
    <w:rsid w:val="005A5B16"/>
    <w:rsid w:val="005A6C5D"/>
    <w:rsid w:val="005A7F1F"/>
    <w:rsid w:val="005B0030"/>
    <w:rsid w:val="005B2D47"/>
    <w:rsid w:val="005B67C5"/>
    <w:rsid w:val="005B6BCA"/>
    <w:rsid w:val="005B6EC6"/>
    <w:rsid w:val="005B70CD"/>
    <w:rsid w:val="005B7DB8"/>
    <w:rsid w:val="005C326E"/>
    <w:rsid w:val="005C332C"/>
    <w:rsid w:val="005C39C9"/>
    <w:rsid w:val="005C47F8"/>
    <w:rsid w:val="005C4D30"/>
    <w:rsid w:val="005C5D3B"/>
    <w:rsid w:val="005C662E"/>
    <w:rsid w:val="005C6D3A"/>
    <w:rsid w:val="005C7B7A"/>
    <w:rsid w:val="005D0573"/>
    <w:rsid w:val="005D0BAA"/>
    <w:rsid w:val="005D3BDC"/>
    <w:rsid w:val="005D4D48"/>
    <w:rsid w:val="005D542C"/>
    <w:rsid w:val="005D575A"/>
    <w:rsid w:val="005D59C9"/>
    <w:rsid w:val="005D5A7E"/>
    <w:rsid w:val="005D7CDF"/>
    <w:rsid w:val="005E01FD"/>
    <w:rsid w:val="005E0434"/>
    <w:rsid w:val="005E1525"/>
    <w:rsid w:val="005E20F5"/>
    <w:rsid w:val="005E291A"/>
    <w:rsid w:val="005E2B10"/>
    <w:rsid w:val="005E460C"/>
    <w:rsid w:val="005E49B7"/>
    <w:rsid w:val="005E538C"/>
    <w:rsid w:val="005E55A1"/>
    <w:rsid w:val="005E5E94"/>
    <w:rsid w:val="005E7C4A"/>
    <w:rsid w:val="005F06C5"/>
    <w:rsid w:val="005F07A6"/>
    <w:rsid w:val="005F1069"/>
    <w:rsid w:val="005F1CED"/>
    <w:rsid w:val="005F2184"/>
    <w:rsid w:val="005F227B"/>
    <w:rsid w:val="005F3366"/>
    <w:rsid w:val="005F4B54"/>
    <w:rsid w:val="005F5472"/>
    <w:rsid w:val="00600547"/>
    <w:rsid w:val="00600C95"/>
    <w:rsid w:val="00601CE5"/>
    <w:rsid w:val="00602B11"/>
    <w:rsid w:val="006039EB"/>
    <w:rsid w:val="0061124A"/>
    <w:rsid w:val="00611251"/>
    <w:rsid w:val="00611325"/>
    <w:rsid w:val="00611663"/>
    <w:rsid w:val="00611F97"/>
    <w:rsid w:val="0061222D"/>
    <w:rsid w:val="0061509B"/>
    <w:rsid w:val="0061645B"/>
    <w:rsid w:val="006174FB"/>
    <w:rsid w:val="00617B64"/>
    <w:rsid w:val="0062005C"/>
    <w:rsid w:val="0062133B"/>
    <w:rsid w:val="00621A43"/>
    <w:rsid w:val="00622024"/>
    <w:rsid w:val="00622E63"/>
    <w:rsid w:val="00625B80"/>
    <w:rsid w:val="00625F7B"/>
    <w:rsid w:val="00627724"/>
    <w:rsid w:val="00627870"/>
    <w:rsid w:val="006303AF"/>
    <w:rsid w:val="00632D25"/>
    <w:rsid w:val="006332BC"/>
    <w:rsid w:val="00633382"/>
    <w:rsid w:val="00633651"/>
    <w:rsid w:val="00633739"/>
    <w:rsid w:val="00636515"/>
    <w:rsid w:val="00636CAA"/>
    <w:rsid w:val="0064066D"/>
    <w:rsid w:val="00640DF0"/>
    <w:rsid w:val="00641E5B"/>
    <w:rsid w:val="00642BB2"/>
    <w:rsid w:val="006432C3"/>
    <w:rsid w:val="00643AA7"/>
    <w:rsid w:val="00643B9C"/>
    <w:rsid w:val="00643E4B"/>
    <w:rsid w:val="0064486F"/>
    <w:rsid w:val="00644B1D"/>
    <w:rsid w:val="00645092"/>
    <w:rsid w:val="00645B61"/>
    <w:rsid w:val="00646458"/>
    <w:rsid w:val="006464A3"/>
    <w:rsid w:val="00646B4E"/>
    <w:rsid w:val="006510C8"/>
    <w:rsid w:val="006519D1"/>
    <w:rsid w:val="00652BC3"/>
    <w:rsid w:val="00653C20"/>
    <w:rsid w:val="0065406A"/>
    <w:rsid w:val="006545E5"/>
    <w:rsid w:val="006548FB"/>
    <w:rsid w:val="0065558D"/>
    <w:rsid w:val="00657BCC"/>
    <w:rsid w:val="006614CF"/>
    <w:rsid w:val="0066330F"/>
    <w:rsid w:val="00665ACC"/>
    <w:rsid w:val="00666212"/>
    <w:rsid w:val="00666766"/>
    <w:rsid w:val="00666799"/>
    <w:rsid w:val="00667A5C"/>
    <w:rsid w:val="00667B2B"/>
    <w:rsid w:val="00670D74"/>
    <w:rsid w:val="00672225"/>
    <w:rsid w:val="006740DC"/>
    <w:rsid w:val="00675818"/>
    <w:rsid w:val="00676A9E"/>
    <w:rsid w:val="00676EAE"/>
    <w:rsid w:val="006770B1"/>
    <w:rsid w:val="006773CB"/>
    <w:rsid w:val="006779EA"/>
    <w:rsid w:val="006831BD"/>
    <w:rsid w:val="00684C42"/>
    <w:rsid w:val="0068567F"/>
    <w:rsid w:val="006867A3"/>
    <w:rsid w:val="00686E78"/>
    <w:rsid w:val="006879B9"/>
    <w:rsid w:val="00690A53"/>
    <w:rsid w:val="00693B73"/>
    <w:rsid w:val="00693BDA"/>
    <w:rsid w:val="006960BA"/>
    <w:rsid w:val="00696BCA"/>
    <w:rsid w:val="00697322"/>
    <w:rsid w:val="00697CA6"/>
    <w:rsid w:val="006A0BB2"/>
    <w:rsid w:val="006A137E"/>
    <w:rsid w:val="006A188E"/>
    <w:rsid w:val="006A2474"/>
    <w:rsid w:val="006A260B"/>
    <w:rsid w:val="006A2D2A"/>
    <w:rsid w:val="006A2EB6"/>
    <w:rsid w:val="006A3DE0"/>
    <w:rsid w:val="006A3F76"/>
    <w:rsid w:val="006A44AE"/>
    <w:rsid w:val="006A54E6"/>
    <w:rsid w:val="006A795E"/>
    <w:rsid w:val="006B02BB"/>
    <w:rsid w:val="006B07A2"/>
    <w:rsid w:val="006B10EE"/>
    <w:rsid w:val="006B167E"/>
    <w:rsid w:val="006B1B7B"/>
    <w:rsid w:val="006B6C94"/>
    <w:rsid w:val="006C0C7C"/>
    <w:rsid w:val="006C15BB"/>
    <w:rsid w:val="006C25C4"/>
    <w:rsid w:val="006C27AF"/>
    <w:rsid w:val="006C7A5D"/>
    <w:rsid w:val="006D1163"/>
    <w:rsid w:val="006D2BC2"/>
    <w:rsid w:val="006D2DB2"/>
    <w:rsid w:val="006D466B"/>
    <w:rsid w:val="006D5418"/>
    <w:rsid w:val="006D658A"/>
    <w:rsid w:val="006D69C7"/>
    <w:rsid w:val="006D6BD3"/>
    <w:rsid w:val="006D7E7D"/>
    <w:rsid w:val="006E0376"/>
    <w:rsid w:val="006E072D"/>
    <w:rsid w:val="006E1E9E"/>
    <w:rsid w:val="006E2AB0"/>
    <w:rsid w:val="006E3513"/>
    <w:rsid w:val="006E3803"/>
    <w:rsid w:val="006E3B19"/>
    <w:rsid w:val="006E3CE7"/>
    <w:rsid w:val="006E4324"/>
    <w:rsid w:val="006F1973"/>
    <w:rsid w:val="006F22E0"/>
    <w:rsid w:val="006F23F3"/>
    <w:rsid w:val="006F3373"/>
    <w:rsid w:val="006F42E4"/>
    <w:rsid w:val="006F491D"/>
    <w:rsid w:val="006F64B5"/>
    <w:rsid w:val="006F6C7E"/>
    <w:rsid w:val="00700979"/>
    <w:rsid w:val="007014A8"/>
    <w:rsid w:val="00701780"/>
    <w:rsid w:val="007028FA"/>
    <w:rsid w:val="007035DD"/>
    <w:rsid w:val="00704B91"/>
    <w:rsid w:val="00705E04"/>
    <w:rsid w:val="007064D8"/>
    <w:rsid w:val="00707FCF"/>
    <w:rsid w:val="00710466"/>
    <w:rsid w:val="007105BA"/>
    <w:rsid w:val="00710D1E"/>
    <w:rsid w:val="00711021"/>
    <w:rsid w:val="0071272E"/>
    <w:rsid w:val="00712C5F"/>
    <w:rsid w:val="00713012"/>
    <w:rsid w:val="007139E6"/>
    <w:rsid w:val="00713FDC"/>
    <w:rsid w:val="00714132"/>
    <w:rsid w:val="00714A9A"/>
    <w:rsid w:val="00720274"/>
    <w:rsid w:val="00720BB9"/>
    <w:rsid w:val="007213D1"/>
    <w:rsid w:val="0072297B"/>
    <w:rsid w:val="00722B98"/>
    <w:rsid w:val="0072304E"/>
    <w:rsid w:val="00724C41"/>
    <w:rsid w:val="00726AAF"/>
    <w:rsid w:val="0072720A"/>
    <w:rsid w:val="00730175"/>
    <w:rsid w:val="00730D68"/>
    <w:rsid w:val="00731747"/>
    <w:rsid w:val="007351B7"/>
    <w:rsid w:val="00735684"/>
    <w:rsid w:val="00736568"/>
    <w:rsid w:val="00736A38"/>
    <w:rsid w:val="007376C0"/>
    <w:rsid w:val="00737778"/>
    <w:rsid w:val="007418CA"/>
    <w:rsid w:val="00741B96"/>
    <w:rsid w:val="0074209F"/>
    <w:rsid w:val="007424B9"/>
    <w:rsid w:val="00743490"/>
    <w:rsid w:val="00743DA0"/>
    <w:rsid w:val="007450E5"/>
    <w:rsid w:val="00746BDF"/>
    <w:rsid w:val="0074708B"/>
    <w:rsid w:val="00752949"/>
    <w:rsid w:val="00752D65"/>
    <w:rsid w:val="00761289"/>
    <w:rsid w:val="00761B9C"/>
    <w:rsid w:val="00762D2C"/>
    <w:rsid w:val="00763705"/>
    <w:rsid w:val="007638D6"/>
    <w:rsid w:val="00764D8A"/>
    <w:rsid w:val="00771164"/>
    <w:rsid w:val="007722A2"/>
    <w:rsid w:val="007722E7"/>
    <w:rsid w:val="007738A0"/>
    <w:rsid w:val="00774705"/>
    <w:rsid w:val="007759C0"/>
    <w:rsid w:val="0077632F"/>
    <w:rsid w:val="00776BB2"/>
    <w:rsid w:val="00777362"/>
    <w:rsid w:val="00777EFE"/>
    <w:rsid w:val="00780536"/>
    <w:rsid w:val="00781A26"/>
    <w:rsid w:val="00782AB9"/>
    <w:rsid w:val="007833CB"/>
    <w:rsid w:val="00783E91"/>
    <w:rsid w:val="0078423B"/>
    <w:rsid w:val="00784D90"/>
    <w:rsid w:val="00785FA8"/>
    <w:rsid w:val="00786443"/>
    <w:rsid w:val="0079034D"/>
    <w:rsid w:val="0079141D"/>
    <w:rsid w:val="007921BF"/>
    <w:rsid w:val="007939EE"/>
    <w:rsid w:val="00793F13"/>
    <w:rsid w:val="0079427F"/>
    <w:rsid w:val="00794301"/>
    <w:rsid w:val="00794FE4"/>
    <w:rsid w:val="007955E7"/>
    <w:rsid w:val="00795620"/>
    <w:rsid w:val="0079625A"/>
    <w:rsid w:val="00796262"/>
    <w:rsid w:val="00796788"/>
    <w:rsid w:val="00797B3F"/>
    <w:rsid w:val="007A069C"/>
    <w:rsid w:val="007A0A95"/>
    <w:rsid w:val="007A0C20"/>
    <w:rsid w:val="007A0EF2"/>
    <w:rsid w:val="007A1D42"/>
    <w:rsid w:val="007A226A"/>
    <w:rsid w:val="007A24DE"/>
    <w:rsid w:val="007A4488"/>
    <w:rsid w:val="007B0053"/>
    <w:rsid w:val="007B0A95"/>
    <w:rsid w:val="007B0F05"/>
    <w:rsid w:val="007B10E5"/>
    <w:rsid w:val="007B1CD1"/>
    <w:rsid w:val="007B2443"/>
    <w:rsid w:val="007B245B"/>
    <w:rsid w:val="007B2A79"/>
    <w:rsid w:val="007B30FC"/>
    <w:rsid w:val="007B3F86"/>
    <w:rsid w:val="007B44B0"/>
    <w:rsid w:val="007C04E0"/>
    <w:rsid w:val="007C0C62"/>
    <w:rsid w:val="007C1755"/>
    <w:rsid w:val="007C1919"/>
    <w:rsid w:val="007C1B60"/>
    <w:rsid w:val="007C1D6E"/>
    <w:rsid w:val="007C2391"/>
    <w:rsid w:val="007C3900"/>
    <w:rsid w:val="007C4772"/>
    <w:rsid w:val="007C4C28"/>
    <w:rsid w:val="007C4C58"/>
    <w:rsid w:val="007C4EDD"/>
    <w:rsid w:val="007C547B"/>
    <w:rsid w:val="007C769E"/>
    <w:rsid w:val="007C7C82"/>
    <w:rsid w:val="007D0073"/>
    <w:rsid w:val="007D0A6A"/>
    <w:rsid w:val="007D0ADC"/>
    <w:rsid w:val="007D1196"/>
    <w:rsid w:val="007D19E5"/>
    <w:rsid w:val="007D1E65"/>
    <w:rsid w:val="007D4740"/>
    <w:rsid w:val="007D5E8B"/>
    <w:rsid w:val="007D712A"/>
    <w:rsid w:val="007D7C6E"/>
    <w:rsid w:val="007E08CB"/>
    <w:rsid w:val="007E1923"/>
    <w:rsid w:val="007E2151"/>
    <w:rsid w:val="007E2B56"/>
    <w:rsid w:val="007E30C0"/>
    <w:rsid w:val="007E4FD0"/>
    <w:rsid w:val="007E5AFC"/>
    <w:rsid w:val="007F0B4E"/>
    <w:rsid w:val="00803223"/>
    <w:rsid w:val="008037B2"/>
    <w:rsid w:val="008039BA"/>
    <w:rsid w:val="008040E7"/>
    <w:rsid w:val="00804B99"/>
    <w:rsid w:val="008050B1"/>
    <w:rsid w:val="00806741"/>
    <w:rsid w:val="008075AB"/>
    <w:rsid w:val="008076B7"/>
    <w:rsid w:val="0080779E"/>
    <w:rsid w:val="00810F87"/>
    <w:rsid w:val="0081142A"/>
    <w:rsid w:val="00811506"/>
    <w:rsid w:val="00813A4E"/>
    <w:rsid w:val="00814CF3"/>
    <w:rsid w:val="0081551D"/>
    <w:rsid w:val="008159FC"/>
    <w:rsid w:val="008168B7"/>
    <w:rsid w:val="00816FCB"/>
    <w:rsid w:val="00820E23"/>
    <w:rsid w:val="00822671"/>
    <w:rsid w:val="0082364D"/>
    <w:rsid w:val="008247F6"/>
    <w:rsid w:val="0082515D"/>
    <w:rsid w:val="00826069"/>
    <w:rsid w:val="0083029A"/>
    <w:rsid w:val="00830BF9"/>
    <w:rsid w:val="008311F0"/>
    <w:rsid w:val="008314A4"/>
    <w:rsid w:val="00831A6C"/>
    <w:rsid w:val="00832CE1"/>
    <w:rsid w:val="00834363"/>
    <w:rsid w:val="00835451"/>
    <w:rsid w:val="00835A9A"/>
    <w:rsid w:val="0083629E"/>
    <w:rsid w:val="008401C0"/>
    <w:rsid w:val="0084060A"/>
    <w:rsid w:val="00840C8F"/>
    <w:rsid w:val="00841EEB"/>
    <w:rsid w:val="008424BE"/>
    <w:rsid w:val="00842B5C"/>
    <w:rsid w:val="00842BD6"/>
    <w:rsid w:val="0084386A"/>
    <w:rsid w:val="008442FC"/>
    <w:rsid w:val="008454C6"/>
    <w:rsid w:val="0084728C"/>
    <w:rsid w:val="00847423"/>
    <w:rsid w:val="00850722"/>
    <w:rsid w:val="00850D69"/>
    <w:rsid w:val="00850D8D"/>
    <w:rsid w:val="00851C16"/>
    <w:rsid w:val="00852E91"/>
    <w:rsid w:val="00852F07"/>
    <w:rsid w:val="008530B9"/>
    <w:rsid w:val="00853BE4"/>
    <w:rsid w:val="008561B3"/>
    <w:rsid w:val="008562D4"/>
    <w:rsid w:val="00857C81"/>
    <w:rsid w:val="008613CC"/>
    <w:rsid w:val="00861547"/>
    <w:rsid w:val="008616B1"/>
    <w:rsid w:val="00862BD1"/>
    <w:rsid w:val="00863BD8"/>
    <w:rsid w:val="00864A0C"/>
    <w:rsid w:val="008654F7"/>
    <w:rsid w:val="008671BD"/>
    <w:rsid w:val="00871184"/>
    <w:rsid w:val="00875986"/>
    <w:rsid w:val="00877205"/>
    <w:rsid w:val="00877529"/>
    <w:rsid w:val="00880AF8"/>
    <w:rsid w:val="00881FE6"/>
    <w:rsid w:val="008821AA"/>
    <w:rsid w:val="008827B1"/>
    <w:rsid w:val="00882AD3"/>
    <w:rsid w:val="00883096"/>
    <w:rsid w:val="0088320D"/>
    <w:rsid w:val="008838FF"/>
    <w:rsid w:val="0088459E"/>
    <w:rsid w:val="0088462C"/>
    <w:rsid w:val="008867D4"/>
    <w:rsid w:val="008904E3"/>
    <w:rsid w:val="008931D2"/>
    <w:rsid w:val="00895A74"/>
    <w:rsid w:val="00896A3F"/>
    <w:rsid w:val="008A05B2"/>
    <w:rsid w:val="008A0789"/>
    <w:rsid w:val="008A0D66"/>
    <w:rsid w:val="008A0F5A"/>
    <w:rsid w:val="008A237D"/>
    <w:rsid w:val="008A4AAF"/>
    <w:rsid w:val="008A4B59"/>
    <w:rsid w:val="008A662B"/>
    <w:rsid w:val="008A7309"/>
    <w:rsid w:val="008B10A9"/>
    <w:rsid w:val="008B1737"/>
    <w:rsid w:val="008B36B2"/>
    <w:rsid w:val="008B3BDE"/>
    <w:rsid w:val="008B45AF"/>
    <w:rsid w:val="008B53BF"/>
    <w:rsid w:val="008B5F28"/>
    <w:rsid w:val="008B6522"/>
    <w:rsid w:val="008B71CF"/>
    <w:rsid w:val="008C03A9"/>
    <w:rsid w:val="008C04A5"/>
    <w:rsid w:val="008C051C"/>
    <w:rsid w:val="008C1629"/>
    <w:rsid w:val="008C2FAA"/>
    <w:rsid w:val="008C43B9"/>
    <w:rsid w:val="008C61CB"/>
    <w:rsid w:val="008D0550"/>
    <w:rsid w:val="008D0D0E"/>
    <w:rsid w:val="008D2079"/>
    <w:rsid w:val="008D37C2"/>
    <w:rsid w:val="008D38A9"/>
    <w:rsid w:val="008D38E9"/>
    <w:rsid w:val="008D5BC6"/>
    <w:rsid w:val="008D5BF3"/>
    <w:rsid w:val="008D5DE4"/>
    <w:rsid w:val="008D70C2"/>
    <w:rsid w:val="008E0340"/>
    <w:rsid w:val="008E06B4"/>
    <w:rsid w:val="008E1FC8"/>
    <w:rsid w:val="008E2BD1"/>
    <w:rsid w:val="008E460A"/>
    <w:rsid w:val="008E6D33"/>
    <w:rsid w:val="008F0093"/>
    <w:rsid w:val="008F0695"/>
    <w:rsid w:val="008F0749"/>
    <w:rsid w:val="008F18DD"/>
    <w:rsid w:val="008F238C"/>
    <w:rsid w:val="008F3919"/>
    <w:rsid w:val="008F3DF5"/>
    <w:rsid w:val="008F57CB"/>
    <w:rsid w:val="008F5A99"/>
    <w:rsid w:val="008F63B1"/>
    <w:rsid w:val="008F6F89"/>
    <w:rsid w:val="008F7ED9"/>
    <w:rsid w:val="00901853"/>
    <w:rsid w:val="00904CA7"/>
    <w:rsid w:val="0090513E"/>
    <w:rsid w:val="00906F62"/>
    <w:rsid w:val="00910032"/>
    <w:rsid w:val="00910FD3"/>
    <w:rsid w:val="009110A8"/>
    <w:rsid w:val="00911EE5"/>
    <w:rsid w:val="00912AA6"/>
    <w:rsid w:val="00914661"/>
    <w:rsid w:val="0091545B"/>
    <w:rsid w:val="0091631D"/>
    <w:rsid w:val="00921C63"/>
    <w:rsid w:val="00923C89"/>
    <w:rsid w:val="009250E8"/>
    <w:rsid w:val="0092527F"/>
    <w:rsid w:val="00925761"/>
    <w:rsid w:val="00931747"/>
    <w:rsid w:val="0093438C"/>
    <w:rsid w:val="00934905"/>
    <w:rsid w:val="00934D83"/>
    <w:rsid w:val="00935E7B"/>
    <w:rsid w:val="009364D0"/>
    <w:rsid w:val="009378F4"/>
    <w:rsid w:val="00940170"/>
    <w:rsid w:val="00940506"/>
    <w:rsid w:val="00941F58"/>
    <w:rsid w:val="00944D3D"/>
    <w:rsid w:val="00945B03"/>
    <w:rsid w:val="00947ED2"/>
    <w:rsid w:val="0095043F"/>
    <w:rsid w:val="00950B71"/>
    <w:rsid w:val="00953410"/>
    <w:rsid w:val="009538C3"/>
    <w:rsid w:val="00953CD2"/>
    <w:rsid w:val="00955482"/>
    <w:rsid w:val="00955781"/>
    <w:rsid w:val="00955BDC"/>
    <w:rsid w:val="00955C14"/>
    <w:rsid w:val="0095644B"/>
    <w:rsid w:val="00956A2F"/>
    <w:rsid w:val="00957038"/>
    <w:rsid w:val="00957219"/>
    <w:rsid w:val="0096290B"/>
    <w:rsid w:val="00964206"/>
    <w:rsid w:val="009646AE"/>
    <w:rsid w:val="0096561B"/>
    <w:rsid w:val="009657CA"/>
    <w:rsid w:val="009666A1"/>
    <w:rsid w:val="00967528"/>
    <w:rsid w:val="00971989"/>
    <w:rsid w:val="00973025"/>
    <w:rsid w:val="00973DCD"/>
    <w:rsid w:val="00974142"/>
    <w:rsid w:val="0097417B"/>
    <w:rsid w:val="00976E17"/>
    <w:rsid w:val="0097702F"/>
    <w:rsid w:val="009800E0"/>
    <w:rsid w:val="009805B3"/>
    <w:rsid w:val="00980A39"/>
    <w:rsid w:val="00981836"/>
    <w:rsid w:val="00982305"/>
    <w:rsid w:val="0098256F"/>
    <w:rsid w:val="00982CAC"/>
    <w:rsid w:val="00985830"/>
    <w:rsid w:val="00986024"/>
    <w:rsid w:val="00986D31"/>
    <w:rsid w:val="00991AA4"/>
    <w:rsid w:val="009926F3"/>
    <w:rsid w:val="0099368E"/>
    <w:rsid w:val="009947EF"/>
    <w:rsid w:val="00996597"/>
    <w:rsid w:val="00997962"/>
    <w:rsid w:val="00997B39"/>
    <w:rsid w:val="00997E3F"/>
    <w:rsid w:val="009A00AA"/>
    <w:rsid w:val="009A0399"/>
    <w:rsid w:val="009A0878"/>
    <w:rsid w:val="009A2D4F"/>
    <w:rsid w:val="009A2ED6"/>
    <w:rsid w:val="009A392C"/>
    <w:rsid w:val="009A39B2"/>
    <w:rsid w:val="009A4119"/>
    <w:rsid w:val="009A4559"/>
    <w:rsid w:val="009A49E2"/>
    <w:rsid w:val="009A57AE"/>
    <w:rsid w:val="009A5AC5"/>
    <w:rsid w:val="009A7441"/>
    <w:rsid w:val="009A7BEB"/>
    <w:rsid w:val="009A7FCF"/>
    <w:rsid w:val="009B0757"/>
    <w:rsid w:val="009B232E"/>
    <w:rsid w:val="009B29F2"/>
    <w:rsid w:val="009B4551"/>
    <w:rsid w:val="009B5707"/>
    <w:rsid w:val="009B6AD5"/>
    <w:rsid w:val="009B7841"/>
    <w:rsid w:val="009B7BA5"/>
    <w:rsid w:val="009C1177"/>
    <w:rsid w:val="009C1589"/>
    <w:rsid w:val="009C1600"/>
    <w:rsid w:val="009C21E9"/>
    <w:rsid w:val="009C30E6"/>
    <w:rsid w:val="009C31DA"/>
    <w:rsid w:val="009C3C77"/>
    <w:rsid w:val="009C3F52"/>
    <w:rsid w:val="009C48FA"/>
    <w:rsid w:val="009C5F59"/>
    <w:rsid w:val="009C7E73"/>
    <w:rsid w:val="009D0110"/>
    <w:rsid w:val="009D0216"/>
    <w:rsid w:val="009D2A57"/>
    <w:rsid w:val="009D2AFC"/>
    <w:rsid w:val="009D2EBD"/>
    <w:rsid w:val="009D5083"/>
    <w:rsid w:val="009D5B66"/>
    <w:rsid w:val="009D5B9E"/>
    <w:rsid w:val="009D67B5"/>
    <w:rsid w:val="009D6A7F"/>
    <w:rsid w:val="009E0F45"/>
    <w:rsid w:val="009E114B"/>
    <w:rsid w:val="009E307B"/>
    <w:rsid w:val="009E3EF3"/>
    <w:rsid w:val="009E48A1"/>
    <w:rsid w:val="009E4AA5"/>
    <w:rsid w:val="009E5228"/>
    <w:rsid w:val="009E54A1"/>
    <w:rsid w:val="009E7526"/>
    <w:rsid w:val="009E7EAA"/>
    <w:rsid w:val="009F1C91"/>
    <w:rsid w:val="009F6311"/>
    <w:rsid w:val="009F787C"/>
    <w:rsid w:val="00A005DD"/>
    <w:rsid w:val="00A005F0"/>
    <w:rsid w:val="00A0215E"/>
    <w:rsid w:val="00A040EE"/>
    <w:rsid w:val="00A061EC"/>
    <w:rsid w:val="00A070D8"/>
    <w:rsid w:val="00A072DC"/>
    <w:rsid w:val="00A10A43"/>
    <w:rsid w:val="00A10B97"/>
    <w:rsid w:val="00A121E3"/>
    <w:rsid w:val="00A12999"/>
    <w:rsid w:val="00A129B6"/>
    <w:rsid w:val="00A133AD"/>
    <w:rsid w:val="00A13786"/>
    <w:rsid w:val="00A1660F"/>
    <w:rsid w:val="00A16879"/>
    <w:rsid w:val="00A16ED9"/>
    <w:rsid w:val="00A17B78"/>
    <w:rsid w:val="00A17C80"/>
    <w:rsid w:val="00A20464"/>
    <w:rsid w:val="00A20634"/>
    <w:rsid w:val="00A206B9"/>
    <w:rsid w:val="00A212CC"/>
    <w:rsid w:val="00A213C3"/>
    <w:rsid w:val="00A22804"/>
    <w:rsid w:val="00A22E12"/>
    <w:rsid w:val="00A23EEF"/>
    <w:rsid w:val="00A241B1"/>
    <w:rsid w:val="00A24962"/>
    <w:rsid w:val="00A24EA5"/>
    <w:rsid w:val="00A26081"/>
    <w:rsid w:val="00A26C3D"/>
    <w:rsid w:val="00A27188"/>
    <w:rsid w:val="00A2766C"/>
    <w:rsid w:val="00A30D09"/>
    <w:rsid w:val="00A32010"/>
    <w:rsid w:val="00A3209B"/>
    <w:rsid w:val="00A32D6D"/>
    <w:rsid w:val="00A32EE4"/>
    <w:rsid w:val="00A334A8"/>
    <w:rsid w:val="00A334C3"/>
    <w:rsid w:val="00A35C03"/>
    <w:rsid w:val="00A35F42"/>
    <w:rsid w:val="00A40368"/>
    <w:rsid w:val="00A40A86"/>
    <w:rsid w:val="00A40DD3"/>
    <w:rsid w:val="00A42FB1"/>
    <w:rsid w:val="00A43AA2"/>
    <w:rsid w:val="00A44E07"/>
    <w:rsid w:val="00A45406"/>
    <w:rsid w:val="00A458C5"/>
    <w:rsid w:val="00A45AB1"/>
    <w:rsid w:val="00A463B5"/>
    <w:rsid w:val="00A475E2"/>
    <w:rsid w:val="00A47C03"/>
    <w:rsid w:val="00A50AAE"/>
    <w:rsid w:val="00A50CF4"/>
    <w:rsid w:val="00A513E9"/>
    <w:rsid w:val="00A515A0"/>
    <w:rsid w:val="00A5171D"/>
    <w:rsid w:val="00A52C19"/>
    <w:rsid w:val="00A5308F"/>
    <w:rsid w:val="00A53711"/>
    <w:rsid w:val="00A60019"/>
    <w:rsid w:val="00A60EB8"/>
    <w:rsid w:val="00A61558"/>
    <w:rsid w:val="00A627C1"/>
    <w:rsid w:val="00A66478"/>
    <w:rsid w:val="00A666B7"/>
    <w:rsid w:val="00A6740A"/>
    <w:rsid w:val="00A67D71"/>
    <w:rsid w:val="00A7025A"/>
    <w:rsid w:val="00A70D35"/>
    <w:rsid w:val="00A7111A"/>
    <w:rsid w:val="00A72258"/>
    <w:rsid w:val="00A744CD"/>
    <w:rsid w:val="00A76E7E"/>
    <w:rsid w:val="00A77154"/>
    <w:rsid w:val="00A775FB"/>
    <w:rsid w:val="00A7772E"/>
    <w:rsid w:val="00A77A86"/>
    <w:rsid w:val="00A77FB8"/>
    <w:rsid w:val="00A802E8"/>
    <w:rsid w:val="00A803B6"/>
    <w:rsid w:val="00A80CD1"/>
    <w:rsid w:val="00A8135E"/>
    <w:rsid w:val="00A8249E"/>
    <w:rsid w:val="00A83D64"/>
    <w:rsid w:val="00A847B6"/>
    <w:rsid w:val="00A85D34"/>
    <w:rsid w:val="00A86494"/>
    <w:rsid w:val="00A86658"/>
    <w:rsid w:val="00A87521"/>
    <w:rsid w:val="00A877E6"/>
    <w:rsid w:val="00A8783D"/>
    <w:rsid w:val="00A87CD4"/>
    <w:rsid w:val="00A87DC2"/>
    <w:rsid w:val="00A90177"/>
    <w:rsid w:val="00A9037F"/>
    <w:rsid w:val="00A92D2E"/>
    <w:rsid w:val="00A937DA"/>
    <w:rsid w:val="00A94A2C"/>
    <w:rsid w:val="00A95412"/>
    <w:rsid w:val="00A956E2"/>
    <w:rsid w:val="00A95E33"/>
    <w:rsid w:val="00A962A4"/>
    <w:rsid w:val="00AA0291"/>
    <w:rsid w:val="00AA48F1"/>
    <w:rsid w:val="00AA4DC4"/>
    <w:rsid w:val="00AA4E9B"/>
    <w:rsid w:val="00AA582D"/>
    <w:rsid w:val="00AB13F6"/>
    <w:rsid w:val="00AB1910"/>
    <w:rsid w:val="00AB2FC3"/>
    <w:rsid w:val="00AB3314"/>
    <w:rsid w:val="00AB44CE"/>
    <w:rsid w:val="00AB5876"/>
    <w:rsid w:val="00AB6DE0"/>
    <w:rsid w:val="00AB7ADD"/>
    <w:rsid w:val="00AC33CE"/>
    <w:rsid w:val="00AC4E89"/>
    <w:rsid w:val="00AC4F4F"/>
    <w:rsid w:val="00AD1925"/>
    <w:rsid w:val="00AD2DEA"/>
    <w:rsid w:val="00AD404E"/>
    <w:rsid w:val="00AD6C59"/>
    <w:rsid w:val="00AD7BBD"/>
    <w:rsid w:val="00AD7C8B"/>
    <w:rsid w:val="00AE0E9E"/>
    <w:rsid w:val="00AE0F0A"/>
    <w:rsid w:val="00AE0F4A"/>
    <w:rsid w:val="00AE17B2"/>
    <w:rsid w:val="00AE1F06"/>
    <w:rsid w:val="00AE2C55"/>
    <w:rsid w:val="00AE4C21"/>
    <w:rsid w:val="00AE7F1B"/>
    <w:rsid w:val="00AF0730"/>
    <w:rsid w:val="00AF0A20"/>
    <w:rsid w:val="00AF14AC"/>
    <w:rsid w:val="00AF29D5"/>
    <w:rsid w:val="00AF2CB8"/>
    <w:rsid w:val="00AF32CB"/>
    <w:rsid w:val="00AF458D"/>
    <w:rsid w:val="00AF476D"/>
    <w:rsid w:val="00AF4A30"/>
    <w:rsid w:val="00AF4E38"/>
    <w:rsid w:val="00AF6359"/>
    <w:rsid w:val="00B00B90"/>
    <w:rsid w:val="00B032A1"/>
    <w:rsid w:val="00B0518B"/>
    <w:rsid w:val="00B05B5B"/>
    <w:rsid w:val="00B05C5D"/>
    <w:rsid w:val="00B06008"/>
    <w:rsid w:val="00B062EF"/>
    <w:rsid w:val="00B0655E"/>
    <w:rsid w:val="00B07EF1"/>
    <w:rsid w:val="00B100A4"/>
    <w:rsid w:val="00B1039C"/>
    <w:rsid w:val="00B11F8D"/>
    <w:rsid w:val="00B12D49"/>
    <w:rsid w:val="00B13D2F"/>
    <w:rsid w:val="00B15DC2"/>
    <w:rsid w:val="00B20928"/>
    <w:rsid w:val="00B23A82"/>
    <w:rsid w:val="00B25762"/>
    <w:rsid w:val="00B26778"/>
    <w:rsid w:val="00B276CC"/>
    <w:rsid w:val="00B300FB"/>
    <w:rsid w:val="00B30CF0"/>
    <w:rsid w:val="00B325A7"/>
    <w:rsid w:val="00B33999"/>
    <w:rsid w:val="00B339CA"/>
    <w:rsid w:val="00B35D2E"/>
    <w:rsid w:val="00B3720E"/>
    <w:rsid w:val="00B37CEF"/>
    <w:rsid w:val="00B40341"/>
    <w:rsid w:val="00B403A4"/>
    <w:rsid w:val="00B40437"/>
    <w:rsid w:val="00B41182"/>
    <w:rsid w:val="00B4199B"/>
    <w:rsid w:val="00B43598"/>
    <w:rsid w:val="00B43A86"/>
    <w:rsid w:val="00B43C3B"/>
    <w:rsid w:val="00B44941"/>
    <w:rsid w:val="00B44B69"/>
    <w:rsid w:val="00B46076"/>
    <w:rsid w:val="00B46183"/>
    <w:rsid w:val="00B47FC9"/>
    <w:rsid w:val="00B5035B"/>
    <w:rsid w:val="00B51615"/>
    <w:rsid w:val="00B51886"/>
    <w:rsid w:val="00B51A1D"/>
    <w:rsid w:val="00B520B5"/>
    <w:rsid w:val="00B52522"/>
    <w:rsid w:val="00B5409D"/>
    <w:rsid w:val="00B54848"/>
    <w:rsid w:val="00B55633"/>
    <w:rsid w:val="00B60105"/>
    <w:rsid w:val="00B60206"/>
    <w:rsid w:val="00B6061D"/>
    <w:rsid w:val="00B60705"/>
    <w:rsid w:val="00B60753"/>
    <w:rsid w:val="00B60AC7"/>
    <w:rsid w:val="00B62658"/>
    <w:rsid w:val="00B63D7B"/>
    <w:rsid w:val="00B63E19"/>
    <w:rsid w:val="00B64E64"/>
    <w:rsid w:val="00B64F29"/>
    <w:rsid w:val="00B651F2"/>
    <w:rsid w:val="00B661F8"/>
    <w:rsid w:val="00B66458"/>
    <w:rsid w:val="00B6646E"/>
    <w:rsid w:val="00B70A2C"/>
    <w:rsid w:val="00B71911"/>
    <w:rsid w:val="00B72546"/>
    <w:rsid w:val="00B728CD"/>
    <w:rsid w:val="00B73AE5"/>
    <w:rsid w:val="00B76F86"/>
    <w:rsid w:val="00B81A46"/>
    <w:rsid w:val="00B84E66"/>
    <w:rsid w:val="00B8588C"/>
    <w:rsid w:val="00B85A19"/>
    <w:rsid w:val="00B910AA"/>
    <w:rsid w:val="00B9124F"/>
    <w:rsid w:val="00B914A1"/>
    <w:rsid w:val="00B923FC"/>
    <w:rsid w:val="00B929BB"/>
    <w:rsid w:val="00B93258"/>
    <w:rsid w:val="00B93376"/>
    <w:rsid w:val="00B936C4"/>
    <w:rsid w:val="00B93A7F"/>
    <w:rsid w:val="00B95084"/>
    <w:rsid w:val="00B956B7"/>
    <w:rsid w:val="00B963C9"/>
    <w:rsid w:val="00B966C6"/>
    <w:rsid w:val="00B96C1B"/>
    <w:rsid w:val="00B96E1E"/>
    <w:rsid w:val="00BA0B8A"/>
    <w:rsid w:val="00BA2253"/>
    <w:rsid w:val="00BA2B83"/>
    <w:rsid w:val="00BA4816"/>
    <w:rsid w:val="00BA58DD"/>
    <w:rsid w:val="00BA5FBA"/>
    <w:rsid w:val="00BA7992"/>
    <w:rsid w:val="00BA7BD6"/>
    <w:rsid w:val="00BB1645"/>
    <w:rsid w:val="00BB4B25"/>
    <w:rsid w:val="00BB5DA5"/>
    <w:rsid w:val="00BB7EBE"/>
    <w:rsid w:val="00BC1C46"/>
    <w:rsid w:val="00BC23F8"/>
    <w:rsid w:val="00BC253D"/>
    <w:rsid w:val="00BC27A0"/>
    <w:rsid w:val="00BC2894"/>
    <w:rsid w:val="00BC2E8F"/>
    <w:rsid w:val="00BC3B52"/>
    <w:rsid w:val="00BC4500"/>
    <w:rsid w:val="00BC5360"/>
    <w:rsid w:val="00BC5539"/>
    <w:rsid w:val="00BC55CE"/>
    <w:rsid w:val="00BC64A1"/>
    <w:rsid w:val="00BC65B1"/>
    <w:rsid w:val="00BC6E73"/>
    <w:rsid w:val="00BC6F4F"/>
    <w:rsid w:val="00BD070F"/>
    <w:rsid w:val="00BD0DE0"/>
    <w:rsid w:val="00BD0EF5"/>
    <w:rsid w:val="00BD106E"/>
    <w:rsid w:val="00BD1743"/>
    <w:rsid w:val="00BD18C4"/>
    <w:rsid w:val="00BD1F0F"/>
    <w:rsid w:val="00BD22E3"/>
    <w:rsid w:val="00BD2B8E"/>
    <w:rsid w:val="00BD3F83"/>
    <w:rsid w:val="00BD4D4F"/>
    <w:rsid w:val="00BD4F97"/>
    <w:rsid w:val="00BD505C"/>
    <w:rsid w:val="00BD5149"/>
    <w:rsid w:val="00BD578B"/>
    <w:rsid w:val="00BD5EF3"/>
    <w:rsid w:val="00BE0EC3"/>
    <w:rsid w:val="00BE2197"/>
    <w:rsid w:val="00BE2699"/>
    <w:rsid w:val="00BE2AB4"/>
    <w:rsid w:val="00BE32E5"/>
    <w:rsid w:val="00BE44C6"/>
    <w:rsid w:val="00BE6B70"/>
    <w:rsid w:val="00BE71BA"/>
    <w:rsid w:val="00BF0355"/>
    <w:rsid w:val="00BF1B28"/>
    <w:rsid w:val="00BF355D"/>
    <w:rsid w:val="00BF3929"/>
    <w:rsid w:val="00BF6203"/>
    <w:rsid w:val="00BF7985"/>
    <w:rsid w:val="00C00790"/>
    <w:rsid w:val="00C00AB7"/>
    <w:rsid w:val="00C01239"/>
    <w:rsid w:val="00C01560"/>
    <w:rsid w:val="00C01B88"/>
    <w:rsid w:val="00C02263"/>
    <w:rsid w:val="00C02959"/>
    <w:rsid w:val="00C031F7"/>
    <w:rsid w:val="00C03AB4"/>
    <w:rsid w:val="00C0499B"/>
    <w:rsid w:val="00C056EF"/>
    <w:rsid w:val="00C05F16"/>
    <w:rsid w:val="00C07419"/>
    <w:rsid w:val="00C07ADE"/>
    <w:rsid w:val="00C102D8"/>
    <w:rsid w:val="00C1056B"/>
    <w:rsid w:val="00C109DA"/>
    <w:rsid w:val="00C120B0"/>
    <w:rsid w:val="00C12342"/>
    <w:rsid w:val="00C1275B"/>
    <w:rsid w:val="00C12BCF"/>
    <w:rsid w:val="00C1489A"/>
    <w:rsid w:val="00C167F2"/>
    <w:rsid w:val="00C20262"/>
    <w:rsid w:val="00C20B7D"/>
    <w:rsid w:val="00C23C5F"/>
    <w:rsid w:val="00C23E61"/>
    <w:rsid w:val="00C24507"/>
    <w:rsid w:val="00C31083"/>
    <w:rsid w:val="00C31E1A"/>
    <w:rsid w:val="00C34858"/>
    <w:rsid w:val="00C35DFC"/>
    <w:rsid w:val="00C370F1"/>
    <w:rsid w:val="00C3768B"/>
    <w:rsid w:val="00C37D71"/>
    <w:rsid w:val="00C40D6B"/>
    <w:rsid w:val="00C41B87"/>
    <w:rsid w:val="00C42D7B"/>
    <w:rsid w:val="00C43744"/>
    <w:rsid w:val="00C44EEF"/>
    <w:rsid w:val="00C45C9C"/>
    <w:rsid w:val="00C4692E"/>
    <w:rsid w:val="00C479CC"/>
    <w:rsid w:val="00C503AA"/>
    <w:rsid w:val="00C5085E"/>
    <w:rsid w:val="00C51107"/>
    <w:rsid w:val="00C51950"/>
    <w:rsid w:val="00C53F53"/>
    <w:rsid w:val="00C5766B"/>
    <w:rsid w:val="00C577EE"/>
    <w:rsid w:val="00C6293C"/>
    <w:rsid w:val="00C63387"/>
    <w:rsid w:val="00C634A4"/>
    <w:rsid w:val="00C63A76"/>
    <w:rsid w:val="00C63B36"/>
    <w:rsid w:val="00C64E2E"/>
    <w:rsid w:val="00C6536B"/>
    <w:rsid w:val="00C6594C"/>
    <w:rsid w:val="00C65B0A"/>
    <w:rsid w:val="00C703A0"/>
    <w:rsid w:val="00C706E3"/>
    <w:rsid w:val="00C71061"/>
    <w:rsid w:val="00C71930"/>
    <w:rsid w:val="00C744B3"/>
    <w:rsid w:val="00C77EF9"/>
    <w:rsid w:val="00C81D7D"/>
    <w:rsid w:val="00C82001"/>
    <w:rsid w:val="00C84C6A"/>
    <w:rsid w:val="00C84D3A"/>
    <w:rsid w:val="00C852D3"/>
    <w:rsid w:val="00C85F0C"/>
    <w:rsid w:val="00C85FEC"/>
    <w:rsid w:val="00C86739"/>
    <w:rsid w:val="00C874C6"/>
    <w:rsid w:val="00C90C75"/>
    <w:rsid w:val="00C93BCC"/>
    <w:rsid w:val="00C93CB2"/>
    <w:rsid w:val="00C9510B"/>
    <w:rsid w:val="00C968A8"/>
    <w:rsid w:val="00C975B1"/>
    <w:rsid w:val="00CA1F75"/>
    <w:rsid w:val="00CA20C0"/>
    <w:rsid w:val="00CA21F8"/>
    <w:rsid w:val="00CA2C89"/>
    <w:rsid w:val="00CA38F0"/>
    <w:rsid w:val="00CA562A"/>
    <w:rsid w:val="00CA58D9"/>
    <w:rsid w:val="00CA607A"/>
    <w:rsid w:val="00CA6703"/>
    <w:rsid w:val="00CA7657"/>
    <w:rsid w:val="00CB16EC"/>
    <w:rsid w:val="00CB18FE"/>
    <w:rsid w:val="00CB2905"/>
    <w:rsid w:val="00CB361B"/>
    <w:rsid w:val="00CB3621"/>
    <w:rsid w:val="00CB4965"/>
    <w:rsid w:val="00CB58E6"/>
    <w:rsid w:val="00CB7184"/>
    <w:rsid w:val="00CB739D"/>
    <w:rsid w:val="00CC3ECB"/>
    <w:rsid w:val="00CC40B7"/>
    <w:rsid w:val="00CC505E"/>
    <w:rsid w:val="00CC51E9"/>
    <w:rsid w:val="00CC54FC"/>
    <w:rsid w:val="00CD0D1A"/>
    <w:rsid w:val="00CD38F1"/>
    <w:rsid w:val="00CD4539"/>
    <w:rsid w:val="00CD4872"/>
    <w:rsid w:val="00CD64C1"/>
    <w:rsid w:val="00CD6801"/>
    <w:rsid w:val="00CD6E19"/>
    <w:rsid w:val="00CD7296"/>
    <w:rsid w:val="00CD75B4"/>
    <w:rsid w:val="00CE1B09"/>
    <w:rsid w:val="00CE1BC2"/>
    <w:rsid w:val="00CE1F6E"/>
    <w:rsid w:val="00CE34A1"/>
    <w:rsid w:val="00CE69CA"/>
    <w:rsid w:val="00CF0765"/>
    <w:rsid w:val="00CF0A0A"/>
    <w:rsid w:val="00CF1FC3"/>
    <w:rsid w:val="00CF35D7"/>
    <w:rsid w:val="00CF60E1"/>
    <w:rsid w:val="00CF6977"/>
    <w:rsid w:val="00CF73F4"/>
    <w:rsid w:val="00D00EEE"/>
    <w:rsid w:val="00D01A98"/>
    <w:rsid w:val="00D01F03"/>
    <w:rsid w:val="00D0249A"/>
    <w:rsid w:val="00D035E9"/>
    <w:rsid w:val="00D040E4"/>
    <w:rsid w:val="00D05551"/>
    <w:rsid w:val="00D05C11"/>
    <w:rsid w:val="00D068C5"/>
    <w:rsid w:val="00D06C3C"/>
    <w:rsid w:val="00D079A8"/>
    <w:rsid w:val="00D10DB1"/>
    <w:rsid w:val="00D12428"/>
    <w:rsid w:val="00D135B5"/>
    <w:rsid w:val="00D136BA"/>
    <w:rsid w:val="00D1422A"/>
    <w:rsid w:val="00D15306"/>
    <w:rsid w:val="00D15565"/>
    <w:rsid w:val="00D179E6"/>
    <w:rsid w:val="00D17D60"/>
    <w:rsid w:val="00D203D0"/>
    <w:rsid w:val="00D20C7B"/>
    <w:rsid w:val="00D20FD6"/>
    <w:rsid w:val="00D214B1"/>
    <w:rsid w:val="00D214CA"/>
    <w:rsid w:val="00D21E10"/>
    <w:rsid w:val="00D220AD"/>
    <w:rsid w:val="00D22429"/>
    <w:rsid w:val="00D232BB"/>
    <w:rsid w:val="00D2535E"/>
    <w:rsid w:val="00D256B3"/>
    <w:rsid w:val="00D25DA8"/>
    <w:rsid w:val="00D2658C"/>
    <w:rsid w:val="00D2713D"/>
    <w:rsid w:val="00D30071"/>
    <w:rsid w:val="00D30121"/>
    <w:rsid w:val="00D31F8A"/>
    <w:rsid w:val="00D336E7"/>
    <w:rsid w:val="00D33B5A"/>
    <w:rsid w:val="00D33FE9"/>
    <w:rsid w:val="00D3483C"/>
    <w:rsid w:val="00D35809"/>
    <w:rsid w:val="00D35B01"/>
    <w:rsid w:val="00D35EF7"/>
    <w:rsid w:val="00D360D4"/>
    <w:rsid w:val="00D37669"/>
    <w:rsid w:val="00D37861"/>
    <w:rsid w:val="00D420AA"/>
    <w:rsid w:val="00D44E57"/>
    <w:rsid w:val="00D4549C"/>
    <w:rsid w:val="00D46464"/>
    <w:rsid w:val="00D46DF6"/>
    <w:rsid w:val="00D51205"/>
    <w:rsid w:val="00D5345C"/>
    <w:rsid w:val="00D53A06"/>
    <w:rsid w:val="00D54469"/>
    <w:rsid w:val="00D54D56"/>
    <w:rsid w:val="00D562D9"/>
    <w:rsid w:val="00D56307"/>
    <w:rsid w:val="00D61A51"/>
    <w:rsid w:val="00D61D01"/>
    <w:rsid w:val="00D64A2E"/>
    <w:rsid w:val="00D650C2"/>
    <w:rsid w:val="00D66E19"/>
    <w:rsid w:val="00D70C74"/>
    <w:rsid w:val="00D71116"/>
    <w:rsid w:val="00D71CF6"/>
    <w:rsid w:val="00D723BC"/>
    <w:rsid w:val="00D73126"/>
    <w:rsid w:val="00D732CA"/>
    <w:rsid w:val="00D7339C"/>
    <w:rsid w:val="00D73F59"/>
    <w:rsid w:val="00D74CEB"/>
    <w:rsid w:val="00D75904"/>
    <w:rsid w:val="00D80348"/>
    <w:rsid w:val="00D80ED1"/>
    <w:rsid w:val="00D8185D"/>
    <w:rsid w:val="00D82278"/>
    <w:rsid w:val="00D83F32"/>
    <w:rsid w:val="00D84442"/>
    <w:rsid w:val="00D84B38"/>
    <w:rsid w:val="00D851BC"/>
    <w:rsid w:val="00D86D04"/>
    <w:rsid w:val="00D8763F"/>
    <w:rsid w:val="00D87B90"/>
    <w:rsid w:val="00D909CE"/>
    <w:rsid w:val="00D909EE"/>
    <w:rsid w:val="00D93BBC"/>
    <w:rsid w:val="00D941D7"/>
    <w:rsid w:val="00D95CCB"/>
    <w:rsid w:val="00D9641F"/>
    <w:rsid w:val="00D96B1B"/>
    <w:rsid w:val="00D974B7"/>
    <w:rsid w:val="00DA016E"/>
    <w:rsid w:val="00DA0946"/>
    <w:rsid w:val="00DA10F5"/>
    <w:rsid w:val="00DA216C"/>
    <w:rsid w:val="00DA24E4"/>
    <w:rsid w:val="00DA2A29"/>
    <w:rsid w:val="00DA40F9"/>
    <w:rsid w:val="00DA410D"/>
    <w:rsid w:val="00DA547A"/>
    <w:rsid w:val="00DA60F8"/>
    <w:rsid w:val="00DA665D"/>
    <w:rsid w:val="00DA7F48"/>
    <w:rsid w:val="00DB03D3"/>
    <w:rsid w:val="00DB0715"/>
    <w:rsid w:val="00DB0BCF"/>
    <w:rsid w:val="00DB24D1"/>
    <w:rsid w:val="00DB25D2"/>
    <w:rsid w:val="00DB3EB0"/>
    <w:rsid w:val="00DB42AA"/>
    <w:rsid w:val="00DB45A3"/>
    <w:rsid w:val="00DC2DB9"/>
    <w:rsid w:val="00DC4928"/>
    <w:rsid w:val="00DC5316"/>
    <w:rsid w:val="00DC5345"/>
    <w:rsid w:val="00DC68E0"/>
    <w:rsid w:val="00DD09D9"/>
    <w:rsid w:val="00DD2197"/>
    <w:rsid w:val="00DD35D3"/>
    <w:rsid w:val="00DD4ADB"/>
    <w:rsid w:val="00DD528D"/>
    <w:rsid w:val="00DD77A5"/>
    <w:rsid w:val="00DD7FD4"/>
    <w:rsid w:val="00DE2718"/>
    <w:rsid w:val="00DE38C9"/>
    <w:rsid w:val="00DE3C55"/>
    <w:rsid w:val="00DE5431"/>
    <w:rsid w:val="00DE5A09"/>
    <w:rsid w:val="00DE6CB4"/>
    <w:rsid w:val="00DF0E29"/>
    <w:rsid w:val="00DF25B4"/>
    <w:rsid w:val="00DF25BD"/>
    <w:rsid w:val="00DF2D70"/>
    <w:rsid w:val="00DF32E0"/>
    <w:rsid w:val="00DF36E2"/>
    <w:rsid w:val="00DF51E6"/>
    <w:rsid w:val="00DF5CBB"/>
    <w:rsid w:val="00DF6397"/>
    <w:rsid w:val="00DF6E98"/>
    <w:rsid w:val="00DF71FE"/>
    <w:rsid w:val="00E00005"/>
    <w:rsid w:val="00E00BE4"/>
    <w:rsid w:val="00E027D0"/>
    <w:rsid w:val="00E0473E"/>
    <w:rsid w:val="00E049A3"/>
    <w:rsid w:val="00E04D51"/>
    <w:rsid w:val="00E056CB"/>
    <w:rsid w:val="00E05EAB"/>
    <w:rsid w:val="00E06799"/>
    <w:rsid w:val="00E0708D"/>
    <w:rsid w:val="00E07486"/>
    <w:rsid w:val="00E10ABD"/>
    <w:rsid w:val="00E11BB7"/>
    <w:rsid w:val="00E134A0"/>
    <w:rsid w:val="00E13AF5"/>
    <w:rsid w:val="00E13D83"/>
    <w:rsid w:val="00E13FC7"/>
    <w:rsid w:val="00E15650"/>
    <w:rsid w:val="00E15C37"/>
    <w:rsid w:val="00E16EBA"/>
    <w:rsid w:val="00E21C48"/>
    <w:rsid w:val="00E2278B"/>
    <w:rsid w:val="00E229B9"/>
    <w:rsid w:val="00E22EB4"/>
    <w:rsid w:val="00E22FB3"/>
    <w:rsid w:val="00E23EFF"/>
    <w:rsid w:val="00E24FCE"/>
    <w:rsid w:val="00E258FF"/>
    <w:rsid w:val="00E26E72"/>
    <w:rsid w:val="00E26F87"/>
    <w:rsid w:val="00E27660"/>
    <w:rsid w:val="00E2799D"/>
    <w:rsid w:val="00E31733"/>
    <w:rsid w:val="00E31F9A"/>
    <w:rsid w:val="00E321DA"/>
    <w:rsid w:val="00E32206"/>
    <w:rsid w:val="00E33057"/>
    <w:rsid w:val="00E34265"/>
    <w:rsid w:val="00E3620B"/>
    <w:rsid w:val="00E37BF7"/>
    <w:rsid w:val="00E401A1"/>
    <w:rsid w:val="00E42DF8"/>
    <w:rsid w:val="00E4433A"/>
    <w:rsid w:val="00E45696"/>
    <w:rsid w:val="00E46C58"/>
    <w:rsid w:val="00E5005D"/>
    <w:rsid w:val="00E502CD"/>
    <w:rsid w:val="00E5039F"/>
    <w:rsid w:val="00E51D0B"/>
    <w:rsid w:val="00E52092"/>
    <w:rsid w:val="00E521FB"/>
    <w:rsid w:val="00E536D3"/>
    <w:rsid w:val="00E53913"/>
    <w:rsid w:val="00E548DA"/>
    <w:rsid w:val="00E54CF4"/>
    <w:rsid w:val="00E54D36"/>
    <w:rsid w:val="00E5646D"/>
    <w:rsid w:val="00E63E27"/>
    <w:rsid w:val="00E64506"/>
    <w:rsid w:val="00E64AD1"/>
    <w:rsid w:val="00E64BF3"/>
    <w:rsid w:val="00E6797E"/>
    <w:rsid w:val="00E7097B"/>
    <w:rsid w:val="00E70B5C"/>
    <w:rsid w:val="00E71241"/>
    <w:rsid w:val="00E719EF"/>
    <w:rsid w:val="00E737B7"/>
    <w:rsid w:val="00E74DA7"/>
    <w:rsid w:val="00E75E52"/>
    <w:rsid w:val="00E77C7F"/>
    <w:rsid w:val="00E803A6"/>
    <w:rsid w:val="00E81643"/>
    <w:rsid w:val="00E81F08"/>
    <w:rsid w:val="00E823F0"/>
    <w:rsid w:val="00E83532"/>
    <w:rsid w:val="00E8427F"/>
    <w:rsid w:val="00E8456C"/>
    <w:rsid w:val="00E84A1D"/>
    <w:rsid w:val="00E84A5D"/>
    <w:rsid w:val="00E84BBA"/>
    <w:rsid w:val="00E84FBD"/>
    <w:rsid w:val="00E864BA"/>
    <w:rsid w:val="00E875A4"/>
    <w:rsid w:val="00E90EB3"/>
    <w:rsid w:val="00E9145E"/>
    <w:rsid w:val="00E920FB"/>
    <w:rsid w:val="00E92286"/>
    <w:rsid w:val="00E924A8"/>
    <w:rsid w:val="00E959C2"/>
    <w:rsid w:val="00E96216"/>
    <w:rsid w:val="00E96B79"/>
    <w:rsid w:val="00E97F34"/>
    <w:rsid w:val="00EA07A8"/>
    <w:rsid w:val="00EA13E7"/>
    <w:rsid w:val="00EA14D5"/>
    <w:rsid w:val="00EA17B0"/>
    <w:rsid w:val="00EA1FD9"/>
    <w:rsid w:val="00EA2507"/>
    <w:rsid w:val="00EA2C5E"/>
    <w:rsid w:val="00EA3D60"/>
    <w:rsid w:val="00EA61D4"/>
    <w:rsid w:val="00EA6341"/>
    <w:rsid w:val="00EA6713"/>
    <w:rsid w:val="00EA6F61"/>
    <w:rsid w:val="00EA7DB9"/>
    <w:rsid w:val="00EA7ECD"/>
    <w:rsid w:val="00EB02E8"/>
    <w:rsid w:val="00EB2B45"/>
    <w:rsid w:val="00EB3689"/>
    <w:rsid w:val="00EB394C"/>
    <w:rsid w:val="00EB3A55"/>
    <w:rsid w:val="00EB3D5A"/>
    <w:rsid w:val="00EB3D6D"/>
    <w:rsid w:val="00EB5326"/>
    <w:rsid w:val="00EB59F5"/>
    <w:rsid w:val="00EB5E1A"/>
    <w:rsid w:val="00EB5F7F"/>
    <w:rsid w:val="00EB657C"/>
    <w:rsid w:val="00EB7543"/>
    <w:rsid w:val="00EC02FB"/>
    <w:rsid w:val="00EC0BD6"/>
    <w:rsid w:val="00EC233B"/>
    <w:rsid w:val="00EC27BF"/>
    <w:rsid w:val="00EC2BB5"/>
    <w:rsid w:val="00EC32B1"/>
    <w:rsid w:val="00EC36DD"/>
    <w:rsid w:val="00EC5EE5"/>
    <w:rsid w:val="00EC630B"/>
    <w:rsid w:val="00ED0417"/>
    <w:rsid w:val="00ED10E2"/>
    <w:rsid w:val="00ED3072"/>
    <w:rsid w:val="00ED359B"/>
    <w:rsid w:val="00ED5C4C"/>
    <w:rsid w:val="00ED5C79"/>
    <w:rsid w:val="00ED6660"/>
    <w:rsid w:val="00EE0440"/>
    <w:rsid w:val="00EE0FC8"/>
    <w:rsid w:val="00EE39B6"/>
    <w:rsid w:val="00EE40D8"/>
    <w:rsid w:val="00EE4172"/>
    <w:rsid w:val="00EE581A"/>
    <w:rsid w:val="00EE59BB"/>
    <w:rsid w:val="00EE7953"/>
    <w:rsid w:val="00EF013F"/>
    <w:rsid w:val="00EF4A08"/>
    <w:rsid w:val="00EF4D7A"/>
    <w:rsid w:val="00EF733D"/>
    <w:rsid w:val="00EF7817"/>
    <w:rsid w:val="00F017AE"/>
    <w:rsid w:val="00F02C01"/>
    <w:rsid w:val="00F04FD5"/>
    <w:rsid w:val="00F05669"/>
    <w:rsid w:val="00F07CAA"/>
    <w:rsid w:val="00F10252"/>
    <w:rsid w:val="00F105FD"/>
    <w:rsid w:val="00F10FEB"/>
    <w:rsid w:val="00F11384"/>
    <w:rsid w:val="00F13A34"/>
    <w:rsid w:val="00F1478E"/>
    <w:rsid w:val="00F15344"/>
    <w:rsid w:val="00F159BB"/>
    <w:rsid w:val="00F15C15"/>
    <w:rsid w:val="00F20C2B"/>
    <w:rsid w:val="00F2127B"/>
    <w:rsid w:val="00F242B9"/>
    <w:rsid w:val="00F24665"/>
    <w:rsid w:val="00F25321"/>
    <w:rsid w:val="00F2733D"/>
    <w:rsid w:val="00F3064E"/>
    <w:rsid w:val="00F30C02"/>
    <w:rsid w:val="00F3190B"/>
    <w:rsid w:val="00F35556"/>
    <w:rsid w:val="00F362DF"/>
    <w:rsid w:val="00F37941"/>
    <w:rsid w:val="00F40A50"/>
    <w:rsid w:val="00F40A54"/>
    <w:rsid w:val="00F42300"/>
    <w:rsid w:val="00F43DEA"/>
    <w:rsid w:val="00F4445F"/>
    <w:rsid w:val="00F45609"/>
    <w:rsid w:val="00F46910"/>
    <w:rsid w:val="00F470E8"/>
    <w:rsid w:val="00F500DA"/>
    <w:rsid w:val="00F512CB"/>
    <w:rsid w:val="00F52A17"/>
    <w:rsid w:val="00F53A9B"/>
    <w:rsid w:val="00F54096"/>
    <w:rsid w:val="00F540C2"/>
    <w:rsid w:val="00F54147"/>
    <w:rsid w:val="00F54C07"/>
    <w:rsid w:val="00F54E10"/>
    <w:rsid w:val="00F553A7"/>
    <w:rsid w:val="00F55C0E"/>
    <w:rsid w:val="00F60F44"/>
    <w:rsid w:val="00F6168A"/>
    <w:rsid w:val="00F61769"/>
    <w:rsid w:val="00F6302C"/>
    <w:rsid w:val="00F6304B"/>
    <w:rsid w:val="00F63116"/>
    <w:rsid w:val="00F63C36"/>
    <w:rsid w:val="00F65EDB"/>
    <w:rsid w:val="00F66059"/>
    <w:rsid w:val="00F663B9"/>
    <w:rsid w:val="00F66654"/>
    <w:rsid w:val="00F675C1"/>
    <w:rsid w:val="00F713F2"/>
    <w:rsid w:val="00F71B54"/>
    <w:rsid w:val="00F7214E"/>
    <w:rsid w:val="00F72BDB"/>
    <w:rsid w:val="00F72FA4"/>
    <w:rsid w:val="00F737FD"/>
    <w:rsid w:val="00F7772B"/>
    <w:rsid w:val="00F7782F"/>
    <w:rsid w:val="00F80261"/>
    <w:rsid w:val="00F816C4"/>
    <w:rsid w:val="00F81FB1"/>
    <w:rsid w:val="00F82BE0"/>
    <w:rsid w:val="00F83CAE"/>
    <w:rsid w:val="00F8465C"/>
    <w:rsid w:val="00F84FD8"/>
    <w:rsid w:val="00F85042"/>
    <w:rsid w:val="00F86643"/>
    <w:rsid w:val="00F87BD5"/>
    <w:rsid w:val="00F90058"/>
    <w:rsid w:val="00F90A26"/>
    <w:rsid w:val="00F911F4"/>
    <w:rsid w:val="00F9398A"/>
    <w:rsid w:val="00F95E7E"/>
    <w:rsid w:val="00F97134"/>
    <w:rsid w:val="00F97F62"/>
    <w:rsid w:val="00FA0093"/>
    <w:rsid w:val="00FA253F"/>
    <w:rsid w:val="00FA3BE5"/>
    <w:rsid w:val="00FA4617"/>
    <w:rsid w:val="00FA4FEC"/>
    <w:rsid w:val="00FA531F"/>
    <w:rsid w:val="00FA5334"/>
    <w:rsid w:val="00FA69BD"/>
    <w:rsid w:val="00FB0391"/>
    <w:rsid w:val="00FB0500"/>
    <w:rsid w:val="00FB12B5"/>
    <w:rsid w:val="00FB1490"/>
    <w:rsid w:val="00FB3AD1"/>
    <w:rsid w:val="00FB3DC8"/>
    <w:rsid w:val="00FB41BE"/>
    <w:rsid w:val="00FB41E2"/>
    <w:rsid w:val="00FB71A9"/>
    <w:rsid w:val="00FB7467"/>
    <w:rsid w:val="00FB74FA"/>
    <w:rsid w:val="00FC0C0B"/>
    <w:rsid w:val="00FC1C9D"/>
    <w:rsid w:val="00FC2D9C"/>
    <w:rsid w:val="00FC3EAB"/>
    <w:rsid w:val="00FC40D0"/>
    <w:rsid w:val="00FC45E9"/>
    <w:rsid w:val="00FC4DF2"/>
    <w:rsid w:val="00FC6D0A"/>
    <w:rsid w:val="00FC717E"/>
    <w:rsid w:val="00FC78AA"/>
    <w:rsid w:val="00FD2A35"/>
    <w:rsid w:val="00FD2D11"/>
    <w:rsid w:val="00FD3664"/>
    <w:rsid w:val="00FD3720"/>
    <w:rsid w:val="00FD489C"/>
    <w:rsid w:val="00FD6EFA"/>
    <w:rsid w:val="00FD768B"/>
    <w:rsid w:val="00FD7F99"/>
    <w:rsid w:val="00FE15C3"/>
    <w:rsid w:val="00FE2369"/>
    <w:rsid w:val="00FE25B7"/>
    <w:rsid w:val="00FE2F0E"/>
    <w:rsid w:val="00FE31C4"/>
    <w:rsid w:val="00FE424A"/>
    <w:rsid w:val="00FE48F7"/>
    <w:rsid w:val="00FE4C18"/>
    <w:rsid w:val="00FE510B"/>
    <w:rsid w:val="00FE5D1D"/>
    <w:rsid w:val="00FE72D1"/>
    <w:rsid w:val="00FE73A1"/>
    <w:rsid w:val="00FE7B4C"/>
    <w:rsid w:val="00FF0154"/>
    <w:rsid w:val="00FF05C6"/>
    <w:rsid w:val="00FF08EB"/>
    <w:rsid w:val="00FF1022"/>
    <w:rsid w:val="00FF1921"/>
    <w:rsid w:val="00FF25A9"/>
    <w:rsid w:val="00FF380B"/>
    <w:rsid w:val="00FF46C5"/>
    <w:rsid w:val="00FF47A3"/>
    <w:rsid w:val="00FF4A12"/>
    <w:rsid w:val="00FF5894"/>
    <w:rsid w:val="00FF58A4"/>
    <w:rsid w:val="00FF60C1"/>
    <w:rsid w:val="00FF6F38"/>
    <w:rsid w:val="00FF7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14:docId w14:val="5044C563"/>
  <w15:chartTrackingRefBased/>
  <w15:docId w15:val="{6F25B23F-F155-4240-B4F5-2D75334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E7"/>
    <w:rPr>
      <w:rFonts w:ascii="Arial" w:eastAsia="Calibri" w:hAnsi="Arial" w:cs="Times New Roman"/>
    </w:rPr>
  </w:style>
  <w:style w:type="paragraph" w:styleId="Heading1">
    <w:name w:val="heading 1"/>
    <w:basedOn w:val="Normal"/>
    <w:next w:val="Normal"/>
    <w:link w:val="Heading1Char"/>
    <w:uiPriority w:val="9"/>
    <w:qFormat/>
    <w:rsid w:val="005874E7"/>
    <w:pPr>
      <w:keepNext/>
      <w:outlineLvl w:val="0"/>
    </w:pPr>
    <w:rPr>
      <w:rFonts w:cs="Arial"/>
      <w:b/>
      <w:caps/>
    </w:rPr>
  </w:style>
  <w:style w:type="paragraph" w:styleId="Heading2">
    <w:name w:val="heading 2"/>
    <w:basedOn w:val="Normal"/>
    <w:next w:val="Normal"/>
    <w:link w:val="Heading2Char"/>
    <w:uiPriority w:val="9"/>
    <w:qFormat/>
    <w:rsid w:val="005874E7"/>
    <w:pPr>
      <w:keepNext/>
      <w:outlineLvl w:val="1"/>
    </w:pPr>
    <w:rPr>
      <w:rFonts w:cs="Arial"/>
      <w:b/>
    </w:rPr>
  </w:style>
  <w:style w:type="paragraph" w:styleId="Heading3">
    <w:name w:val="heading 3"/>
    <w:basedOn w:val="Normal"/>
    <w:next w:val="Normal"/>
    <w:link w:val="Heading3Char"/>
    <w:uiPriority w:val="9"/>
    <w:qFormat/>
    <w:rsid w:val="005874E7"/>
    <w:pPr>
      <w:keepNext/>
      <w:outlineLvl w:val="2"/>
    </w:pPr>
    <w:rPr>
      <w:rFonts w:cs="Arial"/>
      <w:b/>
      <w:i/>
    </w:rPr>
  </w:style>
  <w:style w:type="paragraph" w:styleId="Heading4">
    <w:name w:val="heading 4"/>
    <w:basedOn w:val="Normal"/>
    <w:next w:val="Normal"/>
    <w:link w:val="Heading4Char"/>
    <w:uiPriority w:val="9"/>
    <w:qFormat/>
    <w:rsid w:val="005874E7"/>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E7"/>
    <w:rPr>
      <w:rFonts w:ascii="Arial" w:eastAsia="Calibri" w:hAnsi="Arial" w:cs="Arial"/>
      <w:b/>
      <w:caps/>
    </w:rPr>
  </w:style>
  <w:style w:type="character" w:customStyle="1" w:styleId="Heading2Char">
    <w:name w:val="Heading 2 Char"/>
    <w:basedOn w:val="DefaultParagraphFont"/>
    <w:link w:val="Heading2"/>
    <w:uiPriority w:val="9"/>
    <w:rsid w:val="005874E7"/>
    <w:rPr>
      <w:rFonts w:ascii="Arial" w:eastAsia="Calibri" w:hAnsi="Arial" w:cs="Arial"/>
      <w:b/>
    </w:rPr>
  </w:style>
  <w:style w:type="character" w:customStyle="1" w:styleId="Heading3Char">
    <w:name w:val="Heading 3 Char"/>
    <w:basedOn w:val="DefaultParagraphFont"/>
    <w:link w:val="Heading3"/>
    <w:uiPriority w:val="9"/>
    <w:rsid w:val="005874E7"/>
    <w:rPr>
      <w:rFonts w:ascii="Arial" w:eastAsia="Calibri" w:hAnsi="Arial" w:cs="Arial"/>
      <w:b/>
      <w:i/>
    </w:rPr>
  </w:style>
  <w:style w:type="character" w:customStyle="1" w:styleId="Heading4Char">
    <w:name w:val="Heading 4 Char"/>
    <w:basedOn w:val="DefaultParagraphFont"/>
    <w:link w:val="Heading4"/>
    <w:uiPriority w:val="9"/>
    <w:rsid w:val="005874E7"/>
    <w:rPr>
      <w:rFonts w:ascii="Arial" w:eastAsia="Calibri" w:hAnsi="Arial" w:cs="Arial"/>
      <w:i/>
    </w:rPr>
  </w:style>
  <w:style w:type="paragraph" w:styleId="Header">
    <w:name w:val="header"/>
    <w:basedOn w:val="Normal"/>
    <w:link w:val="HeaderChar"/>
    <w:uiPriority w:val="99"/>
    <w:unhideWhenUsed/>
    <w:rsid w:val="0058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4E7"/>
    <w:rPr>
      <w:rFonts w:ascii="Arial" w:eastAsia="Calibri" w:hAnsi="Arial" w:cs="Times New Roman"/>
    </w:rPr>
  </w:style>
  <w:style w:type="paragraph" w:styleId="Footer">
    <w:name w:val="footer"/>
    <w:basedOn w:val="Normal"/>
    <w:link w:val="FooterChar"/>
    <w:uiPriority w:val="99"/>
    <w:unhideWhenUsed/>
    <w:rsid w:val="0058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E7"/>
    <w:rPr>
      <w:rFonts w:ascii="Arial" w:eastAsia="Calibri" w:hAnsi="Arial" w:cs="Times New Roman"/>
    </w:rPr>
  </w:style>
  <w:style w:type="paragraph" w:styleId="BalloonText">
    <w:name w:val="Balloon Text"/>
    <w:basedOn w:val="Normal"/>
    <w:link w:val="BalloonTextChar"/>
    <w:uiPriority w:val="99"/>
    <w:semiHidden/>
    <w:unhideWhenUsed/>
    <w:rsid w:val="0058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E7"/>
    <w:rPr>
      <w:rFonts w:ascii="Tahoma" w:eastAsia="Calibri" w:hAnsi="Tahoma" w:cs="Tahoma"/>
      <w:sz w:val="16"/>
      <w:szCs w:val="16"/>
    </w:rPr>
  </w:style>
  <w:style w:type="numbering" w:customStyle="1" w:styleId="KeyPoints">
    <w:name w:val="Key Points"/>
    <w:basedOn w:val="NoList"/>
    <w:uiPriority w:val="99"/>
    <w:rsid w:val="005874E7"/>
    <w:pPr>
      <w:numPr>
        <w:numId w:val="1"/>
      </w:numPr>
    </w:pPr>
  </w:style>
  <w:style w:type="paragraph" w:customStyle="1" w:styleId="1NumberedPointsStyle">
    <w:name w:val="1. Numbered Points Style"/>
    <w:basedOn w:val="ListParagraph"/>
    <w:rsid w:val="005874E7"/>
    <w:pPr>
      <w:numPr>
        <w:numId w:val="0"/>
      </w:numPr>
    </w:pPr>
  </w:style>
  <w:style w:type="numbering" w:customStyle="1" w:styleId="BulletList">
    <w:name w:val="Bullet List"/>
    <w:uiPriority w:val="99"/>
    <w:rsid w:val="005874E7"/>
    <w:pPr>
      <w:numPr>
        <w:numId w:val="2"/>
      </w:numPr>
    </w:pPr>
  </w:style>
  <w:style w:type="paragraph" w:customStyle="1" w:styleId="1BulletStyleList">
    <w:name w:val="1. Bullet Style List"/>
    <w:basedOn w:val="Normal"/>
    <w:rsid w:val="005874E7"/>
    <w:pPr>
      <w:spacing w:line="240" w:lineRule="auto"/>
    </w:pPr>
    <w:rPr>
      <w:rFonts w:eastAsia="Times New Roman"/>
      <w:szCs w:val="20"/>
      <w:lang w:eastAsia="en-AU"/>
    </w:rPr>
  </w:style>
  <w:style w:type="paragraph" w:styleId="ListBullet">
    <w:name w:val="List Bullet"/>
    <w:basedOn w:val="Normal"/>
    <w:uiPriority w:val="99"/>
    <w:unhideWhenUsed/>
    <w:qFormat/>
    <w:rsid w:val="005874E7"/>
    <w:pPr>
      <w:numPr>
        <w:numId w:val="15"/>
      </w:numPr>
      <w:tabs>
        <w:tab w:val="clear" w:pos="360"/>
      </w:tabs>
      <w:ind w:left="369" w:hanging="369"/>
    </w:pPr>
  </w:style>
  <w:style w:type="paragraph" w:styleId="ListBullet2">
    <w:name w:val="List Bullet 2"/>
    <w:basedOn w:val="Normal"/>
    <w:uiPriority w:val="99"/>
    <w:unhideWhenUsed/>
    <w:rsid w:val="005874E7"/>
    <w:pPr>
      <w:numPr>
        <w:ilvl w:val="1"/>
        <w:numId w:val="6"/>
      </w:numPr>
    </w:pPr>
  </w:style>
  <w:style w:type="paragraph" w:styleId="ListBullet3">
    <w:name w:val="List Bullet 3"/>
    <w:basedOn w:val="Normal"/>
    <w:uiPriority w:val="99"/>
    <w:unhideWhenUsed/>
    <w:rsid w:val="005874E7"/>
    <w:pPr>
      <w:numPr>
        <w:ilvl w:val="2"/>
        <w:numId w:val="6"/>
      </w:numPr>
    </w:pPr>
  </w:style>
  <w:style w:type="paragraph" w:styleId="ListBullet4">
    <w:name w:val="List Bullet 4"/>
    <w:basedOn w:val="Normal"/>
    <w:uiPriority w:val="99"/>
    <w:unhideWhenUsed/>
    <w:rsid w:val="005874E7"/>
    <w:pPr>
      <w:numPr>
        <w:ilvl w:val="3"/>
        <w:numId w:val="6"/>
      </w:numPr>
    </w:pPr>
  </w:style>
  <w:style w:type="paragraph" w:styleId="ListBullet5">
    <w:name w:val="List Bullet 5"/>
    <w:basedOn w:val="Normal"/>
    <w:uiPriority w:val="99"/>
    <w:unhideWhenUsed/>
    <w:rsid w:val="005874E7"/>
    <w:pPr>
      <w:ind w:left="369" w:hanging="369"/>
    </w:pPr>
  </w:style>
  <w:style w:type="numbering" w:customStyle="1" w:styleId="Attach">
    <w:name w:val="Attach"/>
    <w:basedOn w:val="NoList"/>
    <w:uiPriority w:val="99"/>
    <w:rsid w:val="005874E7"/>
    <w:pPr>
      <w:numPr>
        <w:numId w:val="3"/>
      </w:numPr>
    </w:pPr>
  </w:style>
  <w:style w:type="paragraph" w:customStyle="1" w:styleId="Classification">
    <w:name w:val="Classification"/>
    <w:basedOn w:val="Normal"/>
    <w:uiPriority w:val="10"/>
    <w:qFormat/>
    <w:rsid w:val="005874E7"/>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1 heading,Bulleted Para,CV text,DDM Gen Text,Dot pt,F5 List Paragraph,FooterText,L,List Paragraph1,List Paragraph11,List Paragraph111,List Paragraph2,Medium Grid 1 - Accent 21,NFP GP Bulleted List,Numbered Paragraph,Recommendation"/>
    <w:basedOn w:val="Normal"/>
    <w:link w:val="ListParagraphChar"/>
    <w:uiPriority w:val="34"/>
    <w:qFormat/>
    <w:rsid w:val="005874E7"/>
    <w:pPr>
      <w:numPr>
        <w:numId w:val="4"/>
      </w:numPr>
    </w:pPr>
  </w:style>
  <w:style w:type="character" w:styleId="BookTitle">
    <w:name w:val="Book Title"/>
    <w:basedOn w:val="DefaultParagraphFont"/>
    <w:uiPriority w:val="33"/>
    <w:rsid w:val="005874E7"/>
    <w:rPr>
      <w:bCs/>
      <w:i/>
      <w:smallCaps/>
      <w:spacing w:val="5"/>
    </w:rPr>
  </w:style>
  <w:style w:type="paragraph" w:styleId="ListNumber">
    <w:name w:val="List Number"/>
    <w:basedOn w:val="Normal"/>
    <w:uiPriority w:val="99"/>
    <w:qFormat/>
    <w:rsid w:val="005874E7"/>
    <w:pPr>
      <w:numPr>
        <w:numId w:val="5"/>
      </w:numPr>
    </w:pPr>
  </w:style>
  <w:style w:type="paragraph" w:styleId="ListNumber2">
    <w:name w:val="List Number 2"/>
    <w:basedOn w:val="Normal"/>
    <w:uiPriority w:val="99"/>
    <w:rsid w:val="005874E7"/>
    <w:pPr>
      <w:numPr>
        <w:ilvl w:val="1"/>
        <w:numId w:val="5"/>
      </w:numPr>
    </w:pPr>
  </w:style>
  <w:style w:type="paragraph" w:styleId="ListNumber3">
    <w:name w:val="List Number 3"/>
    <w:basedOn w:val="Normal"/>
    <w:uiPriority w:val="99"/>
    <w:rsid w:val="005874E7"/>
    <w:pPr>
      <w:numPr>
        <w:ilvl w:val="2"/>
        <w:numId w:val="5"/>
      </w:numPr>
    </w:pPr>
  </w:style>
  <w:style w:type="paragraph" w:styleId="ListNumber4">
    <w:name w:val="List Number 4"/>
    <w:basedOn w:val="Normal"/>
    <w:uiPriority w:val="99"/>
    <w:rsid w:val="005874E7"/>
    <w:pPr>
      <w:numPr>
        <w:ilvl w:val="3"/>
        <w:numId w:val="5"/>
      </w:numPr>
    </w:pPr>
  </w:style>
  <w:style w:type="paragraph" w:styleId="ListNumber5">
    <w:name w:val="List Number 5"/>
    <w:basedOn w:val="Normal"/>
    <w:uiPriority w:val="99"/>
    <w:rsid w:val="005874E7"/>
    <w:pPr>
      <w:numPr>
        <w:ilvl w:val="4"/>
        <w:numId w:val="5"/>
      </w:numPr>
    </w:pPr>
  </w:style>
  <w:style w:type="paragraph" w:customStyle="1" w:styleId="Footerclassification">
    <w:name w:val="Footer classification"/>
    <w:basedOn w:val="Classification"/>
    <w:rsid w:val="005874E7"/>
    <w:pPr>
      <w:spacing w:before="240" w:after="0"/>
    </w:pPr>
  </w:style>
  <w:style w:type="table" w:styleId="TableGrid">
    <w:name w:val="Table Grid"/>
    <w:basedOn w:val="TableNormal"/>
    <w:uiPriority w:val="59"/>
    <w:rsid w:val="005874E7"/>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874E7"/>
    <w:pPr>
      <w:spacing w:after="0"/>
    </w:pPr>
  </w:style>
  <w:style w:type="paragraph" w:customStyle="1" w:styleId="Classificationsensitivity">
    <w:name w:val="Classification sensitivity"/>
    <w:basedOn w:val="Classification"/>
    <w:rsid w:val="005874E7"/>
    <w:rPr>
      <w:sz w:val="22"/>
    </w:rPr>
  </w:style>
  <w:style w:type="paragraph" w:styleId="NoSpacing">
    <w:name w:val="No Spacing"/>
    <w:link w:val="NoSpacingChar"/>
    <w:uiPriority w:val="1"/>
    <w:qFormat/>
    <w:rsid w:val="005874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74E7"/>
    <w:rPr>
      <w:rFonts w:eastAsiaTheme="minorEastAsia"/>
      <w:lang w:val="en-US"/>
    </w:rPr>
  </w:style>
  <w:style w:type="table" w:styleId="LightList-Accent2">
    <w:name w:val="Light List Accent 2"/>
    <w:basedOn w:val="TableNormal"/>
    <w:uiPriority w:val="61"/>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874E7"/>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874E7"/>
    <w:pPr>
      <w:spacing w:after="0"/>
      <w:ind w:left="440"/>
    </w:pPr>
    <w:rPr>
      <w:rFonts w:asciiTheme="minorHAnsi" w:hAnsiTheme="minorHAnsi"/>
      <w:i/>
      <w:iCs/>
      <w:sz w:val="20"/>
      <w:szCs w:val="20"/>
    </w:rPr>
  </w:style>
  <w:style w:type="character" w:styleId="Hyperlink">
    <w:name w:val="Hyperlink"/>
    <w:basedOn w:val="DefaultParagraphFont"/>
    <w:uiPriority w:val="99"/>
    <w:unhideWhenUsed/>
    <w:rsid w:val="005874E7"/>
    <w:rPr>
      <w:color w:val="0000FF" w:themeColor="hyperlink"/>
      <w:u w:val="single"/>
    </w:rPr>
  </w:style>
  <w:style w:type="paragraph" w:styleId="TOC1">
    <w:name w:val="toc 1"/>
    <w:basedOn w:val="Normal"/>
    <w:next w:val="Normal"/>
    <w:autoRedefine/>
    <w:uiPriority w:val="39"/>
    <w:unhideWhenUsed/>
    <w:rsid w:val="00BB5DA5"/>
    <w:pPr>
      <w:tabs>
        <w:tab w:val="right" w:leader="dot" w:pos="10456"/>
      </w:tabs>
      <w:spacing w:before="120" w:after="120"/>
    </w:pPr>
    <w:rPr>
      <w:rFonts w:asciiTheme="minorHAnsi" w:hAnsiTheme="minorHAnsi"/>
      <w:b/>
      <w:bCs/>
      <w:caps/>
      <w:sz w:val="20"/>
      <w:szCs w:val="20"/>
    </w:rPr>
  </w:style>
  <w:style w:type="paragraph" w:styleId="NormalWeb">
    <w:name w:val="Normal (Web)"/>
    <w:basedOn w:val="Normal"/>
    <w:uiPriority w:val="99"/>
    <w:unhideWhenUsed/>
    <w:rsid w:val="005874E7"/>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874E7"/>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scrread">
    <w:name w:val="scrread"/>
    <w:basedOn w:val="Normal"/>
    <w:rsid w:val="005874E7"/>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unhideWhenUsed/>
    <w:qFormat/>
    <w:rsid w:val="005874E7"/>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table" w:customStyle="1" w:styleId="GridTable2-Accent61">
    <w:name w:val="Grid Table 2 - Accent 61"/>
    <w:basedOn w:val="TableNormal"/>
    <w:uiPriority w:val="47"/>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 Accent 61"/>
    <w:basedOn w:val="TableNormal"/>
    <w:uiPriority w:val="50"/>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5874E7"/>
    <w:rPr>
      <w:color w:val="800080" w:themeColor="followedHyperlink"/>
      <w:u w:val="single"/>
    </w:rPr>
  </w:style>
  <w:style w:type="character" w:styleId="CommentReference">
    <w:name w:val="annotation reference"/>
    <w:basedOn w:val="DefaultParagraphFont"/>
    <w:uiPriority w:val="99"/>
    <w:semiHidden/>
    <w:unhideWhenUsed/>
    <w:rsid w:val="005874E7"/>
    <w:rPr>
      <w:sz w:val="16"/>
      <w:szCs w:val="16"/>
    </w:rPr>
  </w:style>
  <w:style w:type="paragraph" w:styleId="CommentText">
    <w:name w:val="annotation text"/>
    <w:basedOn w:val="Normal"/>
    <w:link w:val="CommentTextChar"/>
    <w:uiPriority w:val="99"/>
    <w:semiHidden/>
    <w:unhideWhenUsed/>
    <w:rsid w:val="005874E7"/>
    <w:pPr>
      <w:spacing w:line="240" w:lineRule="auto"/>
    </w:pPr>
    <w:rPr>
      <w:sz w:val="20"/>
      <w:szCs w:val="20"/>
    </w:rPr>
  </w:style>
  <w:style w:type="character" w:customStyle="1" w:styleId="CommentTextChar">
    <w:name w:val="Comment Text Char"/>
    <w:basedOn w:val="DefaultParagraphFont"/>
    <w:link w:val="CommentText"/>
    <w:uiPriority w:val="99"/>
    <w:semiHidden/>
    <w:rsid w:val="005874E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874E7"/>
    <w:rPr>
      <w:b/>
      <w:bCs/>
    </w:rPr>
  </w:style>
  <w:style w:type="character" w:customStyle="1" w:styleId="CommentSubjectChar">
    <w:name w:val="Comment Subject Char"/>
    <w:basedOn w:val="CommentTextChar"/>
    <w:link w:val="CommentSubject"/>
    <w:uiPriority w:val="99"/>
    <w:semiHidden/>
    <w:rsid w:val="005874E7"/>
    <w:rPr>
      <w:rFonts w:ascii="Arial" w:eastAsia="Calibri" w:hAnsi="Arial" w:cs="Times New Roman"/>
      <w:b/>
      <w:bCs/>
      <w:sz w:val="20"/>
      <w:szCs w:val="20"/>
    </w:rPr>
  </w:style>
  <w:style w:type="paragraph" w:styleId="Revision">
    <w:name w:val="Revision"/>
    <w:hidden/>
    <w:uiPriority w:val="99"/>
    <w:semiHidden/>
    <w:rsid w:val="005874E7"/>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587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4E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5874E7"/>
    <w:rPr>
      <w:vertAlign w:val="superscript"/>
    </w:rPr>
  </w:style>
  <w:style w:type="character" w:customStyle="1" w:styleId="tgc">
    <w:name w:val="_tgc"/>
    <w:basedOn w:val="DefaultParagraphFont"/>
    <w:rsid w:val="005874E7"/>
  </w:style>
  <w:style w:type="character" w:customStyle="1" w:styleId="st1">
    <w:name w:val="st1"/>
    <w:basedOn w:val="DefaultParagraphFont"/>
    <w:rsid w:val="005874E7"/>
  </w:style>
  <w:style w:type="paragraph" w:styleId="TOC4">
    <w:name w:val="toc 4"/>
    <w:basedOn w:val="Normal"/>
    <w:next w:val="Normal"/>
    <w:autoRedefine/>
    <w:uiPriority w:val="39"/>
    <w:unhideWhenUsed/>
    <w:rsid w:val="005874E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874E7"/>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874E7"/>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874E7"/>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874E7"/>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874E7"/>
    <w:pPr>
      <w:spacing w:after="0"/>
      <w:ind w:left="1760"/>
    </w:pPr>
    <w:rPr>
      <w:rFonts w:asciiTheme="minorHAnsi" w:hAnsiTheme="minorHAnsi"/>
      <w:sz w:val="18"/>
      <w:szCs w:val="18"/>
    </w:rPr>
  </w:style>
  <w:style w:type="character" w:styleId="Strong">
    <w:name w:val="Strong"/>
    <w:basedOn w:val="DefaultParagraphFont"/>
    <w:uiPriority w:val="22"/>
    <w:qFormat/>
    <w:rsid w:val="005874E7"/>
    <w:rPr>
      <w:b/>
      <w:bCs/>
    </w:rPr>
  </w:style>
  <w:style w:type="character" w:styleId="Emphasis">
    <w:name w:val="Emphasis"/>
    <w:basedOn w:val="DefaultParagraphFont"/>
    <w:uiPriority w:val="20"/>
    <w:qFormat/>
    <w:rsid w:val="005874E7"/>
    <w:rPr>
      <w:i/>
      <w:iCs/>
    </w:rPr>
  </w:style>
  <w:style w:type="character" w:customStyle="1" w:styleId="gmail-s1">
    <w:name w:val="gmail-s1"/>
    <w:basedOn w:val="DefaultParagraphFont"/>
    <w:rsid w:val="00C20262"/>
  </w:style>
  <w:style w:type="character" w:customStyle="1" w:styleId="gmail-s2">
    <w:name w:val="gmail-s2"/>
    <w:basedOn w:val="DefaultParagraphFont"/>
    <w:rsid w:val="00C20262"/>
  </w:style>
  <w:style w:type="paragraph" w:customStyle="1" w:styleId="gmail-p3">
    <w:name w:val="gmail-p3"/>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gmail-p1">
    <w:name w:val="gmail-p1"/>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gmail-s4">
    <w:name w:val="gmail-s4"/>
    <w:basedOn w:val="DefaultParagraphFont"/>
    <w:rsid w:val="00CB361B"/>
  </w:style>
  <w:style w:type="table" w:customStyle="1" w:styleId="TableGrid1">
    <w:name w:val="Table Grid1"/>
    <w:basedOn w:val="TableNormal"/>
    <w:next w:val="TableGrid"/>
    <w:uiPriority w:val="59"/>
    <w:rsid w:val="0021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s3">
    <w:name w:val="gmail-s3"/>
    <w:basedOn w:val="DefaultParagraphFont"/>
    <w:rsid w:val="00331981"/>
  </w:style>
  <w:style w:type="character" w:customStyle="1" w:styleId="hps-normal1">
    <w:name w:val="hps-normal1"/>
    <w:basedOn w:val="DefaultParagraphFont"/>
    <w:rsid w:val="007759C0"/>
  </w:style>
  <w:style w:type="paragraph" w:customStyle="1" w:styleId="hps-normal">
    <w:name w:val="hps-normal"/>
    <w:basedOn w:val="Normal"/>
    <w:rsid w:val="002A6706"/>
    <w:pPr>
      <w:spacing w:before="180" w:after="180" w:line="240" w:lineRule="auto"/>
      <w:ind w:firstLine="240"/>
    </w:pPr>
    <w:rPr>
      <w:rFonts w:ascii="Times New Roman" w:eastAsia="Times New Roman" w:hAnsi="Times New Roman"/>
      <w:color w:val="444444"/>
      <w:sz w:val="24"/>
      <w:szCs w:val="24"/>
      <w:lang w:eastAsia="en-AU"/>
    </w:rPr>
  </w:style>
  <w:style w:type="character" w:customStyle="1" w:styleId="ListParagraphChar">
    <w:name w:val="List Paragraph Char"/>
    <w:aliases w:val="1 heading Char,Bulleted Para Char,CV text Char,DDM Gen Text Char,Dot pt Char,F5 List Paragraph Char,FooterText Char,L Char,List Paragraph1 Char,List Paragraph11 Char,List Paragraph111 Char,List Paragraph2 Char,Numbered Paragraph Char"/>
    <w:basedOn w:val="DefaultParagraphFont"/>
    <w:link w:val="ListParagraph"/>
    <w:uiPriority w:val="34"/>
    <w:locked/>
    <w:rsid w:val="002A6706"/>
    <w:rPr>
      <w:rFonts w:ascii="Arial" w:eastAsia="Calibri" w:hAnsi="Arial" w:cs="Times New Roman"/>
    </w:rPr>
  </w:style>
  <w:style w:type="paragraph" w:customStyle="1" w:styleId="ydp9b35d7f1yiv8283073263msolistparagraph">
    <w:name w:val="ydp9b35d7f1yiv8283073263msolistparagraph"/>
    <w:basedOn w:val="Normal"/>
    <w:rsid w:val="002A6706"/>
    <w:pPr>
      <w:spacing w:before="100" w:beforeAutospacing="1" w:after="100" w:afterAutospacing="1" w:line="240" w:lineRule="auto"/>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219">
      <w:bodyDiv w:val="1"/>
      <w:marLeft w:val="0"/>
      <w:marRight w:val="0"/>
      <w:marTop w:val="0"/>
      <w:marBottom w:val="0"/>
      <w:divBdr>
        <w:top w:val="none" w:sz="0" w:space="0" w:color="auto"/>
        <w:left w:val="none" w:sz="0" w:space="0" w:color="auto"/>
        <w:bottom w:val="none" w:sz="0" w:space="0" w:color="auto"/>
        <w:right w:val="none" w:sz="0" w:space="0" w:color="auto"/>
      </w:divBdr>
    </w:div>
    <w:div w:id="56323535">
      <w:bodyDiv w:val="1"/>
      <w:marLeft w:val="0"/>
      <w:marRight w:val="0"/>
      <w:marTop w:val="0"/>
      <w:marBottom w:val="0"/>
      <w:divBdr>
        <w:top w:val="none" w:sz="0" w:space="0" w:color="auto"/>
        <w:left w:val="none" w:sz="0" w:space="0" w:color="auto"/>
        <w:bottom w:val="none" w:sz="0" w:space="0" w:color="auto"/>
        <w:right w:val="none" w:sz="0" w:space="0" w:color="auto"/>
      </w:divBdr>
      <w:divsChild>
        <w:div w:id="1726483726">
          <w:marLeft w:val="547"/>
          <w:marRight w:val="0"/>
          <w:marTop w:val="67"/>
          <w:marBottom w:val="120"/>
          <w:divBdr>
            <w:top w:val="none" w:sz="0" w:space="0" w:color="auto"/>
            <w:left w:val="none" w:sz="0" w:space="0" w:color="auto"/>
            <w:bottom w:val="none" w:sz="0" w:space="0" w:color="auto"/>
            <w:right w:val="none" w:sz="0" w:space="0" w:color="auto"/>
          </w:divBdr>
        </w:div>
        <w:div w:id="963383908">
          <w:marLeft w:val="1166"/>
          <w:marRight w:val="0"/>
          <w:marTop w:val="67"/>
          <w:marBottom w:val="120"/>
          <w:divBdr>
            <w:top w:val="none" w:sz="0" w:space="0" w:color="auto"/>
            <w:left w:val="none" w:sz="0" w:space="0" w:color="auto"/>
            <w:bottom w:val="none" w:sz="0" w:space="0" w:color="auto"/>
            <w:right w:val="none" w:sz="0" w:space="0" w:color="auto"/>
          </w:divBdr>
        </w:div>
        <w:div w:id="883835420">
          <w:marLeft w:val="1166"/>
          <w:marRight w:val="0"/>
          <w:marTop w:val="67"/>
          <w:marBottom w:val="120"/>
          <w:divBdr>
            <w:top w:val="none" w:sz="0" w:space="0" w:color="auto"/>
            <w:left w:val="none" w:sz="0" w:space="0" w:color="auto"/>
            <w:bottom w:val="none" w:sz="0" w:space="0" w:color="auto"/>
            <w:right w:val="none" w:sz="0" w:space="0" w:color="auto"/>
          </w:divBdr>
        </w:div>
        <w:div w:id="1521355975">
          <w:marLeft w:val="547"/>
          <w:marRight w:val="0"/>
          <w:marTop w:val="67"/>
          <w:marBottom w:val="120"/>
          <w:divBdr>
            <w:top w:val="none" w:sz="0" w:space="0" w:color="auto"/>
            <w:left w:val="none" w:sz="0" w:space="0" w:color="auto"/>
            <w:bottom w:val="none" w:sz="0" w:space="0" w:color="auto"/>
            <w:right w:val="none" w:sz="0" w:space="0" w:color="auto"/>
          </w:divBdr>
        </w:div>
        <w:div w:id="74130481">
          <w:marLeft w:val="547"/>
          <w:marRight w:val="0"/>
          <w:marTop w:val="67"/>
          <w:marBottom w:val="120"/>
          <w:divBdr>
            <w:top w:val="none" w:sz="0" w:space="0" w:color="auto"/>
            <w:left w:val="none" w:sz="0" w:space="0" w:color="auto"/>
            <w:bottom w:val="none" w:sz="0" w:space="0" w:color="auto"/>
            <w:right w:val="none" w:sz="0" w:space="0" w:color="auto"/>
          </w:divBdr>
        </w:div>
        <w:div w:id="1956210791">
          <w:marLeft w:val="547"/>
          <w:marRight w:val="0"/>
          <w:marTop w:val="67"/>
          <w:marBottom w:val="120"/>
          <w:divBdr>
            <w:top w:val="none" w:sz="0" w:space="0" w:color="auto"/>
            <w:left w:val="none" w:sz="0" w:space="0" w:color="auto"/>
            <w:bottom w:val="none" w:sz="0" w:space="0" w:color="auto"/>
            <w:right w:val="none" w:sz="0" w:space="0" w:color="auto"/>
          </w:divBdr>
        </w:div>
        <w:div w:id="1473516992">
          <w:marLeft w:val="547"/>
          <w:marRight w:val="0"/>
          <w:marTop w:val="67"/>
          <w:marBottom w:val="120"/>
          <w:divBdr>
            <w:top w:val="none" w:sz="0" w:space="0" w:color="auto"/>
            <w:left w:val="none" w:sz="0" w:space="0" w:color="auto"/>
            <w:bottom w:val="none" w:sz="0" w:space="0" w:color="auto"/>
            <w:right w:val="none" w:sz="0" w:space="0" w:color="auto"/>
          </w:divBdr>
        </w:div>
      </w:divsChild>
    </w:div>
    <w:div w:id="206995116">
      <w:bodyDiv w:val="1"/>
      <w:marLeft w:val="0"/>
      <w:marRight w:val="0"/>
      <w:marTop w:val="0"/>
      <w:marBottom w:val="0"/>
      <w:divBdr>
        <w:top w:val="none" w:sz="0" w:space="0" w:color="auto"/>
        <w:left w:val="none" w:sz="0" w:space="0" w:color="auto"/>
        <w:bottom w:val="none" w:sz="0" w:space="0" w:color="auto"/>
        <w:right w:val="none" w:sz="0" w:space="0" w:color="auto"/>
      </w:divBdr>
    </w:div>
    <w:div w:id="478544353">
      <w:bodyDiv w:val="1"/>
      <w:marLeft w:val="0"/>
      <w:marRight w:val="0"/>
      <w:marTop w:val="0"/>
      <w:marBottom w:val="0"/>
      <w:divBdr>
        <w:top w:val="none" w:sz="0" w:space="0" w:color="auto"/>
        <w:left w:val="none" w:sz="0" w:space="0" w:color="auto"/>
        <w:bottom w:val="none" w:sz="0" w:space="0" w:color="auto"/>
        <w:right w:val="none" w:sz="0" w:space="0" w:color="auto"/>
      </w:divBdr>
      <w:divsChild>
        <w:div w:id="891694644">
          <w:marLeft w:val="0"/>
          <w:marRight w:val="0"/>
          <w:marTop w:val="0"/>
          <w:marBottom w:val="100"/>
          <w:divBdr>
            <w:top w:val="none" w:sz="0" w:space="0" w:color="auto"/>
            <w:left w:val="none" w:sz="0" w:space="0" w:color="auto"/>
            <w:bottom w:val="none" w:sz="0" w:space="0" w:color="auto"/>
            <w:right w:val="none" w:sz="0" w:space="0" w:color="auto"/>
          </w:divBdr>
          <w:divsChild>
            <w:div w:id="554514187">
              <w:marLeft w:val="0"/>
              <w:marRight w:val="0"/>
              <w:marTop w:val="0"/>
              <w:marBottom w:val="0"/>
              <w:divBdr>
                <w:top w:val="none" w:sz="0" w:space="0" w:color="auto"/>
                <w:left w:val="none" w:sz="0" w:space="0" w:color="auto"/>
                <w:bottom w:val="none" w:sz="0" w:space="0" w:color="auto"/>
                <w:right w:val="none" w:sz="0" w:space="0" w:color="auto"/>
              </w:divBdr>
              <w:divsChild>
                <w:div w:id="1042680213">
                  <w:marLeft w:val="0"/>
                  <w:marRight w:val="0"/>
                  <w:marTop w:val="0"/>
                  <w:marBottom w:val="0"/>
                  <w:divBdr>
                    <w:top w:val="none" w:sz="0" w:space="0" w:color="auto"/>
                    <w:left w:val="none" w:sz="0" w:space="0" w:color="auto"/>
                    <w:bottom w:val="none" w:sz="0" w:space="0" w:color="auto"/>
                    <w:right w:val="none" w:sz="0" w:space="0" w:color="auto"/>
                  </w:divBdr>
                  <w:divsChild>
                    <w:div w:id="1343623998">
                      <w:marLeft w:val="0"/>
                      <w:marRight w:val="0"/>
                      <w:marTop w:val="168"/>
                      <w:marBottom w:val="168"/>
                      <w:divBdr>
                        <w:top w:val="none" w:sz="0" w:space="0" w:color="auto"/>
                        <w:left w:val="none" w:sz="0" w:space="0" w:color="auto"/>
                        <w:bottom w:val="none" w:sz="0" w:space="0" w:color="auto"/>
                        <w:right w:val="none" w:sz="0" w:space="0" w:color="auto"/>
                      </w:divBdr>
                      <w:divsChild>
                        <w:div w:id="2023434935">
                          <w:marLeft w:val="0"/>
                          <w:marRight w:val="0"/>
                          <w:marTop w:val="0"/>
                          <w:marBottom w:val="0"/>
                          <w:divBdr>
                            <w:top w:val="none" w:sz="0" w:space="0" w:color="auto"/>
                            <w:left w:val="none" w:sz="0" w:space="0" w:color="auto"/>
                            <w:bottom w:val="none" w:sz="0" w:space="0" w:color="auto"/>
                            <w:right w:val="none" w:sz="0" w:space="0" w:color="auto"/>
                          </w:divBdr>
                          <w:divsChild>
                            <w:div w:id="16437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133057">
      <w:bodyDiv w:val="1"/>
      <w:marLeft w:val="0"/>
      <w:marRight w:val="0"/>
      <w:marTop w:val="0"/>
      <w:marBottom w:val="0"/>
      <w:divBdr>
        <w:top w:val="none" w:sz="0" w:space="0" w:color="auto"/>
        <w:left w:val="none" w:sz="0" w:space="0" w:color="auto"/>
        <w:bottom w:val="none" w:sz="0" w:space="0" w:color="auto"/>
        <w:right w:val="none" w:sz="0" w:space="0" w:color="auto"/>
      </w:divBdr>
      <w:divsChild>
        <w:div w:id="1706825480">
          <w:marLeft w:val="0"/>
          <w:marRight w:val="0"/>
          <w:marTop w:val="0"/>
          <w:marBottom w:val="0"/>
          <w:divBdr>
            <w:top w:val="none" w:sz="0" w:space="0" w:color="auto"/>
            <w:left w:val="none" w:sz="0" w:space="0" w:color="auto"/>
            <w:bottom w:val="none" w:sz="0" w:space="0" w:color="auto"/>
            <w:right w:val="none" w:sz="0" w:space="0" w:color="auto"/>
          </w:divBdr>
          <w:divsChild>
            <w:div w:id="2137210880">
              <w:marLeft w:val="0"/>
              <w:marRight w:val="0"/>
              <w:marTop w:val="0"/>
              <w:marBottom w:val="0"/>
              <w:divBdr>
                <w:top w:val="none" w:sz="0" w:space="0" w:color="auto"/>
                <w:left w:val="none" w:sz="0" w:space="0" w:color="auto"/>
                <w:bottom w:val="none" w:sz="0" w:space="0" w:color="auto"/>
                <w:right w:val="none" w:sz="0" w:space="0" w:color="auto"/>
              </w:divBdr>
              <w:divsChild>
                <w:div w:id="253706401">
                  <w:marLeft w:val="0"/>
                  <w:marRight w:val="0"/>
                  <w:marTop w:val="0"/>
                  <w:marBottom w:val="0"/>
                  <w:divBdr>
                    <w:top w:val="none" w:sz="0" w:space="0" w:color="auto"/>
                    <w:left w:val="none" w:sz="0" w:space="0" w:color="auto"/>
                    <w:bottom w:val="none" w:sz="0" w:space="0" w:color="auto"/>
                    <w:right w:val="none" w:sz="0" w:space="0" w:color="auto"/>
                  </w:divBdr>
                  <w:divsChild>
                    <w:div w:id="1812551786">
                      <w:marLeft w:val="0"/>
                      <w:marRight w:val="0"/>
                      <w:marTop w:val="0"/>
                      <w:marBottom w:val="0"/>
                      <w:divBdr>
                        <w:top w:val="none" w:sz="0" w:space="0" w:color="auto"/>
                        <w:left w:val="none" w:sz="0" w:space="0" w:color="auto"/>
                        <w:bottom w:val="none" w:sz="0" w:space="0" w:color="auto"/>
                        <w:right w:val="none" w:sz="0" w:space="0" w:color="auto"/>
                      </w:divBdr>
                      <w:divsChild>
                        <w:div w:id="1629118473">
                          <w:marLeft w:val="0"/>
                          <w:marRight w:val="0"/>
                          <w:marTop w:val="0"/>
                          <w:marBottom w:val="0"/>
                          <w:divBdr>
                            <w:top w:val="none" w:sz="0" w:space="0" w:color="auto"/>
                            <w:left w:val="none" w:sz="0" w:space="0" w:color="auto"/>
                            <w:bottom w:val="none" w:sz="0" w:space="0" w:color="auto"/>
                            <w:right w:val="none" w:sz="0" w:space="0" w:color="auto"/>
                          </w:divBdr>
                          <w:divsChild>
                            <w:div w:id="111091747">
                              <w:marLeft w:val="0"/>
                              <w:marRight w:val="0"/>
                              <w:marTop w:val="0"/>
                              <w:marBottom w:val="0"/>
                              <w:divBdr>
                                <w:top w:val="none" w:sz="0" w:space="0" w:color="auto"/>
                                <w:left w:val="none" w:sz="0" w:space="0" w:color="auto"/>
                                <w:bottom w:val="none" w:sz="0" w:space="0" w:color="auto"/>
                                <w:right w:val="none" w:sz="0" w:space="0" w:color="auto"/>
                              </w:divBdr>
                              <w:divsChild>
                                <w:div w:id="646275849">
                                  <w:marLeft w:val="0"/>
                                  <w:marRight w:val="0"/>
                                  <w:marTop w:val="0"/>
                                  <w:marBottom w:val="0"/>
                                  <w:divBdr>
                                    <w:top w:val="none" w:sz="0" w:space="0" w:color="auto"/>
                                    <w:left w:val="none" w:sz="0" w:space="0" w:color="auto"/>
                                    <w:bottom w:val="none" w:sz="0" w:space="0" w:color="auto"/>
                                    <w:right w:val="none" w:sz="0" w:space="0" w:color="auto"/>
                                  </w:divBdr>
                                  <w:divsChild>
                                    <w:div w:id="1906210889">
                                      <w:marLeft w:val="0"/>
                                      <w:marRight w:val="0"/>
                                      <w:marTop w:val="0"/>
                                      <w:marBottom w:val="0"/>
                                      <w:divBdr>
                                        <w:top w:val="none" w:sz="0" w:space="0" w:color="auto"/>
                                        <w:left w:val="none" w:sz="0" w:space="0" w:color="auto"/>
                                        <w:bottom w:val="none" w:sz="0" w:space="0" w:color="auto"/>
                                        <w:right w:val="none" w:sz="0" w:space="0" w:color="auto"/>
                                      </w:divBdr>
                                      <w:divsChild>
                                        <w:div w:id="104733818">
                                          <w:marLeft w:val="0"/>
                                          <w:marRight w:val="0"/>
                                          <w:marTop w:val="0"/>
                                          <w:marBottom w:val="0"/>
                                          <w:divBdr>
                                            <w:top w:val="none" w:sz="0" w:space="0" w:color="auto"/>
                                            <w:left w:val="none" w:sz="0" w:space="0" w:color="auto"/>
                                            <w:bottom w:val="none" w:sz="0" w:space="0" w:color="auto"/>
                                            <w:right w:val="none" w:sz="0" w:space="0" w:color="auto"/>
                                          </w:divBdr>
                                          <w:divsChild>
                                            <w:div w:id="198784691">
                                              <w:marLeft w:val="0"/>
                                              <w:marRight w:val="0"/>
                                              <w:marTop w:val="0"/>
                                              <w:marBottom w:val="0"/>
                                              <w:divBdr>
                                                <w:top w:val="none" w:sz="0" w:space="0" w:color="auto"/>
                                                <w:left w:val="none" w:sz="0" w:space="0" w:color="auto"/>
                                                <w:bottom w:val="none" w:sz="0" w:space="0" w:color="auto"/>
                                                <w:right w:val="none" w:sz="0" w:space="0" w:color="auto"/>
                                              </w:divBdr>
                                              <w:divsChild>
                                                <w:div w:id="1196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818115">
      <w:bodyDiv w:val="1"/>
      <w:marLeft w:val="0"/>
      <w:marRight w:val="0"/>
      <w:marTop w:val="0"/>
      <w:marBottom w:val="0"/>
      <w:divBdr>
        <w:top w:val="none" w:sz="0" w:space="0" w:color="auto"/>
        <w:left w:val="none" w:sz="0" w:space="0" w:color="auto"/>
        <w:bottom w:val="none" w:sz="0" w:space="0" w:color="auto"/>
        <w:right w:val="none" w:sz="0" w:space="0" w:color="auto"/>
      </w:divBdr>
      <w:divsChild>
        <w:div w:id="1841699328">
          <w:marLeft w:val="547"/>
          <w:marRight w:val="0"/>
          <w:marTop w:val="60"/>
          <w:marBottom w:val="120"/>
          <w:divBdr>
            <w:top w:val="none" w:sz="0" w:space="0" w:color="auto"/>
            <w:left w:val="none" w:sz="0" w:space="0" w:color="auto"/>
            <w:bottom w:val="none" w:sz="0" w:space="0" w:color="auto"/>
            <w:right w:val="none" w:sz="0" w:space="0" w:color="auto"/>
          </w:divBdr>
        </w:div>
        <w:div w:id="1663974014">
          <w:marLeft w:val="547"/>
          <w:marRight w:val="0"/>
          <w:marTop w:val="60"/>
          <w:marBottom w:val="120"/>
          <w:divBdr>
            <w:top w:val="none" w:sz="0" w:space="0" w:color="auto"/>
            <w:left w:val="none" w:sz="0" w:space="0" w:color="auto"/>
            <w:bottom w:val="none" w:sz="0" w:space="0" w:color="auto"/>
            <w:right w:val="none" w:sz="0" w:space="0" w:color="auto"/>
          </w:divBdr>
        </w:div>
        <w:div w:id="1883008161">
          <w:marLeft w:val="547"/>
          <w:marRight w:val="0"/>
          <w:marTop w:val="60"/>
          <w:marBottom w:val="120"/>
          <w:divBdr>
            <w:top w:val="none" w:sz="0" w:space="0" w:color="auto"/>
            <w:left w:val="none" w:sz="0" w:space="0" w:color="auto"/>
            <w:bottom w:val="none" w:sz="0" w:space="0" w:color="auto"/>
            <w:right w:val="none" w:sz="0" w:space="0" w:color="auto"/>
          </w:divBdr>
        </w:div>
        <w:div w:id="292903832">
          <w:marLeft w:val="547"/>
          <w:marRight w:val="0"/>
          <w:marTop w:val="60"/>
          <w:marBottom w:val="120"/>
          <w:divBdr>
            <w:top w:val="none" w:sz="0" w:space="0" w:color="auto"/>
            <w:left w:val="none" w:sz="0" w:space="0" w:color="auto"/>
            <w:bottom w:val="none" w:sz="0" w:space="0" w:color="auto"/>
            <w:right w:val="none" w:sz="0" w:space="0" w:color="auto"/>
          </w:divBdr>
        </w:div>
        <w:div w:id="1966698459">
          <w:marLeft w:val="547"/>
          <w:marRight w:val="0"/>
          <w:marTop w:val="60"/>
          <w:marBottom w:val="120"/>
          <w:divBdr>
            <w:top w:val="none" w:sz="0" w:space="0" w:color="auto"/>
            <w:left w:val="none" w:sz="0" w:space="0" w:color="auto"/>
            <w:bottom w:val="none" w:sz="0" w:space="0" w:color="auto"/>
            <w:right w:val="none" w:sz="0" w:space="0" w:color="auto"/>
          </w:divBdr>
        </w:div>
        <w:div w:id="133371666">
          <w:marLeft w:val="547"/>
          <w:marRight w:val="0"/>
          <w:marTop w:val="60"/>
          <w:marBottom w:val="120"/>
          <w:divBdr>
            <w:top w:val="none" w:sz="0" w:space="0" w:color="auto"/>
            <w:left w:val="none" w:sz="0" w:space="0" w:color="auto"/>
            <w:bottom w:val="none" w:sz="0" w:space="0" w:color="auto"/>
            <w:right w:val="none" w:sz="0" w:space="0" w:color="auto"/>
          </w:divBdr>
        </w:div>
        <w:div w:id="1627467465">
          <w:marLeft w:val="547"/>
          <w:marRight w:val="0"/>
          <w:marTop w:val="60"/>
          <w:marBottom w:val="120"/>
          <w:divBdr>
            <w:top w:val="none" w:sz="0" w:space="0" w:color="auto"/>
            <w:left w:val="none" w:sz="0" w:space="0" w:color="auto"/>
            <w:bottom w:val="none" w:sz="0" w:space="0" w:color="auto"/>
            <w:right w:val="none" w:sz="0" w:space="0" w:color="auto"/>
          </w:divBdr>
        </w:div>
        <w:div w:id="750201437">
          <w:marLeft w:val="547"/>
          <w:marRight w:val="0"/>
          <w:marTop w:val="60"/>
          <w:marBottom w:val="120"/>
          <w:divBdr>
            <w:top w:val="none" w:sz="0" w:space="0" w:color="auto"/>
            <w:left w:val="none" w:sz="0" w:space="0" w:color="auto"/>
            <w:bottom w:val="none" w:sz="0" w:space="0" w:color="auto"/>
            <w:right w:val="none" w:sz="0" w:space="0" w:color="auto"/>
          </w:divBdr>
        </w:div>
      </w:divsChild>
    </w:div>
    <w:div w:id="937837181">
      <w:bodyDiv w:val="1"/>
      <w:marLeft w:val="0"/>
      <w:marRight w:val="0"/>
      <w:marTop w:val="0"/>
      <w:marBottom w:val="0"/>
      <w:divBdr>
        <w:top w:val="none" w:sz="0" w:space="0" w:color="auto"/>
        <w:left w:val="none" w:sz="0" w:space="0" w:color="auto"/>
        <w:bottom w:val="none" w:sz="0" w:space="0" w:color="auto"/>
        <w:right w:val="none" w:sz="0" w:space="0" w:color="auto"/>
      </w:divBdr>
      <w:divsChild>
        <w:div w:id="752357522">
          <w:marLeft w:val="0"/>
          <w:marRight w:val="0"/>
          <w:marTop w:val="0"/>
          <w:marBottom w:val="0"/>
          <w:divBdr>
            <w:top w:val="none" w:sz="0" w:space="0" w:color="auto"/>
            <w:left w:val="none" w:sz="0" w:space="0" w:color="auto"/>
            <w:bottom w:val="none" w:sz="0" w:space="0" w:color="auto"/>
            <w:right w:val="none" w:sz="0" w:space="0" w:color="auto"/>
          </w:divBdr>
          <w:divsChild>
            <w:div w:id="2015377817">
              <w:marLeft w:val="0"/>
              <w:marRight w:val="0"/>
              <w:marTop w:val="0"/>
              <w:marBottom w:val="0"/>
              <w:divBdr>
                <w:top w:val="none" w:sz="0" w:space="0" w:color="auto"/>
                <w:left w:val="none" w:sz="0" w:space="0" w:color="auto"/>
                <w:bottom w:val="none" w:sz="0" w:space="0" w:color="auto"/>
                <w:right w:val="none" w:sz="0" w:space="0" w:color="auto"/>
              </w:divBdr>
              <w:divsChild>
                <w:div w:id="96143023">
                  <w:marLeft w:val="0"/>
                  <w:marRight w:val="0"/>
                  <w:marTop w:val="0"/>
                  <w:marBottom w:val="0"/>
                  <w:divBdr>
                    <w:top w:val="none" w:sz="0" w:space="0" w:color="auto"/>
                    <w:left w:val="none" w:sz="0" w:space="0" w:color="auto"/>
                    <w:bottom w:val="none" w:sz="0" w:space="0" w:color="auto"/>
                    <w:right w:val="none" w:sz="0" w:space="0" w:color="auto"/>
                  </w:divBdr>
                  <w:divsChild>
                    <w:div w:id="745226725">
                      <w:marLeft w:val="0"/>
                      <w:marRight w:val="0"/>
                      <w:marTop w:val="0"/>
                      <w:marBottom w:val="0"/>
                      <w:divBdr>
                        <w:top w:val="none" w:sz="0" w:space="0" w:color="auto"/>
                        <w:left w:val="none" w:sz="0" w:space="0" w:color="auto"/>
                        <w:bottom w:val="none" w:sz="0" w:space="0" w:color="auto"/>
                        <w:right w:val="none" w:sz="0" w:space="0" w:color="auto"/>
                      </w:divBdr>
                      <w:divsChild>
                        <w:div w:id="1484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6691">
      <w:bodyDiv w:val="1"/>
      <w:marLeft w:val="0"/>
      <w:marRight w:val="0"/>
      <w:marTop w:val="0"/>
      <w:marBottom w:val="0"/>
      <w:divBdr>
        <w:top w:val="none" w:sz="0" w:space="0" w:color="auto"/>
        <w:left w:val="none" w:sz="0" w:space="0" w:color="auto"/>
        <w:bottom w:val="none" w:sz="0" w:space="0" w:color="auto"/>
        <w:right w:val="none" w:sz="0" w:space="0" w:color="auto"/>
      </w:divBdr>
    </w:div>
    <w:div w:id="1049190746">
      <w:bodyDiv w:val="1"/>
      <w:marLeft w:val="0"/>
      <w:marRight w:val="0"/>
      <w:marTop w:val="0"/>
      <w:marBottom w:val="0"/>
      <w:divBdr>
        <w:top w:val="none" w:sz="0" w:space="0" w:color="auto"/>
        <w:left w:val="none" w:sz="0" w:space="0" w:color="auto"/>
        <w:bottom w:val="none" w:sz="0" w:space="0" w:color="auto"/>
        <w:right w:val="none" w:sz="0" w:space="0" w:color="auto"/>
      </w:divBdr>
    </w:div>
    <w:div w:id="1055087795">
      <w:bodyDiv w:val="1"/>
      <w:marLeft w:val="0"/>
      <w:marRight w:val="0"/>
      <w:marTop w:val="0"/>
      <w:marBottom w:val="0"/>
      <w:divBdr>
        <w:top w:val="none" w:sz="0" w:space="0" w:color="auto"/>
        <w:left w:val="none" w:sz="0" w:space="0" w:color="auto"/>
        <w:bottom w:val="none" w:sz="0" w:space="0" w:color="auto"/>
        <w:right w:val="none" w:sz="0" w:space="0" w:color="auto"/>
      </w:divBdr>
    </w:div>
    <w:div w:id="1180509772">
      <w:bodyDiv w:val="1"/>
      <w:marLeft w:val="0"/>
      <w:marRight w:val="0"/>
      <w:marTop w:val="0"/>
      <w:marBottom w:val="0"/>
      <w:divBdr>
        <w:top w:val="none" w:sz="0" w:space="0" w:color="auto"/>
        <w:left w:val="none" w:sz="0" w:space="0" w:color="auto"/>
        <w:bottom w:val="none" w:sz="0" w:space="0" w:color="auto"/>
        <w:right w:val="none" w:sz="0" w:space="0" w:color="auto"/>
      </w:divBdr>
    </w:div>
    <w:div w:id="1298992620">
      <w:bodyDiv w:val="1"/>
      <w:marLeft w:val="0"/>
      <w:marRight w:val="0"/>
      <w:marTop w:val="0"/>
      <w:marBottom w:val="0"/>
      <w:divBdr>
        <w:top w:val="none" w:sz="0" w:space="0" w:color="auto"/>
        <w:left w:val="none" w:sz="0" w:space="0" w:color="auto"/>
        <w:bottom w:val="none" w:sz="0" w:space="0" w:color="auto"/>
        <w:right w:val="none" w:sz="0" w:space="0" w:color="auto"/>
      </w:divBdr>
    </w:div>
    <w:div w:id="1336878261">
      <w:bodyDiv w:val="1"/>
      <w:marLeft w:val="0"/>
      <w:marRight w:val="0"/>
      <w:marTop w:val="0"/>
      <w:marBottom w:val="0"/>
      <w:divBdr>
        <w:top w:val="none" w:sz="0" w:space="0" w:color="auto"/>
        <w:left w:val="none" w:sz="0" w:space="0" w:color="auto"/>
        <w:bottom w:val="none" w:sz="0" w:space="0" w:color="auto"/>
        <w:right w:val="none" w:sz="0" w:space="0" w:color="auto"/>
      </w:divBdr>
    </w:div>
    <w:div w:id="1437142119">
      <w:bodyDiv w:val="1"/>
      <w:marLeft w:val="0"/>
      <w:marRight w:val="0"/>
      <w:marTop w:val="0"/>
      <w:marBottom w:val="0"/>
      <w:divBdr>
        <w:top w:val="none" w:sz="0" w:space="0" w:color="auto"/>
        <w:left w:val="none" w:sz="0" w:space="0" w:color="auto"/>
        <w:bottom w:val="none" w:sz="0" w:space="0" w:color="auto"/>
        <w:right w:val="none" w:sz="0" w:space="0" w:color="auto"/>
      </w:divBdr>
      <w:divsChild>
        <w:div w:id="1465848048">
          <w:marLeft w:val="0"/>
          <w:marRight w:val="0"/>
          <w:marTop w:val="0"/>
          <w:marBottom w:val="100"/>
          <w:divBdr>
            <w:top w:val="none" w:sz="0" w:space="0" w:color="auto"/>
            <w:left w:val="none" w:sz="0" w:space="0" w:color="auto"/>
            <w:bottom w:val="none" w:sz="0" w:space="0" w:color="auto"/>
            <w:right w:val="none" w:sz="0" w:space="0" w:color="auto"/>
          </w:divBdr>
          <w:divsChild>
            <w:div w:id="402147736">
              <w:marLeft w:val="0"/>
              <w:marRight w:val="0"/>
              <w:marTop w:val="0"/>
              <w:marBottom w:val="0"/>
              <w:divBdr>
                <w:top w:val="none" w:sz="0" w:space="0" w:color="auto"/>
                <w:left w:val="none" w:sz="0" w:space="0" w:color="auto"/>
                <w:bottom w:val="none" w:sz="0" w:space="0" w:color="auto"/>
                <w:right w:val="none" w:sz="0" w:space="0" w:color="auto"/>
              </w:divBdr>
              <w:divsChild>
                <w:div w:id="1380744221">
                  <w:marLeft w:val="0"/>
                  <w:marRight w:val="0"/>
                  <w:marTop w:val="0"/>
                  <w:marBottom w:val="0"/>
                  <w:divBdr>
                    <w:top w:val="none" w:sz="0" w:space="0" w:color="auto"/>
                    <w:left w:val="none" w:sz="0" w:space="0" w:color="auto"/>
                    <w:bottom w:val="none" w:sz="0" w:space="0" w:color="auto"/>
                    <w:right w:val="none" w:sz="0" w:space="0" w:color="auto"/>
                  </w:divBdr>
                  <w:divsChild>
                    <w:div w:id="706488712">
                      <w:marLeft w:val="0"/>
                      <w:marRight w:val="0"/>
                      <w:marTop w:val="168"/>
                      <w:marBottom w:val="168"/>
                      <w:divBdr>
                        <w:top w:val="none" w:sz="0" w:space="0" w:color="auto"/>
                        <w:left w:val="none" w:sz="0" w:space="0" w:color="auto"/>
                        <w:bottom w:val="none" w:sz="0" w:space="0" w:color="auto"/>
                        <w:right w:val="none" w:sz="0" w:space="0" w:color="auto"/>
                      </w:divBdr>
                      <w:divsChild>
                        <w:div w:id="1701274235">
                          <w:marLeft w:val="0"/>
                          <w:marRight w:val="0"/>
                          <w:marTop w:val="0"/>
                          <w:marBottom w:val="0"/>
                          <w:divBdr>
                            <w:top w:val="none" w:sz="0" w:space="0" w:color="auto"/>
                            <w:left w:val="none" w:sz="0" w:space="0" w:color="auto"/>
                            <w:bottom w:val="none" w:sz="0" w:space="0" w:color="auto"/>
                            <w:right w:val="none" w:sz="0" w:space="0" w:color="auto"/>
                          </w:divBdr>
                          <w:divsChild>
                            <w:div w:id="625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1801">
      <w:bodyDiv w:val="1"/>
      <w:marLeft w:val="0"/>
      <w:marRight w:val="0"/>
      <w:marTop w:val="0"/>
      <w:marBottom w:val="0"/>
      <w:divBdr>
        <w:top w:val="none" w:sz="0" w:space="0" w:color="auto"/>
        <w:left w:val="none" w:sz="0" w:space="0" w:color="auto"/>
        <w:bottom w:val="none" w:sz="0" w:space="0" w:color="auto"/>
        <w:right w:val="none" w:sz="0" w:space="0" w:color="auto"/>
      </w:divBdr>
    </w:div>
    <w:div w:id="1441686400">
      <w:bodyDiv w:val="1"/>
      <w:marLeft w:val="0"/>
      <w:marRight w:val="0"/>
      <w:marTop w:val="0"/>
      <w:marBottom w:val="0"/>
      <w:divBdr>
        <w:top w:val="none" w:sz="0" w:space="0" w:color="auto"/>
        <w:left w:val="none" w:sz="0" w:space="0" w:color="auto"/>
        <w:bottom w:val="none" w:sz="0" w:space="0" w:color="auto"/>
        <w:right w:val="none" w:sz="0" w:space="0" w:color="auto"/>
      </w:divBdr>
    </w:div>
    <w:div w:id="1456948072">
      <w:bodyDiv w:val="1"/>
      <w:marLeft w:val="0"/>
      <w:marRight w:val="0"/>
      <w:marTop w:val="0"/>
      <w:marBottom w:val="0"/>
      <w:divBdr>
        <w:top w:val="none" w:sz="0" w:space="0" w:color="auto"/>
        <w:left w:val="none" w:sz="0" w:space="0" w:color="auto"/>
        <w:bottom w:val="none" w:sz="0" w:space="0" w:color="auto"/>
        <w:right w:val="none" w:sz="0" w:space="0" w:color="auto"/>
      </w:divBdr>
      <w:divsChild>
        <w:div w:id="777677831">
          <w:marLeft w:val="547"/>
          <w:marRight w:val="0"/>
          <w:marTop w:val="60"/>
          <w:marBottom w:val="120"/>
          <w:divBdr>
            <w:top w:val="none" w:sz="0" w:space="0" w:color="auto"/>
            <w:left w:val="none" w:sz="0" w:space="0" w:color="auto"/>
            <w:bottom w:val="none" w:sz="0" w:space="0" w:color="auto"/>
            <w:right w:val="none" w:sz="0" w:space="0" w:color="auto"/>
          </w:divBdr>
        </w:div>
        <w:div w:id="1626615170">
          <w:marLeft w:val="547"/>
          <w:marRight w:val="0"/>
          <w:marTop w:val="60"/>
          <w:marBottom w:val="120"/>
          <w:divBdr>
            <w:top w:val="none" w:sz="0" w:space="0" w:color="auto"/>
            <w:left w:val="none" w:sz="0" w:space="0" w:color="auto"/>
            <w:bottom w:val="none" w:sz="0" w:space="0" w:color="auto"/>
            <w:right w:val="none" w:sz="0" w:space="0" w:color="auto"/>
          </w:divBdr>
        </w:div>
        <w:div w:id="1777678235">
          <w:marLeft w:val="547"/>
          <w:marRight w:val="0"/>
          <w:marTop w:val="60"/>
          <w:marBottom w:val="120"/>
          <w:divBdr>
            <w:top w:val="none" w:sz="0" w:space="0" w:color="auto"/>
            <w:left w:val="none" w:sz="0" w:space="0" w:color="auto"/>
            <w:bottom w:val="none" w:sz="0" w:space="0" w:color="auto"/>
            <w:right w:val="none" w:sz="0" w:space="0" w:color="auto"/>
          </w:divBdr>
        </w:div>
        <w:div w:id="973561971">
          <w:marLeft w:val="547"/>
          <w:marRight w:val="0"/>
          <w:marTop w:val="60"/>
          <w:marBottom w:val="120"/>
          <w:divBdr>
            <w:top w:val="none" w:sz="0" w:space="0" w:color="auto"/>
            <w:left w:val="none" w:sz="0" w:space="0" w:color="auto"/>
            <w:bottom w:val="none" w:sz="0" w:space="0" w:color="auto"/>
            <w:right w:val="none" w:sz="0" w:space="0" w:color="auto"/>
          </w:divBdr>
        </w:div>
        <w:div w:id="1348361701">
          <w:marLeft w:val="547"/>
          <w:marRight w:val="0"/>
          <w:marTop w:val="60"/>
          <w:marBottom w:val="120"/>
          <w:divBdr>
            <w:top w:val="none" w:sz="0" w:space="0" w:color="auto"/>
            <w:left w:val="none" w:sz="0" w:space="0" w:color="auto"/>
            <w:bottom w:val="none" w:sz="0" w:space="0" w:color="auto"/>
            <w:right w:val="none" w:sz="0" w:space="0" w:color="auto"/>
          </w:divBdr>
        </w:div>
        <w:div w:id="2050060937">
          <w:marLeft w:val="547"/>
          <w:marRight w:val="0"/>
          <w:marTop w:val="60"/>
          <w:marBottom w:val="120"/>
          <w:divBdr>
            <w:top w:val="none" w:sz="0" w:space="0" w:color="auto"/>
            <w:left w:val="none" w:sz="0" w:space="0" w:color="auto"/>
            <w:bottom w:val="none" w:sz="0" w:space="0" w:color="auto"/>
            <w:right w:val="none" w:sz="0" w:space="0" w:color="auto"/>
          </w:divBdr>
        </w:div>
        <w:div w:id="1202479349">
          <w:marLeft w:val="547"/>
          <w:marRight w:val="0"/>
          <w:marTop w:val="60"/>
          <w:marBottom w:val="120"/>
          <w:divBdr>
            <w:top w:val="none" w:sz="0" w:space="0" w:color="auto"/>
            <w:left w:val="none" w:sz="0" w:space="0" w:color="auto"/>
            <w:bottom w:val="none" w:sz="0" w:space="0" w:color="auto"/>
            <w:right w:val="none" w:sz="0" w:space="0" w:color="auto"/>
          </w:divBdr>
        </w:div>
        <w:div w:id="1881549172">
          <w:marLeft w:val="547"/>
          <w:marRight w:val="0"/>
          <w:marTop w:val="60"/>
          <w:marBottom w:val="120"/>
          <w:divBdr>
            <w:top w:val="none" w:sz="0" w:space="0" w:color="auto"/>
            <w:left w:val="none" w:sz="0" w:space="0" w:color="auto"/>
            <w:bottom w:val="none" w:sz="0" w:space="0" w:color="auto"/>
            <w:right w:val="none" w:sz="0" w:space="0" w:color="auto"/>
          </w:divBdr>
        </w:div>
      </w:divsChild>
    </w:div>
    <w:div w:id="1588153315">
      <w:bodyDiv w:val="1"/>
      <w:marLeft w:val="0"/>
      <w:marRight w:val="0"/>
      <w:marTop w:val="0"/>
      <w:marBottom w:val="0"/>
      <w:divBdr>
        <w:top w:val="none" w:sz="0" w:space="0" w:color="auto"/>
        <w:left w:val="none" w:sz="0" w:space="0" w:color="auto"/>
        <w:bottom w:val="none" w:sz="0" w:space="0" w:color="auto"/>
        <w:right w:val="none" w:sz="0" w:space="0" w:color="auto"/>
      </w:divBdr>
      <w:divsChild>
        <w:div w:id="504907864">
          <w:marLeft w:val="547"/>
          <w:marRight w:val="0"/>
          <w:marTop w:val="67"/>
          <w:marBottom w:val="0"/>
          <w:divBdr>
            <w:top w:val="none" w:sz="0" w:space="0" w:color="auto"/>
            <w:left w:val="none" w:sz="0" w:space="0" w:color="auto"/>
            <w:bottom w:val="none" w:sz="0" w:space="0" w:color="auto"/>
            <w:right w:val="none" w:sz="0" w:space="0" w:color="auto"/>
          </w:divBdr>
        </w:div>
        <w:div w:id="1899781640">
          <w:marLeft w:val="547"/>
          <w:marRight w:val="0"/>
          <w:marTop w:val="67"/>
          <w:marBottom w:val="0"/>
          <w:divBdr>
            <w:top w:val="none" w:sz="0" w:space="0" w:color="auto"/>
            <w:left w:val="none" w:sz="0" w:space="0" w:color="auto"/>
            <w:bottom w:val="none" w:sz="0" w:space="0" w:color="auto"/>
            <w:right w:val="none" w:sz="0" w:space="0" w:color="auto"/>
          </w:divBdr>
        </w:div>
        <w:div w:id="240677951">
          <w:marLeft w:val="547"/>
          <w:marRight w:val="0"/>
          <w:marTop w:val="67"/>
          <w:marBottom w:val="0"/>
          <w:divBdr>
            <w:top w:val="none" w:sz="0" w:space="0" w:color="auto"/>
            <w:left w:val="none" w:sz="0" w:space="0" w:color="auto"/>
            <w:bottom w:val="none" w:sz="0" w:space="0" w:color="auto"/>
            <w:right w:val="none" w:sz="0" w:space="0" w:color="auto"/>
          </w:divBdr>
        </w:div>
        <w:div w:id="7759898">
          <w:marLeft w:val="547"/>
          <w:marRight w:val="0"/>
          <w:marTop w:val="67"/>
          <w:marBottom w:val="0"/>
          <w:divBdr>
            <w:top w:val="none" w:sz="0" w:space="0" w:color="auto"/>
            <w:left w:val="none" w:sz="0" w:space="0" w:color="auto"/>
            <w:bottom w:val="none" w:sz="0" w:space="0" w:color="auto"/>
            <w:right w:val="none" w:sz="0" w:space="0" w:color="auto"/>
          </w:divBdr>
        </w:div>
        <w:div w:id="1060515699">
          <w:marLeft w:val="547"/>
          <w:marRight w:val="0"/>
          <w:marTop w:val="67"/>
          <w:marBottom w:val="120"/>
          <w:divBdr>
            <w:top w:val="none" w:sz="0" w:space="0" w:color="auto"/>
            <w:left w:val="none" w:sz="0" w:space="0" w:color="auto"/>
            <w:bottom w:val="none" w:sz="0" w:space="0" w:color="auto"/>
            <w:right w:val="none" w:sz="0" w:space="0" w:color="auto"/>
          </w:divBdr>
        </w:div>
        <w:div w:id="2024279183">
          <w:marLeft w:val="547"/>
          <w:marRight w:val="0"/>
          <w:marTop w:val="0"/>
          <w:marBottom w:val="0"/>
          <w:divBdr>
            <w:top w:val="none" w:sz="0" w:space="0" w:color="auto"/>
            <w:left w:val="none" w:sz="0" w:space="0" w:color="auto"/>
            <w:bottom w:val="none" w:sz="0" w:space="0" w:color="auto"/>
            <w:right w:val="none" w:sz="0" w:space="0" w:color="auto"/>
          </w:divBdr>
        </w:div>
        <w:div w:id="1172261018">
          <w:marLeft w:val="547"/>
          <w:marRight w:val="0"/>
          <w:marTop w:val="67"/>
          <w:marBottom w:val="0"/>
          <w:divBdr>
            <w:top w:val="none" w:sz="0" w:space="0" w:color="auto"/>
            <w:left w:val="none" w:sz="0" w:space="0" w:color="auto"/>
            <w:bottom w:val="none" w:sz="0" w:space="0" w:color="auto"/>
            <w:right w:val="none" w:sz="0" w:space="0" w:color="auto"/>
          </w:divBdr>
        </w:div>
      </w:divsChild>
    </w:div>
    <w:div w:id="2055151466">
      <w:bodyDiv w:val="1"/>
      <w:marLeft w:val="0"/>
      <w:marRight w:val="0"/>
      <w:marTop w:val="0"/>
      <w:marBottom w:val="0"/>
      <w:divBdr>
        <w:top w:val="none" w:sz="0" w:space="0" w:color="auto"/>
        <w:left w:val="none" w:sz="0" w:space="0" w:color="auto"/>
        <w:bottom w:val="none" w:sz="0" w:space="0" w:color="auto"/>
        <w:right w:val="none" w:sz="0" w:space="0" w:color="auto"/>
      </w:divBdr>
    </w:div>
    <w:div w:id="2076200940">
      <w:bodyDiv w:val="1"/>
      <w:marLeft w:val="0"/>
      <w:marRight w:val="0"/>
      <w:marTop w:val="0"/>
      <w:marBottom w:val="0"/>
      <w:divBdr>
        <w:top w:val="none" w:sz="0" w:space="0" w:color="auto"/>
        <w:left w:val="none" w:sz="0" w:space="0" w:color="auto"/>
        <w:bottom w:val="none" w:sz="0" w:space="0" w:color="auto"/>
        <w:right w:val="none" w:sz="0" w:space="0" w:color="auto"/>
      </w:divBdr>
    </w:div>
    <w:div w:id="20784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hyperlink" Target="https://creativecommons.org/licenses/by/4.0/" TargetMode="External"/><Relationship Id="rId34" Type="http://schemas.openxmlformats.org/officeDocument/2006/relationships/footer" Target="footer7.xml"/><Relationship Id="rId42" Type="http://schemas.openxmlformats.org/officeDocument/2006/relationships/header" Target="header13.xml"/><Relationship Id="rId47" Type="http://schemas.openxmlformats.org/officeDocument/2006/relationships/chart" Target="charts/chart4.xml"/><Relationship Id="rId50" Type="http://schemas.openxmlformats.org/officeDocument/2006/relationships/chart" Target="charts/chart7.xml"/><Relationship Id="rId55" Type="http://schemas.openxmlformats.org/officeDocument/2006/relationships/header" Target="header15.xml"/><Relationship Id="rId63" Type="http://schemas.openxmlformats.org/officeDocument/2006/relationships/header" Target="header19.xml"/><Relationship Id="rId68" Type="http://schemas.openxmlformats.org/officeDocument/2006/relationships/footer" Target="footer15.xml"/><Relationship Id="rId76" Type="http://schemas.openxmlformats.org/officeDocument/2006/relationships/footer" Target="footer19.xml"/><Relationship Id="rId7" Type="http://schemas.openxmlformats.org/officeDocument/2006/relationships/styles" Target="styles.xml"/><Relationship Id="rId71"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www.nwfc.gov.au/about" TargetMode="External"/><Relationship Id="rId40" Type="http://schemas.openxmlformats.org/officeDocument/2006/relationships/header" Target="header12.xml"/><Relationship Id="rId45" Type="http://schemas.openxmlformats.org/officeDocument/2006/relationships/chart" Target="charts/chart2.xml"/><Relationship Id="rId53" Type="http://schemas.openxmlformats.org/officeDocument/2006/relationships/chart" Target="charts/chart10.xml"/><Relationship Id="rId58" Type="http://schemas.openxmlformats.org/officeDocument/2006/relationships/header" Target="header16.xml"/><Relationship Id="rId66" Type="http://schemas.openxmlformats.org/officeDocument/2006/relationships/header" Target="header21.xml"/><Relationship Id="rId74" Type="http://schemas.openxmlformats.org/officeDocument/2006/relationships/header" Target="header25.xml"/><Relationship Id="rId79" Type="http://schemas.openxmlformats.org/officeDocument/2006/relationships/header" Target="header28.xml"/><Relationship Id="rId5" Type="http://schemas.openxmlformats.org/officeDocument/2006/relationships/customXml" Target="../customXml/item5.xml"/><Relationship Id="rId61" Type="http://schemas.openxmlformats.org/officeDocument/2006/relationships/footer" Target="footer12.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image" Target="media/image6.jpeg"/><Relationship Id="rId44" Type="http://schemas.openxmlformats.org/officeDocument/2006/relationships/chart" Target="charts/chart1.xml"/><Relationship Id="rId52" Type="http://schemas.openxmlformats.org/officeDocument/2006/relationships/chart" Target="charts/chart9.xml"/><Relationship Id="rId60" Type="http://schemas.openxmlformats.org/officeDocument/2006/relationships/header" Target="header18.xml"/><Relationship Id="rId65" Type="http://schemas.openxmlformats.org/officeDocument/2006/relationships/header" Target="header20.xml"/><Relationship Id="rId73" Type="http://schemas.openxmlformats.org/officeDocument/2006/relationships/footer" Target="footer17.xml"/><Relationship Id="rId78" Type="http://schemas.openxmlformats.org/officeDocument/2006/relationships/header" Target="header27.xml"/><Relationship Id="rId81"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5.jpeg"/><Relationship Id="rId35" Type="http://schemas.openxmlformats.org/officeDocument/2006/relationships/footer" Target="footer8.xml"/><Relationship Id="rId43" Type="http://schemas.openxmlformats.org/officeDocument/2006/relationships/hyperlink" Target="http://www.nwfc.gov.au/about" TargetMode="External"/><Relationship Id="rId48" Type="http://schemas.openxmlformats.org/officeDocument/2006/relationships/chart" Target="charts/chart5.xml"/><Relationship Id="rId56" Type="http://schemas.openxmlformats.org/officeDocument/2006/relationships/footer" Target="footer10.xml"/><Relationship Id="rId64" Type="http://schemas.openxmlformats.org/officeDocument/2006/relationships/hyperlink" Target="http://www.nwfc.gov.au" TargetMode="External"/><Relationship Id="rId69" Type="http://schemas.openxmlformats.org/officeDocument/2006/relationships/header" Target="header22.xml"/><Relationship Id="rId77"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chart" Target="charts/chart8.xml"/><Relationship Id="rId72" Type="http://schemas.openxmlformats.org/officeDocument/2006/relationships/footer" Target="footer16.xml"/><Relationship Id="rId80"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mailto:nwfc@nwfc.gov.au" TargetMode="External"/><Relationship Id="rId46" Type="http://schemas.openxmlformats.org/officeDocument/2006/relationships/chart" Target="charts/chart3.xml"/><Relationship Id="rId59" Type="http://schemas.openxmlformats.org/officeDocument/2006/relationships/header" Target="header17.xml"/><Relationship Id="rId67" Type="http://schemas.openxmlformats.org/officeDocument/2006/relationships/footer" Target="footer14.xml"/><Relationship Id="rId20" Type="http://schemas.openxmlformats.org/officeDocument/2006/relationships/image" Target="cid:image001.jpg@01D68600.1FD800E0" TargetMode="External"/><Relationship Id="rId41" Type="http://schemas.openxmlformats.org/officeDocument/2006/relationships/footer" Target="footer9.xml"/><Relationship Id="rId54" Type="http://schemas.openxmlformats.org/officeDocument/2006/relationships/header" Target="header14.xml"/><Relationship Id="rId62" Type="http://schemas.openxmlformats.org/officeDocument/2006/relationships/footer" Target="footer13.xml"/><Relationship Id="rId70" Type="http://schemas.openxmlformats.org/officeDocument/2006/relationships/header" Target="header23.xml"/><Relationship Id="rId75" Type="http://schemas.openxmlformats.org/officeDocument/2006/relationships/footer" Target="footer18.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chart" Target="charts/chart6.xml"/><Relationship Id="rId57" Type="http://schemas.openxmlformats.org/officeDocument/2006/relationships/footer" Target="footer1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Figure 1: Complaints by Development Stage in </a:t>
            </a:r>
            <a:r>
              <a:rPr lang="en-AU"/>
              <a:t>2020</a:t>
            </a:r>
          </a:p>
          <a:p>
            <a:pPr algn="ctr">
              <a:defRPr/>
            </a:pPr>
            <a:r>
              <a:rPr lang="en-US"/>
              <a:t>(by number of complaints)</a:t>
            </a:r>
            <a:endParaRPr lang="en-AU"/>
          </a:p>
        </c:rich>
      </c:tx>
      <c:layout>
        <c:manualLayout>
          <c:xMode val="edge"/>
          <c:yMode val="edge"/>
          <c:x val="0.21539985295742242"/>
          <c:y val="2.551181102362204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587-4195-97F6-98A079FAC68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587-4195-97F6-98A079FAC68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587-4195-97F6-98A079FAC68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587-4195-97F6-98A079FAC68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587-4195-97F6-98A079FAC688}"/>
              </c:ext>
            </c:extLst>
          </c:dPt>
          <c:dLbls>
            <c:dLbl>
              <c:idx val="0"/>
              <c:layout>
                <c:manualLayout>
                  <c:x val="4.6444121915820029E-2"/>
                  <c:y val="-1.4035087719298246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A587-4195-97F6-98A079FAC688}"/>
                </c:ext>
                <c:ext xmlns:c15="http://schemas.microsoft.com/office/drawing/2012/chart" uri="{CE6537A1-D6FC-4f65-9D91-7224C49458BB}">
                  <c15:layout/>
                  <c15:dlblFieldTable/>
                  <c15:showDataLabelsRange val="0"/>
                </c:ext>
              </c:extLst>
            </c:dLbl>
            <c:dLbl>
              <c:idx val="1"/>
              <c:layout>
                <c:manualLayout>
                  <c:x val="6.3860667634252535E-2"/>
                  <c:y val="-2.8070175438596662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A587-4195-97F6-98A079FAC688}"/>
                </c:ex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A587-4195-97F6-98A079FAC688}"/>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Operating wind farms</c:v>
                </c:pt>
                <c:pt idx="1">
                  <c:v>Proposed wind farms</c:v>
                </c:pt>
                <c:pt idx="2">
                  <c:v>No wind farm specified</c:v>
                </c:pt>
              </c:strCache>
            </c:strRef>
          </c:cat>
          <c:val>
            <c:numRef>
              <c:f>Sheet1!$B$2:$B$4</c:f>
              <c:numCache>
                <c:formatCode>General</c:formatCode>
                <c:ptCount val="3"/>
                <c:pt idx="0">
                  <c:v>8</c:v>
                </c:pt>
                <c:pt idx="1">
                  <c:v>122</c:v>
                </c:pt>
                <c:pt idx="2">
                  <c:v>33</c:v>
                </c:pt>
              </c:numCache>
            </c:numRef>
          </c:val>
          <c:extLst xmlns:c16r2="http://schemas.microsoft.com/office/drawing/2015/06/chart">
            <c:ext xmlns:c16="http://schemas.microsoft.com/office/drawing/2014/chart" uri="{C3380CC4-5D6E-409C-BE32-E72D297353CC}">
              <c16:uniqueId val="{0000000A-A587-4195-97F6-98A079FAC688}"/>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10: Issues Raised by Complainants</a:t>
            </a:r>
          </a:p>
          <a:p>
            <a:pPr>
              <a:defRPr/>
            </a:pPr>
            <a:r>
              <a:rPr lang="en-US"/>
              <a:t>(note: a complaint may include more than one issue)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008631985517941"/>
          <c:y val="0.10892006395511628"/>
          <c:w val="0.68828541593591119"/>
          <c:h val="0.87645713777303258"/>
        </c:manualLayout>
      </c:layout>
      <c:barChart>
        <c:barDir val="bar"/>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Sheet1!$B$2:$B$15</c:f>
              <c:numCache>
                <c:formatCode>General</c:formatCode>
                <c:ptCount val="14"/>
                <c:pt idx="0">
                  <c:v>0</c:v>
                </c:pt>
                <c:pt idx="1">
                  <c:v>0</c:v>
                </c:pt>
                <c:pt idx="2">
                  <c:v>0</c:v>
                </c:pt>
                <c:pt idx="3">
                  <c:v>31</c:v>
                </c:pt>
                <c:pt idx="4">
                  <c:v>42</c:v>
                </c:pt>
                <c:pt idx="5">
                  <c:v>65</c:v>
                </c:pt>
                <c:pt idx="6">
                  <c:v>69</c:v>
                </c:pt>
                <c:pt idx="7">
                  <c:v>35</c:v>
                </c:pt>
                <c:pt idx="8">
                  <c:v>49</c:v>
                </c:pt>
                <c:pt idx="9">
                  <c:v>5</c:v>
                </c:pt>
                <c:pt idx="10">
                  <c:v>5</c:v>
                </c:pt>
                <c:pt idx="11">
                  <c:v>52</c:v>
                </c:pt>
                <c:pt idx="12">
                  <c:v>13</c:v>
                </c:pt>
                <c:pt idx="13">
                  <c:v>76</c:v>
                </c:pt>
              </c:numCache>
            </c:numRef>
          </c:val>
          <c:extLst xmlns:c16r2="http://schemas.microsoft.com/office/drawing/2015/06/chart">
            <c:ext xmlns:c16="http://schemas.microsoft.com/office/drawing/2014/chart" uri="{C3380CC4-5D6E-409C-BE32-E72D297353CC}">
              <c16:uniqueId val="{00000000-86CF-480C-A13E-21A83297E911}"/>
            </c:ext>
          </c:extLst>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Sheet1!$C$2:$C$15</c:f>
              <c:numCache>
                <c:formatCode>General</c:formatCode>
                <c:ptCount val="14"/>
                <c:pt idx="0">
                  <c:v>5</c:v>
                </c:pt>
                <c:pt idx="1">
                  <c:v>0</c:v>
                </c:pt>
                <c:pt idx="2">
                  <c:v>0</c:v>
                </c:pt>
                <c:pt idx="3">
                  <c:v>8</c:v>
                </c:pt>
                <c:pt idx="4">
                  <c:v>16</c:v>
                </c:pt>
                <c:pt idx="5">
                  <c:v>10</c:v>
                </c:pt>
                <c:pt idx="6">
                  <c:v>13</c:v>
                </c:pt>
                <c:pt idx="7">
                  <c:v>5</c:v>
                </c:pt>
                <c:pt idx="8">
                  <c:v>11</c:v>
                </c:pt>
                <c:pt idx="9">
                  <c:v>3</c:v>
                </c:pt>
                <c:pt idx="10">
                  <c:v>8</c:v>
                </c:pt>
                <c:pt idx="11">
                  <c:v>26</c:v>
                </c:pt>
                <c:pt idx="12">
                  <c:v>5</c:v>
                </c:pt>
                <c:pt idx="13">
                  <c:v>16</c:v>
                </c:pt>
              </c:numCache>
            </c:numRef>
          </c:val>
          <c:extLst xmlns:c16r2="http://schemas.microsoft.com/office/drawing/2015/06/chart">
            <c:ext xmlns:c16="http://schemas.microsoft.com/office/drawing/2014/chart" uri="{C3380CC4-5D6E-409C-BE32-E72D297353CC}">
              <c16:uniqueId val="{00000001-86CF-480C-A13E-21A83297E911}"/>
            </c:ext>
          </c:extLst>
        </c:ser>
        <c:ser>
          <c:idx val="2"/>
          <c:order val="2"/>
          <c:tx>
            <c:strRef>
              <c:f>Sheet1!$D$1</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Sheet1!$D$2:$D$15</c:f>
              <c:numCache>
                <c:formatCode>General</c:formatCode>
                <c:ptCount val="14"/>
                <c:pt idx="0">
                  <c:v>0</c:v>
                </c:pt>
                <c:pt idx="1">
                  <c:v>0</c:v>
                </c:pt>
                <c:pt idx="2">
                  <c:v>4</c:v>
                </c:pt>
                <c:pt idx="3">
                  <c:v>11</c:v>
                </c:pt>
                <c:pt idx="4">
                  <c:v>42</c:v>
                </c:pt>
                <c:pt idx="5">
                  <c:v>38</c:v>
                </c:pt>
                <c:pt idx="6">
                  <c:v>39</c:v>
                </c:pt>
                <c:pt idx="7">
                  <c:v>18</c:v>
                </c:pt>
                <c:pt idx="8">
                  <c:v>19</c:v>
                </c:pt>
                <c:pt idx="9">
                  <c:v>3</c:v>
                </c:pt>
                <c:pt idx="10">
                  <c:v>14</c:v>
                </c:pt>
                <c:pt idx="11">
                  <c:v>41</c:v>
                </c:pt>
                <c:pt idx="12">
                  <c:v>4</c:v>
                </c:pt>
                <c:pt idx="13">
                  <c:v>57</c:v>
                </c:pt>
              </c:numCache>
            </c:numRef>
          </c:val>
          <c:extLst xmlns:c16r2="http://schemas.microsoft.com/office/drawing/2015/06/chart">
            <c:ext xmlns:c16="http://schemas.microsoft.com/office/drawing/2014/chart" uri="{C3380CC4-5D6E-409C-BE32-E72D297353CC}">
              <c16:uniqueId val="{00000002-86CF-480C-A13E-21A83297E911}"/>
            </c:ext>
          </c:extLst>
        </c:ser>
        <c:ser>
          <c:idx val="3"/>
          <c:order val="3"/>
          <c:tx>
            <c:strRef>
              <c:f>Sheet1!$E$1</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Sheet1!$E$2:$E$15</c:f>
              <c:numCache>
                <c:formatCode>General</c:formatCode>
                <c:ptCount val="14"/>
                <c:pt idx="0">
                  <c:v>2</c:v>
                </c:pt>
                <c:pt idx="1">
                  <c:v>2</c:v>
                </c:pt>
                <c:pt idx="2">
                  <c:v>3</c:v>
                </c:pt>
                <c:pt idx="3">
                  <c:v>1</c:v>
                </c:pt>
                <c:pt idx="4">
                  <c:v>11</c:v>
                </c:pt>
                <c:pt idx="5">
                  <c:v>34</c:v>
                </c:pt>
                <c:pt idx="6">
                  <c:v>17</c:v>
                </c:pt>
                <c:pt idx="7">
                  <c:v>20</c:v>
                </c:pt>
                <c:pt idx="8">
                  <c:v>19</c:v>
                </c:pt>
                <c:pt idx="9">
                  <c:v>2</c:v>
                </c:pt>
                <c:pt idx="10">
                  <c:v>7</c:v>
                </c:pt>
                <c:pt idx="11">
                  <c:v>11</c:v>
                </c:pt>
                <c:pt idx="12">
                  <c:v>1</c:v>
                </c:pt>
                <c:pt idx="13">
                  <c:v>24</c:v>
                </c:pt>
              </c:numCache>
            </c:numRef>
          </c:val>
          <c:extLst xmlns:c16r2="http://schemas.microsoft.com/office/drawing/2015/06/chart">
            <c:ext xmlns:c16="http://schemas.microsoft.com/office/drawing/2014/chart" uri="{C3380CC4-5D6E-409C-BE32-E72D297353CC}">
              <c16:uniqueId val="{00000003-86CF-480C-A13E-21A83297E911}"/>
            </c:ext>
          </c:extLst>
        </c:ser>
        <c:ser>
          <c:idx val="4"/>
          <c:order val="4"/>
          <c:tx>
            <c:strRef>
              <c:f>Sheet1!$F$1</c:f>
              <c:strCache>
                <c:ptCount val="1"/>
                <c:pt idx="0">
                  <c:v>2015-16*</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Sheet1!$F$2:$F$15</c:f>
              <c:numCache>
                <c:formatCode>General</c:formatCode>
                <c:ptCount val="14"/>
                <c:pt idx="0">
                  <c:v>1</c:v>
                </c:pt>
                <c:pt idx="1">
                  <c:v>19</c:v>
                </c:pt>
                <c:pt idx="2">
                  <c:v>0</c:v>
                </c:pt>
                <c:pt idx="3">
                  <c:v>5</c:v>
                </c:pt>
                <c:pt idx="4">
                  <c:v>26</c:v>
                </c:pt>
                <c:pt idx="5">
                  <c:v>55</c:v>
                </c:pt>
                <c:pt idx="6">
                  <c:v>20</c:v>
                </c:pt>
                <c:pt idx="7">
                  <c:v>46</c:v>
                </c:pt>
                <c:pt idx="8">
                  <c:v>32</c:v>
                </c:pt>
                <c:pt idx="9">
                  <c:v>0</c:v>
                </c:pt>
                <c:pt idx="10">
                  <c:v>7</c:v>
                </c:pt>
                <c:pt idx="11">
                  <c:v>15</c:v>
                </c:pt>
                <c:pt idx="12">
                  <c:v>0</c:v>
                </c:pt>
                <c:pt idx="13">
                  <c:v>24</c:v>
                </c:pt>
              </c:numCache>
            </c:numRef>
          </c:val>
          <c:extLst xmlns:c16r2="http://schemas.microsoft.com/office/drawing/2015/06/chart">
            <c:ext xmlns:c16="http://schemas.microsoft.com/office/drawing/2014/chart" uri="{C3380CC4-5D6E-409C-BE32-E72D297353CC}">
              <c16:uniqueId val="{00000000-4EDB-44B3-BBB0-BDB78F4C5671}"/>
            </c:ext>
          </c:extLst>
        </c:ser>
        <c:dLbls>
          <c:showLegendKey val="0"/>
          <c:showVal val="0"/>
          <c:showCatName val="0"/>
          <c:showSerName val="0"/>
          <c:showPercent val="0"/>
          <c:showBubbleSize val="0"/>
        </c:dLbls>
        <c:gapWidth val="182"/>
        <c:axId val="552529592"/>
        <c:axId val="552532336"/>
      </c:barChart>
      <c:catAx>
        <c:axId val="552529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532336"/>
        <c:crosses val="autoZero"/>
        <c:auto val="1"/>
        <c:lblAlgn val="ctr"/>
        <c:lblOffset val="100"/>
        <c:noMultiLvlLbl val="0"/>
      </c:catAx>
      <c:valAx>
        <c:axId val="552532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529592"/>
        <c:crosses val="autoZero"/>
        <c:crossBetween val="between"/>
      </c:valAx>
      <c:spPr>
        <a:noFill/>
        <a:ln>
          <a:noFill/>
        </a:ln>
        <a:effectLst/>
      </c:spPr>
    </c:plotArea>
    <c:legend>
      <c:legendPos val="b"/>
      <c:layout>
        <c:manualLayout>
          <c:xMode val="edge"/>
          <c:yMode val="edge"/>
          <c:x val="0.29824388330769003"/>
          <c:y val="5.9318957207377961E-2"/>
          <c:w val="0.36089118170573503"/>
          <c:h val="2.32119918985367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AU" sz="1400" b="0" kern="1200" cap="none" spc="0" baseline="0">
                <a:latin typeface="Calibri" panose="020F0502020204030204" pitchFamily="34" charset="0"/>
              </a:rPr>
              <a:t>Figure 2: Total Complaint Numbers per Year (2015-20)</a:t>
            </a:r>
          </a:p>
        </c:rich>
      </c:tx>
      <c:layout/>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2015-16*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complaints received</c:v>
                </c:pt>
              </c:strCache>
            </c:strRef>
          </c:cat>
          <c:val>
            <c:numRef>
              <c:f>Sheet1!$B$2</c:f>
              <c:numCache>
                <c:formatCode>General</c:formatCode>
                <c:ptCount val="1"/>
                <c:pt idx="0">
                  <c:v>90</c:v>
                </c:pt>
              </c:numCache>
            </c:numRef>
          </c:val>
          <c:extLst xmlns:c16r2="http://schemas.microsoft.com/office/drawing/2015/06/chart">
            <c:ext xmlns:c16="http://schemas.microsoft.com/office/drawing/2014/chart" uri="{C3380CC4-5D6E-409C-BE32-E72D297353CC}">
              <c16:uniqueId val="{00000000-71CE-4EAB-92E9-13A552CB0EA0}"/>
            </c:ext>
          </c:extLst>
        </c:ser>
        <c:ser>
          <c:idx val="1"/>
          <c:order val="1"/>
          <c:tx>
            <c:strRef>
              <c:f>Sheet1!$C$1</c:f>
              <c:strCache>
                <c:ptCount val="1"/>
                <c:pt idx="0">
                  <c:v>2017</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complaints received</c:v>
                </c:pt>
              </c:strCache>
            </c:strRef>
          </c:cat>
          <c:val>
            <c:numRef>
              <c:f>Sheet1!$C$2</c:f>
              <c:numCache>
                <c:formatCode>General</c:formatCode>
                <c:ptCount val="1"/>
                <c:pt idx="0">
                  <c:v>73</c:v>
                </c:pt>
              </c:numCache>
            </c:numRef>
          </c:val>
          <c:extLst xmlns:c16r2="http://schemas.microsoft.com/office/drawing/2015/06/chart">
            <c:ext xmlns:c16="http://schemas.microsoft.com/office/drawing/2014/chart" uri="{C3380CC4-5D6E-409C-BE32-E72D297353CC}">
              <c16:uniqueId val="{00000001-71CE-4EAB-92E9-13A552CB0EA0}"/>
            </c:ext>
          </c:extLst>
        </c:ser>
        <c:ser>
          <c:idx val="2"/>
          <c:order val="2"/>
          <c:tx>
            <c:strRef>
              <c:f>Sheet1!$D$1</c:f>
              <c:strCache>
                <c:ptCount val="1"/>
                <c:pt idx="0">
                  <c:v>2018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complaints received</c:v>
                </c:pt>
              </c:strCache>
            </c:strRef>
          </c:cat>
          <c:val>
            <c:numRef>
              <c:f>Sheet1!$D$2</c:f>
              <c:numCache>
                <c:formatCode>General</c:formatCode>
                <c:ptCount val="1"/>
                <c:pt idx="0">
                  <c:v>123</c:v>
                </c:pt>
              </c:numCache>
            </c:numRef>
          </c:val>
          <c:extLst xmlns:c16r2="http://schemas.microsoft.com/office/drawing/2015/06/chart">
            <c:ext xmlns:c16="http://schemas.microsoft.com/office/drawing/2014/chart" uri="{C3380CC4-5D6E-409C-BE32-E72D297353CC}">
              <c16:uniqueId val="{00000002-71CE-4EAB-92E9-13A552CB0EA0}"/>
            </c:ext>
          </c:extLst>
        </c:ser>
        <c:ser>
          <c:idx val="3"/>
          <c:order val="3"/>
          <c:tx>
            <c:strRef>
              <c:f>Sheet1!$E$1</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complaints received</c:v>
                </c:pt>
              </c:strCache>
            </c:strRef>
          </c:cat>
          <c:val>
            <c:numRef>
              <c:f>Sheet1!$E$2</c:f>
              <c:numCache>
                <c:formatCode>General</c:formatCode>
                <c:ptCount val="1"/>
                <c:pt idx="0">
                  <c:v>75</c:v>
                </c:pt>
              </c:numCache>
            </c:numRef>
          </c:val>
          <c:extLst xmlns:c16r2="http://schemas.microsoft.com/office/drawing/2015/06/chart">
            <c:ext xmlns:c16="http://schemas.microsoft.com/office/drawing/2014/chart" uri="{C3380CC4-5D6E-409C-BE32-E72D297353CC}">
              <c16:uniqueId val="{00000003-71CE-4EAB-92E9-13A552CB0EA0}"/>
            </c:ext>
          </c:extLst>
        </c:ser>
        <c:ser>
          <c:idx val="4"/>
          <c:order val="4"/>
          <c:tx>
            <c:strRef>
              <c:f>Sheet1!$F$1</c:f>
              <c:strCache>
                <c:ptCount val="1"/>
                <c:pt idx="0">
                  <c:v>2020</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complaints received</c:v>
                </c:pt>
              </c:strCache>
            </c:strRef>
          </c:cat>
          <c:val>
            <c:numRef>
              <c:f>Sheet1!$F$2</c:f>
              <c:numCache>
                <c:formatCode>General</c:formatCode>
                <c:ptCount val="1"/>
                <c:pt idx="0">
                  <c:v>163</c:v>
                </c:pt>
              </c:numCache>
            </c:numRef>
          </c:val>
          <c:extLst xmlns:c16r2="http://schemas.microsoft.com/office/drawing/2015/06/chart">
            <c:ext xmlns:c16="http://schemas.microsoft.com/office/drawing/2014/chart" uri="{C3380CC4-5D6E-409C-BE32-E72D297353CC}">
              <c16:uniqueId val="{00000000-052E-4085-847A-17D78BF4B8C6}"/>
            </c:ext>
          </c:extLst>
        </c:ser>
        <c:dLbls>
          <c:dLblPos val="outEnd"/>
          <c:showLegendKey val="0"/>
          <c:showVal val="1"/>
          <c:showCatName val="0"/>
          <c:showSerName val="0"/>
          <c:showPercent val="0"/>
          <c:showBubbleSize val="0"/>
        </c:dLbls>
        <c:gapWidth val="444"/>
        <c:overlap val="-20"/>
        <c:axId val="545040600"/>
        <c:axId val="545040992"/>
      </c:barChart>
      <c:catAx>
        <c:axId val="545040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45040992"/>
        <c:crosses val="autoZero"/>
        <c:auto val="1"/>
        <c:lblAlgn val="ctr"/>
        <c:lblOffset val="100"/>
        <c:noMultiLvlLbl val="0"/>
      </c:catAx>
      <c:valAx>
        <c:axId val="545040992"/>
        <c:scaling>
          <c:orientation val="minMax"/>
        </c:scaling>
        <c:delete val="1"/>
        <c:axPos val="l"/>
        <c:numFmt formatCode="General" sourceLinked="1"/>
        <c:majorTickMark val="none"/>
        <c:minorTickMark val="none"/>
        <c:tickLblPos val="nextTo"/>
        <c:crossAx val="545040600"/>
        <c:crosses val="autoZero"/>
        <c:crossBetween val="between"/>
      </c:valAx>
      <c:spPr>
        <a:noFill/>
        <a:ln>
          <a:noFill/>
        </a:ln>
        <a:effectLst/>
      </c:spPr>
    </c:plotArea>
    <c:legend>
      <c:legendPos val="t"/>
      <c:layout>
        <c:manualLayout>
          <c:xMode val="edge"/>
          <c:yMode val="edge"/>
          <c:x val="0.20430219488377058"/>
          <c:y val="0.12344112828770466"/>
          <c:w val="0.59487895562834892"/>
          <c:h val="6.4103012764430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AU" sz="1400" b="0" kern="1200" cap="none" spc="0" baseline="0">
                <a:latin typeface="Calibri" panose="020F0502020204030204" pitchFamily="34" charset="0"/>
              </a:rPr>
              <a:t>Figure 3: Complaint by Development Stage per Year (2015-20)</a:t>
            </a:r>
          </a:p>
        </c:rich>
      </c:tx>
      <c:layout/>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2015-16*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projects</c:v>
                </c:pt>
                <c:pt idx="1">
                  <c:v>Proposed projects</c:v>
                </c:pt>
                <c:pt idx="2">
                  <c:v>General enquiries</c:v>
                </c:pt>
              </c:strCache>
            </c:strRef>
          </c:cat>
          <c:val>
            <c:numRef>
              <c:f>Sheet1!$B$2:$B$4</c:f>
              <c:numCache>
                <c:formatCode>General</c:formatCode>
                <c:ptCount val="3"/>
                <c:pt idx="0">
                  <c:v>46</c:v>
                </c:pt>
                <c:pt idx="1">
                  <c:v>42</c:v>
                </c:pt>
                <c:pt idx="2">
                  <c:v>2</c:v>
                </c:pt>
              </c:numCache>
            </c:numRef>
          </c:val>
          <c:extLst xmlns:c16r2="http://schemas.microsoft.com/office/drawing/2015/06/chart">
            <c:ext xmlns:c16="http://schemas.microsoft.com/office/drawing/2014/chart" uri="{C3380CC4-5D6E-409C-BE32-E72D297353CC}">
              <c16:uniqueId val="{00000000-71CE-4EAB-92E9-13A552CB0EA0}"/>
            </c:ext>
          </c:extLst>
        </c:ser>
        <c:ser>
          <c:idx val="1"/>
          <c:order val="1"/>
          <c:tx>
            <c:strRef>
              <c:f>Sheet1!$C$1</c:f>
              <c:strCache>
                <c:ptCount val="1"/>
                <c:pt idx="0">
                  <c:v>2017</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projects</c:v>
                </c:pt>
                <c:pt idx="1">
                  <c:v>Proposed projects</c:v>
                </c:pt>
                <c:pt idx="2">
                  <c:v>General enquiries</c:v>
                </c:pt>
              </c:strCache>
            </c:strRef>
          </c:cat>
          <c:val>
            <c:numRef>
              <c:f>Sheet1!$C$2:$C$4</c:f>
              <c:numCache>
                <c:formatCode>General</c:formatCode>
                <c:ptCount val="3"/>
                <c:pt idx="0">
                  <c:v>11</c:v>
                </c:pt>
                <c:pt idx="1">
                  <c:v>54</c:v>
                </c:pt>
                <c:pt idx="2">
                  <c:v>8</c:v>
                </c:pt>
              </c:numCache>
            </c:numRef>
          </c:val>
          <c:extLst xmlns:c16r2="http://schemas.microsoft.com/office/drawing/2015/06/chart">
            <c:ext xmlns:c16="http://schemas.microsoft.com/office/drawing/2014/chart" uri="{C3380CC4-5D6E-409C-BE32-E72D297353CC}">
              <c16:uniqueId val="{00000001-71CE-4EAB-92E9-13A552CB0EA0}"/>
            </c:ext>
          </c:extLst>
        </c:ser>
        <c:ser>
          <c:idx val="2"/>
          <c:order val="2"/>
          <c:tx>
            <c:strRef>
              <c:f>Sheet1!$D$1</c:f>
              <c:strCache>
                <c:ptCount val="1"/>
                <c:pt idx="0">
                  <c:v>2018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projects</c:v>
                </c:pt>
                <c:pt idx="1">
                  <c:v>Proposed projects</c:v>
                </c:pt>
                <c:pt idx="2">
                  <c:v>General enquiries</c:v>
                </c:pt>
              </c:strCache>
            </c:strRef>
          </c:cat>
          <c:val>
            <c:numRef>
              <c:f>Sheet1!$D$2:$D$4</c:f>
              <c:numCache>
                <c:formatCode>General</c:formatCode>
                <c:ptCount val="3"/>
                <c:pt idx="0">
                  <c:v>8</c:v>
                </c:pt>
                <c:pt idx="1">
                  <c:v>98</c:v>
                </c:pt>
                <c:pt idx="2">
                  <c:v>17</c:v>
                </c:pt>
              </c:numCache>
            </c:numRef>
          </c:val>
          <c:extLst xmlns:c16r2="http://schemas.microsoft.com/office/drawing/2015/06/chart">
            <c:ext xmlns:c16="http://schemas.microsoft.com/office/drawing/2014/chart" uri="{C3380CC4-5D6E-409C-BE32-E72D297353CC}">
              <c16:uniqueId val="{00000002-71CE-4EAB-92E9-13A552CB0EA0}"/>
            </c:ext>
          </c:extLst>
        </c:ser>
        <c:ser>
          <c:idx val="3"/>
          <c:order val="3"/>
          <c:tx>
            <c:strRef>
              <c:f>Sheet1!$E$1</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projects</c:v>
                </c:pt>
                <c:pt idx="1">
                  <c:v>Proposed projects</c:v>
                </c:pt>
                <c:pt idx="2">
                  <c:v>General enquiries</c:v>
                </c:pt>
              </c:strCache>
            </c:strRef>
          </c:cat>
          <c:val>
            <c:numRef>
              <c:f>Sheet1!$E$2:$E$4</c:f>
              <c:numCache>
                <c:formatCode>General</c:formatCode>
                <c:ptCount val="3"/>
                <c:pt idx="0">
                  <c:v>5</c:v>
                </c:pt>
                <c:pt idx="1">
                  <c:v>47</c:v>
                </c:pt>
                <c:pt idx="2">
                  <c:v>23</c:v>
                </c:pt>
              </c:numCache>
            </c:numRef>
          </c:val>
          <c:extLst xmlns:c16r2="http://schemas.microsoft.com/office/drawing/2015/06/chart">
            <c:ext xmlns:c16="http://schemas.microsoft.com/office/drawing/2014/chart" uri="{C3380CC4-5D6E-409C-BE32-E72D297353CC}">
              <c16:uniqueId val="{00000003-71CE-4EAB-92E9-13A552CB0EA0}"/>
            </c:ext>
          </c:extLst>
        </c:ser>
        <c:ser>
          <c:idx val="4"/>
          <c:order val="4"/>
          <c:tx>
            <c:strRef>
              <c:f>Sheet1!$F$1</c:f>
              <c:strCache>
                <c:ptCount val="1"/>
                <c:pt idx="0">
                  <c:v>2020</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projects</c:v>
                </c:pt>
                <c:pt idx="1">
                  <c:v>Proposed projects</c:v>
                </c:pt>
                <c:pt idx="2">
                  <c:v>General enquiries</c:v>
                </c:pt>
              </c:strCache>
            </c:strRef>
          </c:cat>
          <c:val>
            <c:numRef>
              <c:f>Sheet1!$F$2:$F$4</c:f>
              <c:numCache>
                <c:formatCode>General</c:formatCode>
                <c:ptCount val="3"/>
                <c:pt idx="0">
                  <c:v>8</c:v>
                </c:pt>
                <c:pt idx="1">
                  <c:v>122</c:v>
                </c:pt>
                <c:pt idx="2">
                  <c:v>33</c:v>
                </c:pt>
              </c:numCache>
            </c:numRef>
          </c:val>
          <c:extLst xmlns:c16r2="http://schemas.microsoft.com/office/drawing/2015/06/chart">
            <c:ext xmlns:c16="http://schemas.microsoft.com/office/drawing/2014/chart" uri="{C3380CC4-5D6E-409C-BE32-E72D297353CC}">
              <c16:uniqueId val="{00000000-01FB-4AA5-9013-D872769857CE}"/>
            </c:ext>
          </c:extLst>
        </c:ser>
        <c:dLbls>
          <c:dLblPos val="outEnd"/>
          <c:showLegendKey val="0"/>
          <c:showVal val="1"/>
          <c:showCatName val="0"/>
          <c:showSerName val="0"/>
          <c:showPercent val="0"/>
          <c:showBubbleSize val="0"/>
        </c:dLbls>
        <c:gapWidth val="444"/>
        <c:overlap val="-20"/>
        <c:axId val="550374320"/>
        <c:axId val="550371576"/>
      </c:barChart>
      <c:catAx>
        <c:axId val="550374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50371576"/>
        <c:crosses val="autoZero"/>
        <c:auto val="1"/>
        <c:lblAlgn val="ctr"/>
        <c:lblOffset val="100"/>
        <c:noMultiLvlLbl val="0"/>
      </c:catAx>
      <c:valAx>
        <c:axId val="550371576"/>
        <c:scaling>
          <c:orientation val="minMax"/>
        </c:scaling>
        <c:delete val="1"/>
        <c:axPos val="l"/>
        <c:numFmt formatCode="General" sourceLinked="1"/>
        <c:majorTickMark val="none"/>
        <c:minorTickMark val="none"/>
        <c:tickLblPos val="nextTo"/>
        <c:crossAx val="550374320"/>
        <c:crosses val="autoZero"/>
        <c:crossBetween val="between"/>
      </c:valAx>
      <c:spPr>
        <a:noFill/>
        <a:ln>
          <a:noFill/>
        </a:ln>
        <a:effectLst/>
      </c:spPr>
    </c:plotArea>
    <c:legend>
      <c:legendPos val="t"/>
      <c:layout>
        <c:manualLayout>
          <c:xMode val="edge"/>
          <c:yMode val="edge"/>
          <c:x val="0.22723359580052493"/>
          <c:y val="0.15502415458937199"/>
          <c:w val="0.34645553443750565"/>
          <c:h val="6.4103012764430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4: Operating Wind Farm Complaints Nov 2015 - Dec 2020        Wind Farm Locations (by number of complaints)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78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8E8-4E0C-88D8-3A268552A70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8E8-4E0C-88D8-3A268552A70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8E8-4E0C-88D8-3A268552A70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18E8-4E0C-88D8-3A268552A700}"/>
              </c:ext>
            </c:extLst>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complaints)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8E8-4E0C-88D8-3A268552A700}"/>
                </c:ext>
                <c:ext xmlns:c15="http://schemas.microsoft.com/office/drawing/2012/chart" uri="{CE6537A1-D6FC-4f65-9D91-7224C49458BB}">
                  <c15:layout/>
                  <c15:dlblFieldTable/>
                  <c15:showDataLabelsRange val="0"/>
                </c:ext>
              </c:extLst>
            </c:dLbl>
            <c:dLbl>
              <c:idx val="1"/>
              <c:layout>
                <c:manualLayout>
                  <c:x val="-5.0835411996858058E-2"/>
                  <c:y val="-2.213410620089444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F35352F-2A8C-4C12-826C-7543206762EB}" type="CATEGORYNAME">
                      <a:rPr lang="en-US"/>
                      <a:pPr>
                        <a:defRPr sz="900" b="0" i="0" u="none" strike="noStrike" kern="1200" baseline="0">
                          <a:solidFill>
                            <a:schemeClr val="tx1">
                              <a:lumMod val="75000"/>
                              <a:lumOff val="25000"/>
                            </a:schemeClr>
                          </a:solidFill>
                          <a:latin typeface="+mn-lt"/>
                          <a:ea typeface="+mn-ea"/>
                          <a:cs typeface="+mn-cs"/>
                        </a:defRPr>
                      </a:pPr>
                      <a:t>[CATEGORY NAME]</a:t>
                    </a:fld>
                    <a:r>
                      <a:rPr lang="en-US" baseline="0"/>
                      <a:t> (</a:t>
                    </a:r>
                    <a:fld id="{ED6CC19A-C6C1-4268-9731-9601BFDA0EA8}" type="VALUE">
                      <a:rPr lang="en-US" baseline="0"/>
                      <a:pPr>
                        <a:defRPr sz="900" b="0" i="0" u="none" strike="noStrike" kern="1200" baseline="0">
                          <a:solidFill>
                            <a:schemeClr val="tx1">
                              <a:lumMod val="75000"/>
                              <a:lumOff val="25000"/>
                            </a:schemeClr>
                          </a:solidFill>
                          <a:latin typeface="+mn-lt"/>
                          <a:ea typeface="+mn-ea"/>
                          <a:cs typeface="+mn-cs"/>
                        </a:defRPr>
                      </a:pPr>
                      <a:t>[VALUE]</a:t>
                    </a:fld>
                    <a:r>
                      <a:rPr lang="en-US" baseline="0"/>
                      <a:t> complaints)</a:t>
                    </a:r>
                  </a:p>
                </c:rich>
              </c:tx>
              <c:spPr>
                <a:noFill/>
                <a:ln>
                  <a:noFill/>
                </a:ln>
                <a:effectLst/>
              </c:sp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8E8-4E0C-88D8-3A268552A700}"/>
                </c:ext>
                <c:ext xmlns:c15="http://schemas.microsoft.com/office/drawing/2012/chart" uri="{CE6537A1-D6FC-4f65-9D91-7224C49458BB}">
                  <c15:layout>
                    <c:manualLayout>
                      <c:w val="0.26695863746958637"/>
                      <c:h val="0.13016286644951139"/>
                    </c:manualLayout>
                  </c15:layout>
                  <c15:dlblFieldTable/>
                  <c15:showDataLabelsRange val="0"/>
                </c:ext>
              </c:extLst>
            </c:dLbl>
            <c:dLbl>
              <c:idx val="2"/>
              <c:layout>
                <c:manualLayout>
                  <c:x val="-3.7707531084161944E-2"/>
                  <c:y val="6.073507912488097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1B56714-2D72-48B2-95C4-A2114893D7FB}" type="CATEGORYNAME">
                      <a:rPr lang="en-US"/>
                      <a:pPr>
                        <a:defRPr sz="900" b="0" i="0" u="none" strike="noStrike" kern="1200" baseline="0">
                          <a:solidFill>
                            <a:schemeClr val="tx1">
                              <a:lumMod val="75000"/>
                              <a:lumOff val="25000"/>
                            </a:schemeClr>
                          </a:solidFill>
                          <a:latin typeface="+mn-lt"/>
                          <a:ea typeface="+mn-ea"/>
                          <a:cs typeface="+mn-cs"/>
                        </a:defRPr>
                      </a:pPr>
                      <a:t>[CATEGORY NAME]</a:t>
                    </a:fld>
                    <a:r>
                      <a:rPr lang="en-US" baseline="0"/>
                      <a:t> (</a:t>
                    </a:r>
                    <a:fld id="{C78247B8-C4B9-4E0A-B30B-F0B34BACFEFF}" type="VALUE">
                      <a:rPr lang="en-US" baseline="0"/>
                      <a:pPr>
                        <a:defRPr sz="900" b="0" i="0" u="none" strike="noStrike" kern="1200" baseline="0">
                          <a:solidFill>
                            <a:schemeClr val="tx1">
                              <a:lumMod val="75000"/>
                              <a:lumOff val="25000"/>
                            </a:schemeClr>
                          </a:solidFill>
                          <a:latin typeface="+mn-lt"/>
                          <a:ea typeface="+mn-ea"/>
                          <a:cs typeface="+mn-cs"/>
                        </a:defRPr>
                      </a:pPr>
                      <a:t>[VALUE]</a:t>
                    </a:fld>
                    <a:r>
                      <a:rPr lang="en-US" baseline="0"/>
                      <a:t> complaints)</a:t>
                    </a:r>
                  </a:p>
                </c:rich>
              </c:tx>
              <c:spPr>
                <a:noFill/>
                <a:ln>
                  <a:noFill/>
                </a:ln>
                <a:effectLst/>
              </c:sp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8E8-4E0C-88D8-3A268552A700}"/>
                </c:ext>
                <c:ext xmlns:c15="http://schemas.microsoft.com/office/drawing/2012/chart" uri="{CE6537A1-D6FC-4f65-9D91-7224C49458BB}">
                  <c15:layout>
                    <c:manualLayout>
                      <c:w val="0.24990754257907538"/>
                      <c:h val="0.14319218241042345"/>
                    </c:manualLayout>
                  </c15:layout>
                  <c15:dlblFieldTable/>
                  <c15:showDataLabelsRange val="0"/>
                </c:ext>
              </c:extLst>
            </c:dLbl>
            <c:dLbl>
              <c:idx val="3"/>
              <c:layout>
                <c:manualLayout>
                  <c:x val="0.1732360863651167"/>
                  <c:y val="4.3431053203039777E-3"/>
                </c:manualLayout>
              </c:layout>
              <c:tx>
                <c:rich>
                  <a:bodyPr/>
                  <a:lstStyle/>
                  <a:p>
                    <a:fld id="{2808E397-6DEB-461F-ADC4-F647F129CB5D}" type="CATEGORYNAME">
                      <a:rPr lang="en-US"/>
                      <a:pPr/>
                      <a:t>[CATEGORY NAME]</a:t>
                    </a:fld>
                    <a:r>
                      <a:rPr lang="en-US" baseline="0"/>
                      <a:t> (</a:t>
                    </a:r>
                    <a:fld id="{E878A639-2191-43B2-A7BD-4880B4F7A166}" type="VALUE">
                      <a:rPr lang="en-US" baseline="0"/>
                      <a:pPr/>
                      <a:t>[VALUE]</a:t>
                    </a:fld>
                    <a:r>
                      <a:rPr lang="en-US" baseline="0"/>
                      <a:t> complaints)</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0995628101231867"/>
                      <c:h val="0.1084473398479913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South Australia</c:v>
                </c:pt>
                <c:pt idx="3">
                  <c:v>Queensland</c:v>
                </c:pt>
              </c:strCache>
            </c:strRef>
          </c:cat>
          <c:val>
            <c:numRef>
              <c:f>Sheet1!$B$2:$B$5</c:f>
              <c:numCache>
                <c:formatCode>General</c:formatCode>
                <c:ptCount val="4"/>
                <c:pt idx="0">
                  <c:v>47</c:v>
                </c:pt>
                <c:pt idx="1">
                  <c:v>10</c:v>
                </c:pt>
                <c:pt idx="2">
                  <c:v>18</c:v>
                </c:pt>
                <c:pt idx="3">
                  <c:v>3</c:v>
                </c:pt>
              </c:numCache>
            </c:numRef>
          </c:val>
          <c:extLst xmlns:c16r2="http://schemas.microsoft.com/office/drawing/2015/06/chart">
            <c:ext xmlns:c16="http://schemas.microsoft.com/office/drawing/2014/chart" uri="{C3380CC4-5D6E-409C-BE32-E72D297353CC}">
              <c16:uniqueId val="{00000009-18E8-4E0C-88D8-3A268552A700}"/>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5: Operating Wind Farm Complaints Nov 2015 - Dec 2020        Wind Farm Locations (by wind farm projects)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17 projects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1B-4870-A0D8-00D16A65EF0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1B-4870-A0D8-00D16A65EF0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1B-4870-A0D8-00D16A65EF0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191B-4870-A0D8-00D16A65EF06}"/>
              </c:ext>
            </c:extLst>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91B-4870-A0D8-00D16A65EF06}"/>
                </c:ext>
                <c:ext xmlns:c15="http://schemas.microsoft.com/office/drawing/2012/chart" uri="{CE6537A1-D6FC-4f65-9D91-7224C49458BB}">
                  <c15:layout/>
                  <c15:dlblFieldTable/>
                  <c15:showDataLabelsRange val="0"/>
                </c:ext>
              </c:extLst>
            </c:dLbl>
            <c:dLbl>
              <c:idx val="1"/>
              <c:layout>
                <c:manualLayout>
                  <c:x val="-1.2879336309951431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91B-4870-A0D8-00D16A65EF06}"/>
                </c:ext>
                <c:ext xmlns:c15="http://schemas.microsoft.com/office/drawing/2012/chart" uri="{CE6537A1-D6FC-4f65-9D91-7224C49458BB}">
                  <c15:layout>
                    <c:manualLayout>
                      <c:w val="0.22285158150851581"/>
                      <c:h val="0.10844733984799132"/>
                    </c:manualLayout>
                  </c15:layout>
                  <c15:dlblFieldTable/>
                  <c15:showDataLabelsRange val="0"/>
                </c:ext>
              </c:extLst>
            </c:dLbl>
            <c:dLbl>
              <c:idx val="2"/>
              <c:layout>
                <c:manualLayout>
                  <c:x val="-2.6028698967373587E-2"/>
                  <c:y val="1.0416613232792155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91B-4870-A0D8-00D16A65EF06}"/>
                </c:ext>
                <c:ext xmlns:c15="http://schemas.microsoft.com/office/drawing/2012/chart" uri="{CE6537A1-D6FC-4f65-9D91-7224C49458BB}">
                  <c15:layout>
                    <c:manualLayout>
                      <c:w val="0.25524087591240874"/>
                      <c:h val="0.10844733984799132"/>
                    </c:manualLayout>
                  </c15:layout>
                  <c15:dlblFieldTable/>
                  <c15:showDataLabelsRange val="0"/>
                </c:ext>
              </c:extLst>
            </c:dLbl>
            <c:dLbl>
              <c:idx val="3"/>
              <c:layout>
                <c:manualLayout>
                  <c:x val="-9.7323600973236044E-2"/>
                  <c:y val="-4.3431053203040214E-2"/>
                </c:manualLayout>
              </c:layout>
              <c:tx>
                <c:rich>
                  <a:bodyPr/>
                  <a:lstStyle/>
                  <a:p>
                    <a:fld id="{2808E397-6DEB-461F-ADC4-F647F129CB5D}" type="CATEGORYNAME">
                      <a:rPr lang="en-US"/>
                      <a:pPr/>
                      <a:t>[CATEGORY NAME]</a:t>
                    </a:fld>
                    <a:r>
                      <a:rPr lang="en-US" baseline="0"/>
                      <a:t> (</a:t>
                    </a:r>
                    <a:fld id="{E878A639-2191-43B2-A7BD-4880B4F7A166}"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191B-4870-A0D8-00D16A65EF0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South Australia</c:v>
                </c:pt>
                <c:pt idx="3">
                  <c:v>Queensland</c:v>
                </c:pt>
              </c:strCache>
            </c:strRef>
          </c:cat>
          <c:val>
            <c:numRef>
              <c:f>Sheet1!$B$2:$B$5</c:f>
              <c:numCache>
                <c:formatCode>General</c:formatCode>
                <c:ptCount val="4"/>
                <c:pt idx="0">
                  <c:v>10</c:v>
                </c:pt>
                <c:pt idx="1">
                  <c:v>3</c:v>
                </c:pt>
                <c:pt idx="2">
                  <c:v>2</c:v>
                </c:pt>
                <c:pt idx="3">
                  <c:v>2</c:v>
                </c:pt>
              </c:numCache>
            </c:numRef>
          </c:val>
          <c:extLst xmlns:c16r2="http://schemas.microsoft.com/office/drawing/2015/06/chart">
            <c:ext xmlns:c16="http://schemas.microsoft.com/office/drawing/2014/chart" uri="{C3380CC4-5D6E-409C-BE32-E72D297353CC}">
              <c16:uniqueId val="{00000009-191B-4870-A0D8-00D16A65EF06}"/>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6: Proposed Wind Farm Complaints Nov 2015 - Dec 2020         Locations</a:t>
            </a:r>
            <a:r>
              <a:rPr lang="en-AU" sz="1400" b="0" i="0" baseline="0">
                <a:effectLst/>
              </a:rPr>
              <a:t> </a:t>
            </a:r>
            <a:r>
              <a:rPr lang="en-US" sz="1400" b="0" i="0" baseline="0">
                <a:effectLst/>
              </a:rPr>
              <a:t>(by </a:t>
            </a:r>
            <a:r>
              <a:rPr lang="en-US" sz="1400" b="0" i="0" u="none" strike="noStrike" baseline="0">
                <a:effectLst/>
              </a:rPr>
              <a:t>number of complaints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356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EF8-40C7-B7B8-3696B2E68D1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EF8-40C7-B7B8-3696B2E68D1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EF8-40C7-B7B8-3696B2E68D1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EF8-40C7-B7B8-3696B2E68D1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EF8-40C7-B7B8-3696B2E68D1C}"/>
              </c:ext>
            </c:extLst>
          </c:dPt>
          <c:dLbls>
            <c:dLbl>
              <c:idx val="0"/>
              <c:layout>
                <c:manualLayout>
                  <c:x val="6.1717612809315869E-2"/>
                  <c:y val="-8.8604449034034763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complaints)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EEF8-40C7-B7B8-3696B2E68D1C}"/>
                </c:ext>
                <c:ext xmlns:c15="http://schemas.microsoft.com/office/drawing/2012/chart" uri="{CE6537A1-D6FC-4f65-9D91-7224C49458BB}">
                  <c15:layout/>
                  <c15:dlblFieldTable/>
                  <c15:showDataLabelsRange val="0"/>
                </c:ext>
              </c:extLst>
            </c:dLbl>
            <c:dLbl>
              <c:idx val="1"/>
              <c:layout>
                <c:manualLayout>
                  <c:x val="-7.948347067970217E-2"/>
                  <c:y val="5.902775267845617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EEF8-40C7-B7B8-3696B2E68D1C}"/>
                </c:ext>
                <c:ext xmlns:c15="http://schemas.microsoft.com/office/drawing/2012/chart" uri="{CE6537A1-D6FC-4f65-9D91-7224C49458BB}">
                  <c15:layout/>
                  <c15:dlblFieldTable/>
                  <c15:showDataLabelsRange val="0"/>
                </c:ext>
              </c:extLst>
            </c:dLbl>
            <c:dLbl>
              <c:idx val="2"/>
              <c:layout>
                <c:manualLayout>
                  <c:x val="-7.6437989680871427E-2"/>
                  <c:y val="6.5972222222222224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complaints)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EEF8-40C7-B7B8-3696B2E68D1C}"/>
                </c:ext>
                <c:ext xmlns:c15="http://schemas.microsoft.com/office/drawing/2012/chart" uri="{CE6537A1-D6FC-4f65-9D91-7224C49458BB}">
                  <c15:layout/>
                  <c15:dlblFieldTable/>
                  <c15:showDataLabelsRange val="0"/>
                </c:ext>
              </c:extLst>
            </c:dLbl>
            <c:dLbl>
              <c:idx val="3"/>
              <c:layout>
                <c:manualLayout>
                  <c:x val="-9.444264881736944E-2"/>
                  <c:y val="3.162583365603882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 complaints)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EEF8-40C7-B7B8-3696B2E68D1C}"/>
                </c:ext>
                <c:ext xmlns:c15="http://schemas.microsoft.com/office/drawing/2012/chart" uri="{CE6537A1-D6FC-4f65-9D91-7224C49458BB}">
                  <c15:layout>
                    <c:manualLayout>
                      <c:w val="0.24398827875773171"/>
                      <c:h val="0.10915846994535519"/>
                    </c:manualLayout>
                  </c15:layout>
                  <c15:dlblFieldTable/>
                  <c15:showDataLabelsRange val="0"/>
                </c:ext>
              </c:extLst>
            </c:dLbl>
            <c:dLbl>
              <c:idx val="4"/>
              <c:layout>
                <c:manualLayout>
                  <c:x val="-0.12436077586371573"/>
                  <c:y val="-1.3888903231358416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 complaints)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EEF8-40C7-B7B8-3696B2E68D1C}"/>
                </c:ext>
                <c:ext xmlns:c15="http://schemas.microsoft.com/office/drawing/2012/chart" uri="{CE6537A1-D6FC-4f65-9D91-7224C49458BB}">
                  <c15:layout>
                    <c:manualLayout>
                      <c:w val="0.26713245997088786"/>
                      <c:h val="0.10915846994535519"/>
                    </c:manualLayout>
                  </c15:layout>
                  <c15:dlblFieldTable/>
                  <c15:showDataLabelsRange val="0"/>
                </c:ext>
              </c:extLst>
            </c:dLbl>
            <c:dLbl>
              <c:idx val="5"/>
              <c:layout>
                <c:manualLayout>
                  <c:x val="0.19193091038292703"/>
                  <c:y val="1.7486338797814166E-2"/>
                </c:manualLayout>
              </c:layout>
              <c:tx>
                <c:rich>
                  <a:bodyPr/>
                  <a:lstStyle/>
                  <a:p>
                    <a:fld id="{61526250-8AB8-43DC-A876-2D25BCEFBB0E}" type="CATEGORYNAME">
                      <a:rPr lang="en-US"/>
                      <a:pPr/>
                      <a:t>[CATEGORY NAME]</a:t>
                    </a:fld>
                    <a:r>
                      <a:rPr lang="en-US" baseline="0"/>
                      <a:t> (</a:t>
                    </a:r>
                    <a:fld id="{F509995B-9B56-43DB-86B4-7C62457F619B}" type="VALUE">
                      <a:rPr lang="en-US" baseline="0"/>
                      <a:pPr/>
                      <a:t>[VALUE]</a:t>
                    </a:fld>
                    <a:r>
                      <a:rPr lang="en-US" baseline="0"/>
                      <a:t> complaint)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7383786633657686"/>
                      <c:h val="0.10915846994535519"/>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Victoria</c:v>
                </c:pt>
                <c:pt idx="1">
                  <c:v>New South Wales</c:v>
                </c:pt>
                <c:pt idx="2">
                  <c:v>Tasmania</c:v>
                </c:pt>
                <c:pt idx="3">
                  <c:v>Queensland</c:v>
                </c:pt>
                <c:pt idx="4">
                  <c:v>South Australia</c:v>
                </c:pt>
                <c:pt idx="5">
                  <c:v>Western Australia</c:v>
                </c:pt>
              </c:strCache>
            </c:strRef>
          </c:cat>
          <c:val>
            <c:numRef>
              <c:f>Sheet1!$B$2:$B$7</c:f>
              <c:numCache>
                <c:formatCode>General</c:formatCode>
                <c:ptCount val="6"/>
                <c:pt idx="0">
                  <c:v>188</c:v>
                </c:pt>
                <c:pt idx="1">
                  <c:v>84</c:v>
                </c:pt>
                <c:pt idx="2">
                  <c:v>10</c:v>
                </c:pt>
                <c:pt idx="3">
                  <c:v>46</c:v>
                </c:pt>
                <c:pt idx="4">
                  <c:v>27</c:v>
                </c:pt>
                <c:pt idx="5">
                  <c:v>1</c:v>
                </c:pt>
              </c:numCache>
            </c:numRef>
          </c:val>
          <c:extLst xmlns:c16r2="http://schemas.microsoft.com/office/drawing/2015/06/chart">
            <c:ext xmlns:c16="http://schemas.microsoft.com/office/drawing/2014/chart" uri="{C3380CC4-5D6E-409C-BE32-E72D297353CC}">
              <c16:uniqueId val="{0000000B-EEF8-40C7-B7B8-3696B2E68D1C}"/>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7: Proposed Wind Farm Complaints Nov 2015 - Dec 2020         Locations</a:t>
            </a:r>
            <a:r>
              <a:rPr lang="en-AU" sz="1400" b="0" i="0" baseline="0">
                <a:effectLst/>
              </a:rPr>
              <a:t> </a:t>
            </a:r>
            <a:r>
              <a:rPr lang="en-US" sz="1400" b="0" i="0" baseline="0">
                <a:effectLst/>
              </a:rPr>
              <a:t>(by </a:t>
            </a:r>
            <a:r>
              <a:rPr lang="en-US" sz="1400" b="0" i="0" u="none" strike="noStrike" baseline="0">
                <a:effectLst/>
              </a:rPr>
              <a:t>wind farm projects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63 projects</a:t>
            </a:r>
            <a:endParaRPr lang="en-AU" sz="1400">
              <a:effectLst/>
            </a:endParaRPr>
          </a:p>
        </c:rich>
      </c:tx>
      <c:layout>
        <c:manualLayout>
          <c:xMode val="edge"/>
          <c:yMode val="edge"/>
          <c:x val="0.14191179236553009"/>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20D-496C-9EA3-EE6D6093B80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20D-496C-9EA3-EE6D6093B80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20D-496C-9EA3-EE6D6093B80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20D-496C-9EA3-EE6D6093B80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20D-496C-9EA3-EE6D6093B801}"/>
              </c:ext>
            </c:extLst>
          </c:dPt>
          <c:dLbls>
            <c:dLbl>
              <c:idx val="0"/>
              <c:layout>
                <c:manualLayout>
                  <c:x val="6.3594162485857628E-2"/>
                  <c:y val="-2.1403282036554016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20D-496C-9EA3-EE6D6093B801}"/>
                </c:ext>
                <c:ext xmlns:c15="http://schemas.microsoft.com/office/drawing/2012/chart" uri="{CE6537A1-D6FC-4f65-9D91-7224C49458BB}">
                  <c15:layout/>
                  <c15:dlblFieldTable/>
                  <c15:showDataLabelsRange val="0"/>
                </c:ext>
              </c:extLst>
            </c:dLbl>
            <c:dLbl>
              <c:idx val="1"/>
              <c:layout>
                <c:manualLayout>
                  <c:x val="-9.4629593652027208E-2"/>
                  <c:y val="-8.624624049653383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20D-496C-9EA3-EE6D6093B801}"/>
                </c:ext>
                <c:ext xmlns:c15="http://schemas.microsoft.com/office/drawing/2012/chart" uri="{CE6537A1-D6FC-4f65-9D91-7224C49458BB}">
                  <c15:layout>
                    <c:manualLayout>
                      <c:w val="0.25237534713095555"/>
                      <c:h val="0.10119554204660587"/>
                    </c:manualLayout>
                  </c15:layout>
                  <c15:dlblFieldTable/>
                  <c15:showDataLabelsRange val="0"/>
                </c:ext>
              </c:extLst>
            </c:dLbl>
            <c:dLbl>
              <c:idx val="2"/>
              <c:layout>
                <c:manualLayout>
                  <c:x val="-0.11013519536473038"/>
                  <c:y val="-1.7413780724217984E-3"/>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20D-496C-9EA3-EE6D6093B801}"/>
                </c:ext>
                <c:ext xmlns:c15="http://schemas.microsoft.com/office/drawing/2012/chart" uri="{CE6537A1-D6FC-4f65-9D91-7224C49458BB}">
                  <c15:layout/>
                  <c15:dlblFieldTable/>
                  <c15:showDataLabelsRange val="0"/>
                </c:ext>
              </c:extLst>
            </c:dLbl>
            <c:dLbl>
              <c:idx val="3"/>
              <c:layout>
                <c:manualLayout>
                  <c:x val="-0.10382104994495428"/>
                  <c:y val="1.5060351498615865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820D-496C-9EA3-EE6D6093B801}"/>
                </c:ext>
                <c:ext xmlns:c15="http://schemas.microsoft.com/office/drawing/2012/chart" uri="{CE6537A1-D6FC-4f65-9D91-7224C49458BB}">
                  <c15:layout/>
                  <c15:dlblFieldTable/>
                  <c15:showDataLabelsRange val="0"/>
                </c:ext>
              </c:extLst>
            </c:dLbl>
            <c:dLbl>
              <c:idx val="4"/>
              <c:layout>
                <c:manualLayout>
                  <c:x val="-6.7391975132281193E-2"/>
                  <c:y val="1.2168585309814996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820D-496C-9EA3-EE6D6093B801}"/>
                </c:ext>
                <c:ext xmlns:c15="http://schemas.microsoft.com/office/drawing/2012/chart" uri="{CE6537A1-D6FC-4f65-9D91-7224C49458BB}">
                  <c15:layout>
                    <c:manualLayout>
                      <c:w val="0.23818093855829706"/>
                      <c:h val="0.10119554204660587"/>
                    </c:manualLayout>
                  </c15:layout>
                  <c15:dlblFieldTable/>
                  <c15:showDataLabelsRange val="0"/>
                </c:ext>
              </c:extLst>
            </c:dLbl>
            <c:dLbl>
              <c:idx val="5"/>
              <c:layout>
                <c:manualLayout>
                  <c:x val="0.17428397859551381"/>
                  <c:y val="1.0416666666666635E-2"/>
                </c:manualLayout>
              </c:layout>
              <c:tx>
                <c:rich>
                  <a:bodyPr/>
                  <a:lstStyle/>
                  <a:p>
                    <a:fld id="{E3A4F662-9EEE-4D9B-9D4F-48D2619C29EF}" type="CATEGORYNAME">
                      <a:rPr lang="en-US"/>
                      <a:pPr/>
                      <a:t>[CATEGORY NAME]</a:t>
                    </a:fld>
                    <a:r>
                      <a:rPr lang="en-US" baseline="0"/>
                      <a:t> (</a:t>
                    </a:r>
                    <a:fld id="{6C8E51F5-7CE8-43D3-92C8-24B84535F239}" type="VALUE">
                      <a:rPr lang="en-US" baseline="0"/>
                      <a:pPr/>
                      <a:t>[VALUE]</a:t>
                    </a:fld>
                    <a:r>
                      <a:rPr lang="en-US" baseline="0"/>
                      <a:t> project)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A-820D-496C-9EA3-EE6D6093B801}"/>
                </c:ext>
                <c:ext xmlns:c15="http://schemas.microsoft.com/office/drawing/2012/chart" uri="{CE6537A1-D6FC-4f65-9D91-7224C49458BB}">
                  <c15:layout>
                    <c:manualLayout>
                      <c:w val="0.21885817248170539"/>
                      <c:h val="0.1011955420466058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Victoria</c:v>
                </c:pt>
                <c:pt idx="1">
                  <c:v>New South Wales</c:v>
                </c:pt>
                <c:pt idx="2">
                  <c:v>Tasmania</c:v>
                </c:pt>
                <c:pt idx="3">
                  <c:v>Queensland</c:v>
                </c:pt>
                <c:pt idx="4">
                  <c:v>South Australia</c:v>
                </c:pt>
                <c:pt idx="5">
                  <c:v>Western Australia</c:v>
                </c:pt>
              </c:strCache>
            </c:strRef>
          </c:cat>
          <c:val>
            <c:numRef>
              <c:f>Sheet1!$B$2:$B$7</c:f>
              <c:numCache>
                <c:formatCode>General</c:formatCode>
                <c:ptCount val="6"/>
                <c:pt idx="0">
                  <c:v>28</c:v>
                </c:pt>
                <c:pt idx="1">
                  <c:v>19</c:v>
                </c:pt>
                <c:pt idx="2">
                  <c:v>4</c:v>
                </c:pt>
                <c:pt idx="3">
                  <c:v>5</c:v>
                </c:pt>
                <c:pt idx="4">
                  <c:v>6</c:v>
                </c:pt>
                <c:pt idx="5">
                  <c:v>1</c:v>
                </c:pt>
              </c:numCache>
            </c:numRef>
          </c:val>
          <c:extLst xmlns:c16r2="http://schemas.microsoft.com/office/drawing/2015/06/chart">
            <c:ext xmlns:c16="http://schemas.microsoft.com/office/drawing/2014/chart" uri="{C3380CC4-5D6E-409C-BE32-E72D297353CC}">
              <c16:uniqueId val="{0000000B-820D-496C-9EA3-EE6D6093B801}"/>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8: Proposed Wind Farm Complaints in 2020</a:t>
            </a:r>
            <a:br>
              <a:rPr lang="en-US" sz="1400" b="0" i="0" baseline="0">
                <a:effectLst/>
              </a:rPr>
            </a:br>
            <a:r>
              <a:rPr lang="en-US" sz="1400" b="0" i="0" baseline="0">
                <a:effectLst/>
              </a:rPr>
              <a:t>Locations</a:t>
            </a:r>
            <a:r>
              <a:rPr lang="en-AU" sz="1400" b="0" i="0" baseline="0">
                <a:effectLst/>
              </a:rPr>
              <a:t> </a:t>
            </a:r>
            <a:r>
              <a:rPr lang="en-US" sz="1400" b="0" i="0" baseline="0">
                <a:effectLst/>
              </a:rPr>
              <a:t>(by </a:t>
            </a:r>
            <a:r>
              <a:rPr lang="en-US" sz="1400" b="0" i="0" u="none" strike="noStrike" baseline="0">
                <a:effectLst/>
              </a:rPr>
              <a:t>number of complaints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122 complaints</a:t>
            </a:r>
            <a:endParaRPr lang="en-AU" sz="1400">
              <a:effectLst/>
            </a:endParaRPr>
          </a:p>
        </c:rich>
      </c:tx>
      <c:layout>
        <c:manualLayout>
          <c:xMode val="edge"/>
          <c:yMode val="edge"/>
          <c:x val="0.21395987782228973"/>
          <c:y val="2.5039535673182806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34-484E-B2B5-A7C8201488F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34-484E-B2B5-A7C8201488F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34-484E-B2B5-A7C8201488FB}"/>
              </c:ext>
            </c:extLst>
          </c:dPt>
          <c:dPt>
            <c:idx val="3"/>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1934-484E-B2B5-A7C8201488FB}"/>
              </c:ext>
            </c:extLst>
          </c:dPt>
          <c:dPt>
            <c:idx val="4"/>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9-1934-484E-B2B5-A7C8201488FB}"/>
              </c:ext>
            </c:extLst>
          </c:dPt>
          <c:dLbls>
            <c:dLbl>
              <c:idx val="0"/>
              <c:layout>
                <c:manualLayout>
                  <c:x val="6.8794190712784253E-2"/>
                  <c:y val="-6.250000000000012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complaints)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934-484E-B2B5-A7C8201488FB}"/>
                </c:ext>
                <c:ext xmlns:c15="http://schemas.microsoft.com/office/drawing/2012/chart" uri="{CE6537A1-D6FC-4f65-9D91-7224C49458BB}">
                  <c15:layout/>
                  <c15:dlblFieldTable/>
                  <c15:showDataLabelsRange val="0"/>
                </c:ext>
              </c:extLst>
            </c:dLbl>
            <c:dLbl>
              <c:idx val="1"/>
              <c:layout>
                <c:manualLayout>
                  <c:x val="0.19820110205522551"/>
                  <c:y val="-4.2812787202861469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complaints)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934-484E-B2B5-A7C8201488FB}"/>
                </c:ext>
                <c:ext xmlns:c15="http://schemas.microsoft.com/office/drawing/2012/chart" uri="{CE6537A1-D6FC-4f65-9D91-7224C49458BB}">
                  <c15:layout>
                    <c:manualLayout>
                      <c:w val="0.26006830286565047"/>
                      <c:h val="0.10502628811777076"/>
                    </c:manualLayout>
                  </c15:layout>
                  <c15:dlblFieldTable/>
                  <c15:showDataLabelsRange val="0"/>
                </c:ext>
              </c:extLst>
            </c:dLbl>
            <c:dLbl>
              <c:idx val="2"/>
              <c:layout>
                <c:manualLayout>
                  <c:x val="-0.1310188638700864"/>
                  <c:y val="5.2083426480207327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complaint)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934-484E-B2B5-A7C8201488FB}"/>
                </c:ext>
                <c:ext xmlns:c15="http://schemas.microsoft.com/office/drawing/2012/chart" uri="{CE6537A1-D6FC-4f65-9D91-7224C49458BB}">
                  <c15:layout/>
                  <c15:dlblFieldTable/>
                  <c15:showDataLabelsRange val="0"/>
                </c:ext>
              </c:extLst>
            </c:dLbl>
            <c:dLbl>
              <c:idx val="3"/>
              <c:layout>
                <c:manualLayout>
                  <c:x val="-4.2884990253411345E-2"/>
                  <c:y val="-0.13640246073341777"/>
                </c:manualLayout>
              </c:layout>
              <c:tx>
                <c:rich>
                  <a:bodyPr/>
                  <a:lstStyle/>
                  <a:p>
                    <a:fld id="{4F2996E2-E0D2-46F5-BE9A-EFA25776F6CC}" type="CATEGORYNAME">
                      <a:rPr lang="en-US"/>
                      <a:pPr/>
                      <a:t>[CATEGORY NAME]</a:t>
                    </a:fld>
                    <a:r>
                      <a:rPr lang="en-US" baseline="0"/>
                      <a:t> (</a:t>
                    </a:r>
                    <a:fld id="{8799F005-24CF-4087-B7F4-76E42D3F3E50}" type="VALUE">
                      <a:rPr lang="en-US" baseline="0"/>
                      <a:pPr/>
                      <a:t>[VALUE]</a:t>
                    </a:fld>
                    <a:r>
                      <a:rPr lang="en-US" baseline="0"/>
                      <a:t> complaint)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1934-484E-B2B5-A7C8201488FB}"/>
                </c:ext>
                <c:ext xmlns:c15="http://schemas.microsoft.com/office/drawing/2012/chart" uri="{CE6537A1-D6FC-4f65-9D91-7224C49458BB}">
                  <c15:layout>
                    <c:manualLayout>
                      <c:w val="0.26721247563352823"/>
                      <c:h val="0.10502628811777076"/>
                    </c:manualLayout>
                  </c15:layout>
                  <c15:dlblFieldTable/>
                  <c15:showDataLabelsRange val="0"/>
                </c:ext>
              </c:extLst>
            </c:dLbl>
            <c:dLbl>
              <c:idx val="4"/>
              <c:layout>
                <c:manualLayout>
                  <c:x val="8.849288575770102E-3"/>
                  <c:y val="-9.5272444256770741E-2"/>
                </c:manualLayout>
              </c:layout>
              <c:tx>
                <c:rich>
                  <a:bodyPr/>
                  <a:lstStyle/>
                  <a:p>
                    <a:fld id="{92E321B4-7EDF-407B-B813-DF3A8DEFD760}" type="CATEGORYNAME">
                      <a:rPr lang="en-US"/>
                      <a:pPr/>
                      <a:t>[CATEGORY NAME]</a:t>
                    </a:fld>
                    <a:r>
                      <a:rPr lang="en-US" baseline="0"/>
                      <a:t> (</a:t>
                    </a:r>
                    <a:fld id="{B1E56BDC-4553-4E03-AC80-0172BA3CEA78}" type="VALUE">
                      <a:rPr lang="en-US" baseline="0"/>
                      <a:pPr/>
                      <a:t>[VALUE]</a:t>
                    </a:fld>
                    <a:r>
                      <a:rPr lang="en-US" baseline="0"/>
                      <a:t> complaints)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1934-484E-B2B5-A7C8201488FB}"/>
                </c:ext>
                <c:ext xmlns:c15="http://schemas.microsoft.com/office/drawing/2012/chart" uri="{CE6537A1-D6FC-4f65-9D91-7224C49458BB}">
                  <c15:layout>
                    <c:manualLayout>
                      <c:w val="0.26065309818728793"/>
                      <c:h val="0.10502628811777076"/>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Victoria</c:v>
                </c:pt>
                <c:pt idx="1">
                  <c:v>New South Wales</c:v>
                </c:pt>
                <c:pt idx="2">
                  <c:v>Tasmania</c:v>
                </c:pt>
                <c:pt idx="3">
                  <c:v>South Australia</c:v>
                </c:pt>
                <c:pt idx="4">
                  <c:v>Queensland</c:v>
                </c:pt>
              </c:strCache>
            </c:strRef>
          </c:cat>
          <c:val>
            <c:numRef>
              <c:f>Sheet1!$B$2:$B$6</c:f>
              <c:numCache>
                <c:formatCode>General</c:formatCode>
                <c:ptCount val="5"/>
                <c:pt idx="0">
                  <c:v>37</c:v>
                </c:pt>
                <c:pt idx="1">
                  <c:v>44</c:v>
                </c:pt>
                <c:pt idx="2">
                  <c:v>1</c:v>
                </c:pt>
                <c:pt idx="3">
                  <c:v>1</c:v>
                </c:pt>
                <c:pt idx="4">
                  <c:v>39</c:v>
                </c:pt>
              </c:numCache>
            </c:numRef>
          </c:val>
          <c:extLst xmlns:c16r2="http://schemas.microsoft.com/office/drawing/2015/06/chart">
            <c:ext xmlns:c16="http://schemas.microsoft.com/office/drawing/2014/chart" uri="{C3380CC4-5D6E-409C-BE32-E72D297353CC}">
              <c16:uniqueId val="{0000000A-1934-484E-B2B5-A7C8201488FB}"/>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lumMod val="65000"/>
                    <a:lumOff val="35000"/>
                  </a:schemeClr>
                </a:solidFill>
                <a:effectLst/>
              </a:rPr>
              <a:t>Figure 9: Proposed Wind Farm Complaints in 2020</a:t>
            </a:r>
            <a:br>
              <a:rPr lang="en-US" sz="1400" b="0" i="0" baseline="0">
                <a:solidFill>
                  <a:schemeClr val="tx1">
                    <a:lumMod val="65000"/>
                    <a:lumOff val="35000"/>
                  </a:schemeClr>
                </a:solidFill>
                <a:effectLst/>
              </a:rPr>
            </a:br>
            <a:r>
              <a:rPr lang="en-US" sz="1400" b="0" i="0" baseline="0">
                <a:solidFill>
                  <a:schemeClr val="tx1">
                    <a:lumMod val="65000"/>
                    <a:lumOff val="35000"/>
                  </a:schemeClr>
                </a:solidFill>
                <a:effectLst/>
              </a:rPr>
              <a:t>Locations</a:t>
            </a:r>
            <a:r>
              <a:rPr lang="en-AU" sz="1400" b="0" i="0" baseline="0">
                <a:solidFill>
                  <a:schemeClr val="tx1">
                    <a:lumMod val="65000"/>
                    <a:lumOff val="35000"/>
                  </a:schemeClr>
                </a:solidFill>
                <a:effectLst/>
              </a:rPr>
              <a:t> </a:t>
            </a:r>
            <a:r>
              <a:rPr lang="en-US" sz="1400" b="0" i="0" baseline="0">
                <a:solidFill>
                  <a:schemeClr val="tx1">
                    <a:lumMod val="65000"/>
                    <a:lumOff val="35000"/>
                  </a:schemeClr>
                </a:solidFill>
                <a:effectLst/>
              </a:rPr>
              <a:t>(by </a:t>
            </a:r>
            <a:r>
              <a:rPr lang="en-US" sz="1400" b="0" i="0" u="none" strike="noStrike" baseline="0">
                <a:solidFill>
                  <a:schemeClr val="tx1">
                    <a:lumMod val="65000"/>
                    <a:lumOff val="35000"/>
                  </a:schemeClr>
                </a:solidFill>
                <a:effectLst/>
              </a:rPr>
              <a:t>wind farm projects</a:t>
            </a:r>
            <a:r>
              <a:rPr lang="en-US" sz="1400" b="0" i="0" baseline="0">
                <a:solidFill>
                  <a:schemeClr val="tx1">
                    <a:lumMod val="65000"/>
                    <a:lumOff val="35000"/>
                  </a:schemeClr>
                </a:solidFill>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lumMod val="65000"/>
                    <a:lumOff val="35000"/>
                  </a:schemeClr>
                </a:solidFill>
                <a:effectLst/>
              </a:rPr>
              <a:t>Total: 19 projects</a:t>
            </a:r>
            <a:endParaRPr lang="en-AU" sz="1400">
              <a:solidFill>
                <a:schemeClr val="tx1">
                  <a:lumMod val="65000"/>
                  <a:lumOff val="35000"/>
                </a:schemeClr>
              </a:solidFill>
              <a:effectLst/>
            </a:endParaRPr>
          </a:p>
        </c:rich>
      </c:tx>
      <c:layout>
        <c:manualLayout>
          <c:xMode val="edge"/>
          <c:yMode val="edge"/>
          <c:x val="0.20193523774644448"/>
          <c:y val="2.083326614889862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99D-432B-8D77-488A07A7663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99D-432B-8D77-488A07A7663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99D-432B-8D77-488A07A76636}"/>
              </c:ext>
            </c:extLst>
          </c:dPt>
          <c:dPt>
            <c:idx val="3"/>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B99D-432B-8D77-488A07A76636}"/>
              </c:ext>
            </c:extLst>
          </c:dPt>
          <c:dLbls>
            <c:dLbl>
              <c:idx val="0"/>
              <c:layout>
                <c:manualLayout>
                  <c:x val="6.4972291228740681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projects)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B99D-432B-8D77-488A07A76636}"/>
                </c:ext>
                <c:ext xmlns:c15="http://schemas.microsoft.com/office/drawing/2012/chart" uri="{CE6537A1-D6FC-4f65-9D91-7224C49458BB}">
                  <c15:layout/>
                  <c15:dlblFieldTable/>
                  <c15:showDataLabelsRange val="0"/>
                </c:ext>
              </c:extLst>
            </c:dLbl>
            <c:dLbl>
              <c:idx val="1"/>
              <c:layout>
                <c:manualLayout>
                  <c:x val="-0.11127189769883418"/>
                  <c:y val="-0.2465278871391076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projects)</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497190685466642"/>
                      <c:h val="0.10404166666666667"/>
                    </c:manualLayout>
                  </c15:layout>
                  <c15:dlblFieldTable/>
                  <c15:showDataLabelsRange val="0"/>
                </c:ext>
              </c:extLst>
            </c:dLbl>
            <c:dLbl>
              <c:idx val="2"/>
              <c:layout>
                <c:manualLayout>
                  <c:x val="-0.14322163217969849"/>
                  <c:y val="-6.2500000000000003E-3"/>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project)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B99D-432B-8D77-488A07A76636}"/>
                </c:ext>
                <c:ext xmlns:c15="http://schemas.microsoft.com/office/drawing/2012/chart" uri="{CE6537A1-D6FC-4f65-9D91-7224C49458BB}">
                  <c15:layout/>
                  <c15:dlblFieldTable/>
                  <c15:showDataLabelsRange val="0"/>
                </c:ext>
              </c:extLst>
            </c:dLbl>
            <c:dLbl>
              <c:idx val="3"/>
              <c:layout>
                <c:manualLayout>
                  <c:x val="-5.2487792223646461E-2"/>
                  <c:y val="-4.583333333333333E-2"/>
                </c:manualLayout>
              </c:layout>
              <c:tx>
                <c:rich>
                  <a:bodyPr/>
                  <a:lstStyle/>
                  <a:p>
                    <a:fld id="{DB869625-884E-4497-941D-5668A2E167F8}" type="CATEGORYNAME">
                      <a:rPr lang="en-US"/>
                      <a:pPr/>
                      <a:t>[CATEGORY NAME]</a:t>
                    </a:fld>
                    <a:r>
                      <a:rPr lang="en-US" baseline="0"/>
                      <a:t> (</a:t>
                    </a:r>
                    <a:fld id="{076F4543-2C62-4FAF-B5C2-545D5C95C35F}" type="VALUE">
                      <a:rPr lang="en-US" baseline="0"/>
                      <a:pPr/>
                      <a:t>[VALUE]</a:t>
                    </a:fld>
                    <a:r>
                      <a:rPr lang="en-US" baseline="0"/>
                      <a:t> project)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B99D-432B-8D77-488A07A76636}"/>
                </c:ext>
                <c:ext xmlns:c15="http://schemas.microsoft.com/office/drawing/2012/chart" uri="{CE6537A1-D6FC-4f65-9D91-7224C49458BB}">
                  <c15:layout/>
                  <c15:dlblFieldTable/>
                  <c15:showDataLabelsRange val="0"/>
                </c:ext>
              </c:extLst>
            </c:dLbl>
            <c:dLbl>
              <c:idx val="4"/>
              <c:layout>
                <c:manualLayout>
                  <c:x val="9.3636537359067393E-2"/>
                  <c:y val="-1.0416666666666699E-2"/>
                </c:manualLayout>
              </c:layout>
              <c:tx>
                <c:rich>
                  <a:bodyPr/>
                  <a:lstStyle/>
                  <a:p>
                    <a:fld id="{A58DE694-F0AC-47CF-8374-0F17D2EBDE1F}" type="CATEGORYNAME">
                      <a:rPr lang="en-US"/>
                      <a:pPr/>
                      <a:t>[CATEGORY NAME]</a:t>
                    </a:fld>
                    <a:r>
                      <a:rPr lang="en-US" baseline="0"/>
                      <a:t> (</a:t>
                    </a:r>
                    <a:fld id="{BE0EBAE1-3534-4259-A347-4C9DBD26C46B}"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B99D-432B-8D77-488A07A7663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Victoria</c:v>
                </c:pt>
                <c:pt idx="1">
                  <c:v>New South Wales</c:v>
                </c:pt>
                <c:pt idx="2">
                  <c:v>Tasmania</c:v>
                </c:pt>
                <c:pt idx="3">
                  <c:v>South Australia</c:v>
                </c:pt>
                <c:pt idx="4">
                  <c:v>Queensland</c:v>
                </c:pt>
              </c:strCache>
            </c:strRef>
          </c:cat>
          <c:val>
            <c:numRef>
              <c:f>Sheet1!$B$2:$B$6</c:f>
              <c:numCache>
                <c:formatCode>General</c:formatCode>
                <c:ptCount val="5"/>
                <c:pt idx="0">
                  <c:v>7</c:v>
                </c:pt>
                <c:pt idx="1">
                  <c:v>9</c:v>
                </c:pt>
                <c:pt idx="2">
                  <c:v>1</c:v>
                </c:pt>
                <c:pt idx="3">
                  <c:v>1</c:v>
                </c:pt>
                <c:pt idx="4">
                  <c:v>1</c:v>
                </c:pt>
              </c:numCache>
            </c:numRef>
          </c:val>
          <c:extLst xmlns:c16r2="http://schemas.microsoft.com/office/drawing/2015/06/chart">
            <c:ext xmlns:c16="http://schemas.microsoft.com/office/drawing/2014/chart" uri="{C3380CC4-5D6E-409C-BE32-E72D297353CC}">
              <c16:uniqueId val="{00000009-B99D-432B-8D77-488A07A76636}"/>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84107141148395588ec041bb81e35db4">
  <xsd:schema xmlns:xsd="http://www.w3.org/2001/XMLSchema" xmlns:xs="http://www.w3.org/2001/XMLSchema" xmlns:p="http://schemas.microsoft.com/office/2006/metadata/properties" xmlns:ns1="http://schemas.microsoft.com/sharepoint/v3" xmlns:ns2="a36bd50b-1532-4c22-b385-5c082c960938" xmlns:ns3="http://schemas.microsoft.com/sharepoint/v4" xmlns:ns4="06a8ef23-3c56-433f-9e1a-931c6bc25665" targetNamespace="http://schemas.microsoft.com/office/2006/metadata/properties" ma:root="true" ma:fieldsID="b878ab19bef0af0a541aece117870991" ns1:_="" ns2:_="" ns3:_="" ns4:_="">
    <xsd:import namespace="http://schemas.microsoft.com/sharepoint/v3"/>
    <xsd:import namespace="a36bd50b-1532-4c22-b385-5c082c960938"/>
    <xsd:import namespace="http://schemas.microsoft.com/sharepoint/v4"/>
    <xsd:import namespace="06a8ef23-3c56-433f-9e1a-931c6bc25665"/>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06e93801-71cb-48e6-a8b7-fc1a9a5a1404</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12af97d0-e555-43d0-b3d2-0f0b8e33cc04</TermId>
        </TermInfo>
      </Terms>
    </g7bcb40ba23249a78edca7d43a67c1c9>
    <TaxCatchAll xmlns="a36bd50b-1532-4c22-b385-5c082c960938">
      <Value>17</Value>
      <Value>107</Value>
      <Value>1</Value>
    </TaxCatchAll>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5FF6-5B6A-4A4E-A668-2312F3F006A8}">
  <ds:schemaRefs>
    <ds:schemaRef ds:uri="http://schemas.microsoft.com/sharepoint/v3/contenttype/forms"/>
  </ds:schemaRefs>
</ds:datastoreItem>
</file>

<file path=customXml/itemProps2.xml><?xml version="1.0" encoding="utf-8"?>
<ds:datastoreItem xmlns:ds="http://schemas.openxmlformats.org/officeDocument/2006/customXml" ds:itemID="{3999C282-CC95-4EC1-98EC-807EE08C0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http://schemas.microsoft.com/sharepoint/v4"/>
    <ds:schemaRef ds:uri="06a8ef23-3c56-433f-9e1a-931c6bc25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A8E20-377E-4D37-9A08-B9409F44FEA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06a8ef23-3c56-433f-9e1a-931c6bc25665"/>
    <ds:schemaRef ds:uri="http://www.w3.org/XML/1998/namespace"/>
    <ds:schemaRef ds:uri="http://purl.org/dc/dcmitype/"/>
  </ds:schemaRefs>
</ds:datastoreItem>
</file>

<file path=customXml/itemProps4.xml><?xml version="1.0" encoding="utf-8"?>
<ds:datastoreItem xmlns:ds="http://schemas.openxmlformats.org/officeDocument/2006/customXml" ds:itemID="{7F13BB86-CE5B-4B44-8D54-C5290E188181}">
  <ds:schemaRefs>
    <ds:schemaRef ds:uri="http://schemas.microsoft.com/sharepoint/events"/>
  </ds:schemaRefs>
</ds:datastoreItem>
</file>

<file path=customXml/itemProps5.xml><?xml version="1.0" encoding="utf-8"?>
<ds:datastoreItem xmlns:ds="http://schemas.openxmlformats.org/officeDocument/2006/customXml" ds:itemID="{2E661687-B517-4EF9-8163-25E2F1D3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72</Pages>
  <Words>30628</Words>
  <Characters>174822</Characters>
  <Application>Microsoft Office Word</Application>
  <DocSecurity>0</DocSecurity>
  <Lines>2762</Lines>
  <Paragraphs>917</Paragraphs>
  <ScaleCrop>false</ScaleCrop>
  <HeadingPairs>
    <vt:vector size="2" baseType="variant">
      <vt:variant>
        <vt:lpstr>Title</vt:lpstr>
      </vt:variant>
      <vt:variant>
        <vt:i4>1</vt:i4>
      </vt:variant>
    </vt:vector>
  </HeadingPairs>
  <TitlesOfParts>
    <vt:vector size="1" baseType="lpstr">
      <vt:lpstr>Commissioner's Annual Report 2018</vt:lpstr>
    </vt:vector>
  </TitlesOfParts>
  <Company>The Department of the Environment and Energy</Company>
  <LinksUpToDate>false</LinksUpToDate>
  <CharactersWithSpaces>204877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Annual Report 2018</dc:title>
  <dc:subject>to the Parliament of Australia</dc:subject>
  <dc:creator>Barker, Leigh</dc:creator>
  <cp:keywords/>
  <dc:description/>
  <cp:lastModifiedBy>Barker, Leigh</cp:lastModifiedBy>
  <cp:revision>4</cp:revision>
  <cp:lastPrinted>2021-10-20T03:47:00Z</cp:lastPrinted>
  <dcterms:created xsi:type="dcterms:W3CDTF">2021-10-20T03:43:00Z</dcterms:created>
  <dcterms:modified xsi:type="dcterms:W3CDTF">2021-10-20T03:58:00Z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RecordPoint_WorkflowType">
    <vt:lpwstr>ActiveSubmitStub</vt:lpwstr>
  </property>
  <property fmtid="{D5CDD505-2E9C-101B-9397-08002B2CF9AE}" pid="4" name="RecordPoint_ActiveItemSiteId">
    <vt:lpwstr>{22ddc83e-3d55-4f4b-84b0-b8f29513b89f}</vt:lpwstr>
  </property>
  <property fmtid="{D5CDD505-2E9C-101B-9397-08002B2CF9AE}" pid="5" name="RecordPoint_ActiveItemListId">
    <vt:lpwstr>{eba0daa3-7a6b-4345-a184-35bbfa05a52e}</vt:lpwstr>
  </property>
  <property fmtid="{D5CDD505-2E9C-101B-9397-08002B2CF9AE}" pid="6" name="RecordPoint_ActiveItemUniqueId">
    <vt:lpwstr>{c7f303cf-4e73-4432-adbf-b63f54c0b646}</vt:lpwstr>
  </property>
  <property fmtid="{D5CDD505-2E9C-101B-9397-08002B2CF9AE}" pid="7" name="RecordPoint_ActiveItemWebId">
    <vt:lpwstr>{c7ab633b-628c-4474-be8c-b698d69082f2}</vt:lpwstr>
  </property>
  <property fmtid="{D5CDD505-2E9C-101B-9397-08002B2CF9AE}" pid="8" name="DocHub_Year">
    <vt:lpwstr/>
  </property>
  <property fmtid="{D5CDD505-2E9C-101B-9397-08002B2CF9AE}" pid="9" name="DocHub_DocumentType">
    <vt:lpwstr>107;#Publication|06e93801-71cb-48e6-a8b7-fc1a9a5a1404</vt:lpwstr>
  </property>
  <property fmtid="{D5CDD505-2E9C-101B-9397-08002B2CF9AE}" pid="10" name="DocHub_SecurityClassification">
    <vt:lpwstr>1;#OFFICIAL|6106d03b-a1a0-4e30-9d91-d5e9fb4314f9</vt:lpwstr>
  </property>
  <property fmtid="{D5CDD505-2E9C-101B-9397-08002B2CF9AE}" pid="11" name="DocHub_Keywords">
    <vt:lpwstr/>
  </property>
  <property fmtid="{D5CDD505-2E9C-101B-9397-08002B2CF9AE}" pid="12" name="DocHub_WorkActivity">
    <vt:lpwstr>17;#Reporting|12af97d0-e555-43d0-b3d2-0f0b8e33cc04</vt:lpwstr>
  </property>
  <property fmtid="{D5CDD505-2E9C-101B-9397-08002B2CF9AE}" pid="13" name="_CopySource">
    <vt:lpwstr/>
  </property>
</Properties>
</file>