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430828" w:displacedByCustomXml="next"/>
    <w:bookmarkStart w:id="1" w:name="_Toc465253687" w:displacedByCustomXml="next"/>
    <w:sdt>
      <w:sdtPr>
        <w:id w:val="1020360"/>
        <w:docPartObj>
          <w:docPartGallery w:val="Cover Pages"/>
          <w:docPartUnique/>
        </w:docPartObj>
      </w:sdtPr>
      <w:sdtEndPr/>
      <w:sdtContent>
        <w:p w14:paraId="277CAEFC" w14:textId="3C63DB0B" w:rsidR="00BB56D2" w:rsidRDefault="00BB56D2" w:rsidP="00BB56D2">
          <w:pPr>
            <w:spacing w:before="11" w:after="50"/>
            <w:ind w:left="3974" w:right="3917"/>
            <w:jc w:val="center"/>
            <w:textAlignment w:val="baseline"/>
          </w:pPr>
          <w:r>
            <w:rPr>
              <w:noProof/>
              <w:lang w:eastAsia="en-AU"/>
            </w:rPr>
            <w:drawing>
              <wp:inline distT="0" distB="0" distL="0" distR="0" wp14:anchorId="3FF4F294" wp14:editId="1B393DC2">
                <wp:extent cx="780415" cy="585470"/>
                <wp:effectExtent l="0" t="0" r="0" b="0"/>
                <wp:docPr id="2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a:extLst>
                            <a:ext uri="{C183D7F6-B498-43B3-948B-1728B52AA6E4}">
                              <adec:decorative xmlns:adec="http://schemas.microsoft.com/office/drawing/2017/decorative" val="1"/>
                            </a:ext>
                          </a:extLst>
                        </pic:cNvPr>
                        <pic:cNvPicPr preferRelativeResize="0"/>
                      </pic:nvPicPr>
                      <pic:blipFill>
                        <a:blip r:embed="rId11"/>
                        <a:stretch>
                          <a:fillRect/>
                        </a:stretch>
                      </pic:blipFill>
                      <pic:spPr>
                        <a:xfrm>
                          <a:off x="0" y="0"/>
                          <a:ext cx="780415" cy="585470"/>
                        </a:xfrm>
                        <a:prstGeom prst="rect">
                          <a:avLst/>
                        </a:prstGeom>
                      </pic:spPr>
                    </pic:pic>
                  </a:graphicData>
                </a:graphic>
              </wp:inline>
            </w:drawing>
          </w:r>
        </w:p>
        <w:p w14:paraId="7551BB1B" w14:textId="0C175ED8" w:rsidR="00BB56D2" w:rsidRDefault="00BB56D2" w:rsidP="00BB56D2">
          <w:pPr>
            <w:spacing w:before="8" w:after="33" w:line="268" w:lineRule="exact"/>
            <w:jc w:val="center"/>
            <w:textAlignment w:val="baseline"/>
            <w:rPr>
              <w:rFonts w:eastAsia="Times New Roman"/>
              <w:color w:val="000000"/>
              <w:spacing w:val="8"/>
              <w:sz w:val="24"/>
            </w:rPr>
          </w:pPr>
          <w:r>
            <w:rPr>
              <w:rFonts w:ascii="Times New Roman" w:eastAsia="Times New Roman" w:hAnsi="Times New Roman"/>
              <w:color w:val="000000"/>
              <w:spacing w:val="8"/>
              <w:sz w:val="24"/>
              <w:lang w:val="en-US"/>
            </w:rPr>
            <w:t>Australian Government</w:t>
          </w:r>
        </w:p>
        <w:p w14:paraId="5B83F889" w14:textId="5C6FB6B6" w:rsidR="00BB56D2" w:rsidRDefault="00BB56D2" w:rsidP="00BB56D2">
          <w:pPr>
            <w:spacing w:before="111" w:after="1774" w:line="233" w:lineRule="exact"/>
            <w:jc w:val="center"/>
            <w:textAlignment w:val="baseline"/>
            <w:rPr>
              <w:rFonts w:eastAsia="Times New Roman"/>
              <w:color w:val="000000"/>
              <w:spacing w:val="5"/>
              <w:sz w:val="21"/>
            </w:rPr>
          </w:pPr>
          <w:r>
            <w:rPr>
              <w:rFonts w:eastAsia="PMingLiU"/>
              <w:noProof/>
              <w:lang w:val="en-US"/>
            </w:rPr>
            <mc:AlternateContent>
              <mc:Choice Requires="wps">
                <w:drawing>
                  <wp:anchor distT="0" distB="0" distL="114300" distR="114300" simplePos="0" relativeHeight="251664384" behindDoc="0" locked="0" layoutInCell="1" allowOverlap="1" wp14:anchorId="77FFB2D6" wp14:editId="46559BF3">
                    <wp:simplePos x="0" y="0"/>
                    <wp:positionH relativeFrom="page">
                      <wp:posOffset>2425700</wp:posOffset>
                    </wp:positionH>
                    <wp:positionV relativeFrom="page">
                      <wp:posOffset>1457325</wp:posOffset>
                    </wp:positionV>
                    <wp:extent cx="2695575"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4FEE" id="Straight Connector 23" o:spid="_x0000_s1026" alt="&quot;&quot;"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pt,114.75pt" to="403.2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" strokeweight=".95pt">
                    <w10:wrap anchorx="page" anchory="page"/>
                  </v:line>
                </w:pict>
              </mc:Fallback>
            </mc:AlternateContent>
          </w:r>
          <w:r>
            <w:rPr>
              <w:rFonts w:ascii="Times New Roman" w:eastAsia="Times New Roman" w:hAnsi="Times New Roman"/>
              <w:color w:val="000000"/>
              <w:spacing w:val="5"/>
              <w:sz w:val="21"/>
              <w:lang w:val="en-US"/>
            </w:rPr>
            <w:t>Australian Energy Infrastructure Commissioner</w:t>
          </w:r>
        </w:p>
        <w:p w14:paraId="4A0E85B8" w14:textId="047CADF6" w:rsidR="00BB56D2" w:rsidRDefault="00C11DD7" w:rsidP="00C11DD7">
          <w:pPr>
            <w:spacing w:before="5" w:after="93" w:line="696" w:lineRule="exact"/>
            <w:jc w:val="center"/>
            <w:textAlignment w:val="baseline"/>
            <w:rPr>
              <w:rFonts w:eastAsia="Arial"/>
              <w:b/>
              <w:color w:val="210403"/>
              <w:spacing w:val="21"/>
              <w:w w:val="90"/>
              <w:sz w:val="64"/>
            </w:rPr>
          </w:pPr>
          <w:r>
            <w:rPr>
              <w:rFonts w:ascii="Times New Roman" w:eastAsia="PMingLiU" w:hAnsi="Times New Roman"/>
              <w:noProof/>
              <w:lang w:val="en-US"/>
            </w:rPr>
            <mc:AlternateContent>
              <mc:Choice Requires="wps">
                <w:drawing>
                  <wp:anchor distT="0" distB="0" distL="114300" distR="114300" simplePos="0" relativeHeight="251666432" behindDoc="0" locked="0" layoutInCell="1" allowOverlap="1" wp14:anchorId="59AFD86C" wp14:editId="7C11764D">
                    <wp:simplePos x="0" y="0"/>
                    <wp:positionH relativeFrom="page">
                      <wp:posOffset>890270</wp:posOffset>
                    </wp:positionH>
                    <wp:positionV relativeFrom="page">
                      <wp:posOffset>3257550</wp:posOffset>
                    </wp:positionV>
                    <wp:extent cx="5791835"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835" cy="0"/>
                            </a:xfrm>
                            <a:prstGeom prst="line">
                              <a:avLst/>
                            </a:prstGeom>
                            <a:noFill/>
                            <a:ln w="6350">
                              <a:solidFill>
                                <a:srgbClr val="5434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25D7" id="Straight Connector 27" o:spid="_x0000_s1026" alt="&quot;&quot;"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pt,256.5pt" to="526.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" strokecolor="#543416" strokeweight=".5pt">
                    <w10:wrap anchorx="page" anchory="page"/>
                  </v:line>
                </w:pict>
              </mc:Fallback>
            </mc:AlternateContent>
          </w:r>
          <w:r w:rsidR="00BB56D2">
            <w:rPr>
              <w:rFonts w:eastAsia="Arial"/>
              <w:b/>
              <w:color w:val="210403"/>
              <w:spacing w:val="21"/>
              <w:w w:val="90"/>
              <w:sz w:val="64"/>
              <w:lang w:val="en-US"/>
            </w:rPr>
            <w:t>Annual Report</w:t>
          </w:r>
        </w:p>
        <w:p w14:paraId="2A2CBF8F" w14:textId="087EA17A" w:rsidR="00BB56D2" w:rsidRDefault="00BB56D2" w:rsidP="00BB56D2">
          <w:pPr>
            <w:spacing w:before="103" w:line="352" w:lineRule="exact"/>
            <w:jc w:val="center"/>
            <w:textAlignment w:val="baseline"/>
            <w:rPr>
              <w:rFonts w:eastAsia="Arial"/>
              <w:color w:val="210403"/>
              <w:spacing w:val="16"/>
              <w:sz w:val="29"/>
            </w:rPr>
          </w:pPr>
          <w:r>
            <w:rPr>
              <w:rFonts w:eastAsia="Arial"/>
              <w:color w:val="210403"/>
              <w:spacing w:val="16"/>
              <w:sz w:val="29"/>
              <w:lang w:val="en-US"/>
            </w:rPr>
            <w:t>to the Parliament of Australia</w:t>
          </w:r>
        </w:p>
        <w:p w14:paraId="3067C94B" w14:textId="70DEC3C8" w:rsidR="00304241" w:rsidRDefault="00BB56D2" w:rsidP="00BB56D2">
          <w:pPr>
            <w:jc w:val="center"/>
          </w:pPr>
          <w:r w:rsidRPr="00BB56D2">
            <w:t>Year ending 31 December</w:t>
          </w:r>
          <w:r>
            <w:t xml:space="preserve"> 2022</w:t>
          </w:r>
        </w:p>
        <w:p w14:paraId="18A1FE6B" w14:textId="5390D1C5" w:rsidR="00304241" w:rsidRDefault="004C4253" w:rsidP="00304241">
          <w:pPr>
            <w:spacing w:after="0" w:line="240" w:lineRule="auto"/>
          </w:pPr>
        </w:p>
      </w:sdtContent>
    </w:sdt>
    <w:p w14:paraId="19A9FCE1" w14:textId="12901A2C" w:rsidR="00304241" w:rsidRDefault="00C11DD7" w:rsidP="00304241">
      <w:r>
        <w:rPr>
          <w:noProof/>
        </w:rPr>
        <w:drawing>
          <wp:anchor distT="0" distB="0" distL="114300" distR="114300" simplePos="0" relativeHeight="251667456" behindDoc="0" locked="0" layoutInCell="1" allowOverlap="1" wp14:anchorId="7F65390E" wp14:editId="1149573B">
            <wp:simplePos x="0" y="0"/>
            <wp:positionH relativeFrom="margin">
              <wp:align>center</wp:align>
            </wp:positionH>
            <wp:positionV relativeFrom="paragraph">
              <wp:posOffset>55245</wp:posOffset>
            </wp:positionV>
            <wp:extent cx="5871210" cy="5944235"/>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1210" cy="5944235"/>
                    </a:xfrm>
                    <a:prstGeom prst="rect">
                      <a:avLst/>
                    </a:prstGeom>
                    <a:noFill/>
                  </pic:spPr>
                </pic:pic>
              </a:graphicData>
            </a:graphic>
            <wp14:sizeRelH relativeFrom="page">
              <wp14:pctWidth>0</wp14:pctWidth>
            </wp14:sizeRelH>
            <wp14:sizeRelV relativeFrom="page">
              <wp14:pctHeight>0</wp14:pctHeight>
            </wp14:sizeRelV>
          </wp:anchor>
        </w:drawing>
      </w:r>
    </w:p>
    <w:p w14:paraId="29570B72" w14:textId="1B4BAB74" w:rsidR="00304241" w:rsidRPr="003E23E9" w:rsidRDefault="00304241" w:rsidP="00304241"/>
    <w:p w14:paraId="0B5EE7BD" w14:textId="2511BA94" w:rsidR="00304241" w:rsidRPr="003E23E9" w:rsidRDefault="00304241" w:rsidP="00304241"/>
    <w:p w14:paraId="52ECF089" w14:textId="7386B9BA" w:rsidR="00304241" w:rsidRPr="003E23E9" w:rsidRDefault="00304241" w:rsidP="00304241"/>
    <w:p w14:paraId="66D49E6B" w14:textId="7C2704D0" w:rsidR="00304241" w:rsidRPr="003E23E9" w:rsidRDefault="00304241" w:rsidP="00304241"/>
    <w:p w14:paraId="05CE693C" w14:textId="77777777" w:rsidR="00304241" w:rsidRPr="003E23E9" w:rsidRDefault="00304241" w:rsidP="00304241"/>
    <w:p w14:paraId="5AA7C7A9" w14:textId="77777777" w:rsidR="00304241" w:rsidRDefault="00304241" w:rsidP="00304241">
      <w:pPr>
        <w:tabs>
          <w:tab w:val="left" w:pos="6083"/>
        </w:tabs>
      </w:pPr>
      <w:r>
        <w:tab/>
      </w:r>
    </w:p>
    <w:p w14:paraId="71A38651" w14:textId="77777777" w:rsidR="00304241" w:rsidRPr="003E23E9" w:rsidRDefault="00304241" w:rsidP="00304241">
      <w:pPr>
        <w:tabs>
          <w:tab w:val="left" w:pos="6083"/>
        </w:tabs>
        <w:sectPr w:rsidR="00304241" w:rsidRPr="003E23E9" w:rsidSect="00C90C75">
          <w:footerReference w:type="even" r:id="rId14"/>
          <w:headerReference w:type="first" r:id="rId15"/>
          <w:footerReference w:type="first" r:id="rId16"/>
          <w:pgSz w:w="11906" w:h="16838"/>
          <w:pgMar w:top="720" w:right="720" w:bottom="720" w:left="720" w:header="454" w:footer="425" w:gutter="0"/>
          <w:cols w:space="708"/>
          <w:titlePg/>
          <w:docGrid w:linePitch="360"/>
        </w:sectPr>
      </w:pPr>
      <w:r>
        <w:tab/>
      </w:r>
    </w:p>
    <w:p w14:paraId="2964CF28" w14:textId="77777777" w:rsidR="00304241" w:rsidRDefault="00304241" w:rsidP="00304241"/>
    <w:p w14:paraId="7EC37016" w14:textId="77777777" w:rsidR="00795476" w:rsidRPr="00CE58AE" w:rsidRDefault="00795476" w:rsidP="00795476">
      <w:pPr>
        <w:spacing w:after="120" w:line="240" w:lineRule="auto"/>
        <w:rPr>
          <w:rFonts w:cs="Arial"/>
        </w:rPr>
      </w:pPr>
      <w:r w:rsidRPr="00C65B0A">
        <w:rPr>
          <w:rFonts w:cs="Arial"/>
        </w:rPr>
        <w:t>3</w:t>
      </w:r>
      <w:r>
        <w:rPr>
          <w:rFonts w:cs="Arial"/>
        </w:rPr>
        <w:t>1</w:t>
      </w:r>
      <w:r w:rsidRPr="00C65B0A">
        <w:rPr>
          <w:rFonts w:cs="Arial"/>
        </w:rPr>
        <w:t xml:space="preserve"> </w:t>
      </w:r>
      <w:r>
        <w:rPr>
          <w:rFonts w:cs="Arial"/>
        </w:rPr>
        <w:t>March</w:t>
      </w:r>
      <w:r w:rsidRPr="00C65B0A">
        <w:rPr>
          <w:rFonts w:cs="Arial"/>
        </w:rPr>
        <w:t xml:space="preserve"> 202</w:t>
      </w:r>
      <w:r>
        <w:rPr>
          <w:rFonts w:cs="Arial"/>
        </w:rPr>
        <w:t>3</w:t>
      </w:r>
    </w:p>
    <w:p w14:paraId="2AAFEE09" w14:textId="77777777" w:rsidR="00795476" w:rsidRPr="00CE58AE" w:rsidRDefault="00795476" w:rsidP="00795476">
      <w:pPr>
        <w:spacing w:after="120" w:line="240" w:lineRule="auto"/>
        <w:rPr>
          <w:rFonts w:cs="Arial"/>
        </w:rPr>
      </w:pPr>
    </w:p>
    <w:p w14:paraId="3A4B946E" w14:textId="77777777" w:rsidR="00795476" w:rsidRDefault="00795476" w:rsidP="00795476">
      <w:pPr>
        <w:spacing w:after="0"/>
        <w:rPr>
          <w:rFonts w:cs="Arial"/>
        </w:rPr>
      </w:pPr>
      <w:r>
        <w:rPr>
          <w:rFonts w:cs="Arial"/>
        </w:rPr>
        <w:t xml:space="preserve">The Hon Chris Bowen, MP </w:t>
      </w:r>
    </w:p>
    <w:p w14:paraId="008A0C8B" w14:textId="77777777" w:rsidR="00795476" w:rsidRDefault="00795476" w:rsidP="00795476">
      <w:pPr>
        <w:spacing w:after="0"/>
        <w:rPr>
          <w:rFonts w:cs="Arial"/>
        </w:rPr>
      </w:pPr>
      <w:r>
        <w:rPr>
          <w:rFonts w:cs="Arial"/>
        </w:rPr>
        <w:t>Minister for Climate Change and Energy</w:t>
      </w:r>
    </w:p>
    <w:p w14:paraId="4B0FD609" w14:textId="77777777" w:rsidR="00795476" w:rsidRDefault="00795476" w:rsidP="00795476">
      <w:pPr>
        <w:spacing w:after="0"/>
        <w:rPr>
          <w:rFonts w:cs="Arial"/>
        </w:rPr>
      </w:pPr>
      <w:r>
        <w:rPr>
          <w:rFonts w:cs="Arial"/>
        </w:rPr>
        <w:t xml:space="preserve">Parliament House </w:t>
      </w:r>
    </w:p>
    <w:p w14:paraId="3992F12F" w14:textId="61A4A165" w:rsidR="00795476" w:rsidRPr="00CE58AE" w:rsidRDefault="006E499A" w:rsidP="00795476">
      <w:pPr>
        <w:rPr>
          <w:rFonts w:cs="Arial"/>
        </w:rPr>
      </w:pPr>
      <w:r>
        <w:rPr>
          <w:rFonts w:cs="Arial"/>
        </w:rPr>
        <w:t xml:space="preserve">CANBERRA </w:t>
      </w:r>
      <w:r w:rsidR="00BE2881">
        <w:rPr>
          <w:rFonts w:cs="Arial"/>
        </w:rPr>
        <w:t xml:space="preserve"> </w:t>
      </w:r>
      <w:r>
        <w:rPr>
          <w:rFonts w:cs="Arial"/>
        </w:rPr>
        <w:t>ACT</w:t>
      </w:r>
      <w:r w:rsidR="00795476">
        <w:rPr>
          <w:rFonts w:cs="Arial"/>
        </w:rPr>
        <w:t xml:space="preserve">  2600</w:t>
      </w:r>
    </w:p>
    <w:p w14:paraId="553B7C2D" w14:textId="77777777" w:rsidR="00795476" w:rsidRPr="00CE58AE" w:rsidRDefault="00795476" w:rsidP="00795476">
      <w:pPr>
        <w:tabs>
          <w:tab w:val="left" w:pos="4410"/>
        </w:tabs>
        <w:spacing w:after="120" w:line="240" w:lineRule="auto"/>
        <w:rPr>
          <w:rFonts w:cs="Arial"/>
        </w:rPr>
      </w:pPr>
      <w:r w:rsidRPr="00CE58AE">
        <w:rPr>
          <w:rFonts w:cs="Arial"/>
        </w:rPr>
        <w:tab/>
      </w:r>
    </w:p>
    <w:p w14:paraId="33218767" w14:textId="63969DB5" w:rsidR="00720EAD" w:rsidRPr="00CE58AE" w:rsidRDefault="00795476" w:rsidP="00795476">
      <w:pPr>
        <w:spacing w:after="120" w:line="240" w:lineRule="auto"/>
        <w:rPr>
          <w:rFonts w:cs="Arial"/>
        </w:rPr>
      </w:pPr>
      <w:r w:rsidRPr="00CE58AE">
        <w:rPr>
          <w:rFonts w:cs="Arial"/>
        </w:rPr>
        <w:t xml:space="preserve">Dear </w:t>
      </w:r>
      <w:r w:rsidR="006E499A" w:rsidRPr="00CE58AE">
        <w:rPr>
          <w:rFonts w:cs="Arial"/>
        </w:rPr>
        <w:t>Minister</w:t>
      </w:r>
      <w:r w:rsidRPr="00CE58AE">
        <w:rPr>
          <w:rFonts w:cs="Arial"/>
        </w:rPr>
        <w:br/>
      </w:r>
    </w:p>
    <w:p w14:paraId="37DF6A9F" w14:textId="77777777" w:rsidR="00795476" w:rsidRPr="00CE58AE" w:rsidRDefault="00795476" w:rsidP="00494ED6">
      <w:pPr>
        <w:spacing w:after="120" w:line="240" w:lineRule="auto"/>
        <w:rPr>
          <w:rFonts w:cs="Arial"/>
          <w:b/>
        </w:rPr>
      </w:pPr>
      <w:r>
        <w:rPr>
          <w:rFonts w:cs="Arial"/>
          <w:b/>
        </w:rPr>
        <w:t xml:space="preserve">Re: </w:t>
      </w:r>
      <w:r w:rsidRPr="00CE58AE">
        <w:rPr>
          <w:rFonts w:cs="Arial"/>
          <w:b/>
        </w:rPr>
        <w:t>20</w:t>
      </w:r>
      <w:r>
        <w:rPr>
          <w:rFonts w:cs="Arial"/>
          <w:b/>
        </w:rPr>
        <w:t>22</w:t>
      </w:r>
      <w:r w:rsidRPr="00CE58AE">
        <w:rPr>
          <w:rFonts w:cs="Arial"/>
          <w:b/>
        </w:rPr>
        <w:t xml:space="preserve"> Annual Report </w:t>
      </w:r>
      <w:r>
        <w:rPr>
          <w:rFonts w:cs="Arial"/>
          <w:b/>
        </w:rPr>
        <w:t>of</w:t>
      </w:r>
      <w:r w:rsidRPr="00CE58AE">
        <w:rPr>
          <w:rFonts w:cs="Arial"/>
          <w:b/>
        </w:rPr>
        <w:t xml:space="preserve"> the Office of the </w:t>
      </w:r>
      <w:r>
        <w:rPr>
          <w:rFonts w:cs="Arial"/>
          <w:b/>
        </w:rPr>
        <w:t>Australian Energy Infrastructure</w:t>
      </w:r>
      <w:r w:rsidRPr="00CE58AE">
        <w:rPr>
          <w:rFonts w:cs="Arial"/>
          <w:b/>
        </w:rPr>
        <w:t xml:space="preserve"> Commissioner </w:t>
      </w:r>
    </w:p>
    <w:p w14:paraId="110A30F4" w14:textId="77777777" w:rsidR="00795476" w:rsidRPr="00CE58AE" w:rsidRDefault="00795476" w:rsidP="00795476">
      <w:pPr>
        <w:spacing w:line="264" w:lineRule="auto"/>
        <w:rPr>
          <w:rFonts w:cs="Arial"/>
        </w:rPr>
      </w:pPr>
      <w:r w:rsidRPr="00CE58AE">
        <w:rPr>
          <w:rFonts w:cs="Arial"/>
        </w:rPr>
        <w:t xml:space="preserve">Pursuant to the </w:t>
      </w:r>
      <w:r>
        <w:rPr>
          <w:rFonts w:cs="Arial"/>
        </w:rPr>
        <w:t>Australian Energy Infrastructure</w:t>
      </w:r>
      <w:r w:rsidRPr="00CE58AE">
        <w:rPr>
          <w:rFonts w:cs="Arial"/>
        </w:rPr>
        <w:t xml:space="preserve"> Commissioner’s Terms of Referen</w:t>
      </w:r>
      <w:r>
        <w:rPr>
          <w:rFonts w:cs="Arial"/>
        </w:rPr>
        <w:t xml:space="preserve">ce, I am pleased to provide the 2022 </w:t>
      </w:r>
      <w:r w:rsidRPr="00CE58AE">
        <w:rPr>
          <w:rFonts w:cs="Arial"/>
        </w:rPr>
        <w:t xml:space="preserve">Annual Report to the Australian Parliament on the activities of the Office of the </w:t>
      </w:r>
      <w:r>
        <w:rPr>
          <w:rFonts w:cs="Arial"/>
        </w:rPr>
        <w:t>Australian Energy Infrastructure Commissioner.</w:t>
      </w:r>
    </w:p>
    <w:p w14:paraId="4F04B64A" w14:textId="7A5EBC23" w:rsidR="00795476" w:rsidRDefault="00795476" w:rsidP="00795476">
      <w:pPr>
        <w:spacing w:line="264" w:lineRule="auto"/>
        <w:rPr>
          <w:rFonts w:cs="Arial"/>
        </w:rPr>
      </w:pPr>
      <w:r w:rsidRPr="00CE58AE">
        <w:rPr>
          <w:rFonts w:cs="Arial"/>
        </w:rPr>
        <w:t>Th</w:t>
      </w:r>
      <w:r>
        <w:rPr>
          <w:rFonts w:cs="Arial"/>
        </w:rPr>
        <w:t>is</w:t>
      </w:r>
      <w:r w:rsidRPr="00CE58AE">
        <w:rPr>
          <w:rFonts w:cs="Arial"/>
        </w:rPr>
        <w:t xml:space="preserve"> </w:t>
      </w:r>
      <w:r>
        <w:rPr>
          <w:rFonts w:cs="Arial"/>
        </w:rPr>
        <w:t>r</w:t>
      </w:r>
      <w:r w:rsidRPr="00CE58AE">
        <w:rPr>
          <w:rFonts w:cs="Arial"/>
        </w:rPr>
        <w:t xml:space="preserve">eport covers </w:t>
      </w:r>
      <w:r>
        <w:rPr>
          <w:rFonts w:cs="Arial"/>
        </w:rPr>
        <w:t xml:space="preserve">the Office’s </w:t>
      </w:r>
      <w:r w:rsidRPr="00CE58AE">
        <w:rPr>
          <w:rFonts w:cs="Arial"/>
        </w:rPr>
        <w:t xml:space="preserve">activities </w:t>
      </w:r>
      <w:r>
        <w:rPr>
          <w:rFonts w:cs="Arial"/>
        </w:rPr>
        <w:t xml:space="preserve">for the </w:t>
      </w:r>
      <w:r w:rsidRPr="00F47E6D">
        <w:rPr>
          <w:rFonts w:cs="Arial"/>
        </w:rPr>
        <w:t xml:space="preserve">period of </w:t>
      </w:r>
      <w:r>
        <w:rPr>
          <w:rFonts w:cs="Arial"/>
        </w:rPr>
        <w:t xml:space="preserve">1 January 2022 through </w:t>
      </w:r>
      <w:r w:rsidRPr="00F47E6D">
        <w:rPr>
          <w:rFonts w:cs="Arial"/>
        </w:rPr>
        <w:t xml:space="preserve">to </w:t>
      </w:r>
      <w:r>
        <w:rPr>
          <w:rFonts w:cs="Arial"/>
        </w:rPr>
        <w:t>31 December 2022</w:t>
      </w:r>
      <w:r w:rsidR="003D642E">
        <w:rPr>
          <w:rFonts w:cs="Arial"/>
        </w:rPr>
        <w:t xml:space="preserve"> along with</w:t>
      </w:r>
      <w:r w:rsidR="0053639B">
        <w:rPr>
          <w:rFonts w:cs="Arial"/>
        </w:rPr>
        <w:t xml:space="preserve"> updated observations and recommendations</w:t>
      </w:r>
      <w:r w:rsidRPr="00CE58AE">
        <w:rPr>
          <w:rFonts w:cs="Arial"/>
        </w:rPr>
        <w:t xml:space="preserve">. </w:t>
      </w:r>
    </w:p>
    <w:p w14:paraId="02D210D3" w14:textId="77777777" w:rsidR="00795476" w:rsidRPr="00CE58AE" w:rsidRDefault="00795476" w:rsidP="00494ED6">
      <w:pPr>
        <w:spacing w:after="0" w:line="264" w:lineRule="auto"/>
        <w:rPr>
          <w:rFonts w:cs="Arial"/>
        </w:rPr>
      </w:pPr>
      <w:r w:rsidRPr="00CE58AE">
        <w:rPr>
          <w:rFonts w:cs="Arial"/>
        </w:rPr>
        <w:t xml:space="preserve">I look forward to discussing the </w:t>
      </w:r>
      <w:r>
        <w:rPr>
          <w:rFonts w:cs="Arial"/>
        </w:rPr>
        <w:t>r</w:t>
      </w:r>
      <w:r w:rsidRPr="00CE58AE">
        <w:rPr>
          <w:rFonts w:cs="Arial"/>
        </w:rPr>
        <w:t>eport with stakeholders in due course.</w:t>
      </w:r>
    </w:p>
    <w:p w14:paraId="7B83A632" w14:textId="77777777" w:rsidR="00720EAD" w:rsidRDefault="00720EAD" w:rsidP="00795476">
      <w:pPr>
        <w:spacing w:after="120" w:line="240" w:lineRule="auto"/>
        <w:rPr>
          <w:rFonts w:cs="Arial"/>
        </w:rPr>
      </w:pPr>
    </w:p>
    <w:p w14:paraId="4FDC1D42" w14:textId="3369C3A7" w:rsidR="00795476" w:rsidRPr="00CE58AE" w:rsidRDefault="00795476" w:rsidP="00795476">
      <w:pPr>
        <w:spacing w:after="120" w:line="240" w:lineRule="auto"/>
        <w:rPr>
          <w:rFonts w:cs="Arial"/>
        </w:rPr>
      </w:pPr>
      <w:r w:rsidRPr="00CE58AE">
        <w:rPr>
          <w:rFonts w:cs="Arial"/>
        </w:rPr>
        <w:t>Sincerely</w:t>
      </w:r>
    </w:p>
    <w:p w14:paraId="4A5B4611" w14:textId="77777777" w:rsidR="00795476" w:rsidRPr="00494ED6" w:rsidRDefault="00795476" w:rsidP="00494ED6">
      <w:pPr>
        <w:spacing w:after="0" w:line="240" w:lineRule="auto"/>
        <w:rPr>
          <w:rFonts w:cs="Arial"/>
        </w:rPr>
      </w:pPr>
      <w:r w:rsidRPr="00CE58AE">
        <w:rPr>
          <w:noProof/>
          <w:lang w:eastAsia="en-AU"/>
        </w:rPr>
        <w:drawing>
          <wp:inline distT="0" distB="0" distL="0" distR="0" wp14:anchorId="3A68C95D" wp14:editId="5026ABC7">
            <wp:extent cx="857250" cy="586699"/>
            <wp:effectExtent l="0" t="0" r="0" b="4445"/>
            <wp:docPr id="10" name="Picture 10" descr="Andrew Dyer's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drew Dyer's Signatur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586699"/>
                    </a:xfrm>
                    <a:prstGeom prst="rect">
                      <a:avLst/>
                    </a:prstGeom>
                    <a:noFill/>
                    <a:ln>
                      <a:noFill/>
                    </a:ln>
                  </pic:spPr>
                </pic:pic>
              </a:graphicData>
            </a:graphic>
          </wp:inline>
        </w:drawing>
      </w:r>
      <w:r w:rsidRPr="00CE58AE">
        <w:br w:type="textWrapping" w:clear="all"/>
      </w:r>
      <w:r w:rsidRPr="00494ED6">
        <w:rPr>
          <w:rFonts w:cs="Arial"/>
        </w:rPr>
        <w:t>Andrew Dyer</w:t>
      </w:r>
    </w:p>
    <w:p w14:paraId="5B75E4FE" w14:textId="014F38BD" w:rsidR="00D55D79" w:rsidRDefault="0073684D" w:rsidP="00304241">
      <w:r w:rsidRPr="0073684D">
        <w:rPr>
          <w:rFonts w:cs="Arial"/>
        </w:rPr>
        <w:t>Australian Energy Infrastructure Commissioner</w:t>
      </w:r>
    </w:p>
    <w:p w14:paraId="6F9CDB2A" w14:textId="77777777" w:rsidR="00D55D79" w:rsidRDefault="00D55D79">
      <w:r>
        <w:br w:type="page"/>
      </w:r>
    </w:p>
    <w:p w14:paraId="174DEA8F" w14:textId="1A631613" w:rsidR="00D55D79" w:rsidRDefault="00D55D79" w:rsidP="00304241"/>
    <w:p w14:paraId="028BE5AE" w14:textId="77777777" w:rsidR="00A72FC8" w:rsidRDefault="00A72FC8" w:rsidP="00304241"/>
    <w:p w14:paraId="6FFDE4ED" w14:textId="77777777" w:rsidR="00D55D79" w:rsidRDefault="00D55D79" w:rsidP="00D55D79">
      <w:pPr>
        <w:rPr>
          <w:rFonts w:ascii="Garamond" w:hAnsi="Garamond"/>
        </w:rPr>
      </w:pPr>
    </w:p>
    <w:p w14:paraId="2A303CD4" w14:textId="77777777" w:rsidR="00D55D79" w:rsidRDefault="00D55D79" w:rsidP="00D55D79">
      <w:pPr>
        <w:rPr>
          <w:rFonts w:ascii="Garamond" w:hAnsi="Garamond"/>
        </w:rPr>
      </w:pPr>
    </w:p>
    <w:p w14:paraId="17CEBE95" w14:textId="77777777" w:rsidR="00D55D79" w:rsidRDefault="00D55D79" w:rsidP="00D55D79">
      <w:pPr>
        <w:rPr>
          <w:rFonts w:ascii="Garamond" w:hAnsi="Garamond"/>
        </w:rPr>
      </w:pPr>
    </w:p>
    <w:p w14:paraId="3FC00223" w14:textId="77777777" w:rsidR="00D55D79" w:rsidRDefault="00D55D79" w:rsidP="00D55D79">
      <w:pPr>
        <w:rPr>
          <w:rFonts w:ascii="Garamond" w:hAnsi="Garamond"/>
        </w:rPr>
      </w:pPr>
    </w:p>
    <w:p w14:paraId="6B587C16" w14:textId="77777777" w:rsidR="00D55D79" w:rsidRDefault="00D55D79" w:rsidP="00D55D79">
      <w:pPr>
        <w:rPr>
          <w:rFonts w:ascii="Garamond" w:hAnsi="Garamond"/>
        </w:rPr>
      </w:pPr>
    </w:p>
    <w:p w14:paraId="79142184" w14:textId="77777777" w:rsidR="00D55D79" w:rsidRDefault="00D55D79" w:rsidP="00D55D79">
      <w:pPr>
        <w:rPr>
          <w:rFonts w:ascii="Garamond" w:hAnsi="Garamond"/>
        </w:rPr>
      </w:pPr>
    </w:p>
    <w:p w14:paraId="5C9D6651" w14:textId="77777777" w:rsidR="00D55D79" w:rsidRDefault="00D55D79" w:rsidP="00D55D79">
      <w:pPr>
        <w:rPr>
          <w:rFonts w:ascii="Garamond" w:hAnsi="Garamond"/>
        </w:rPr>
      </w:pPr>
    </w:p>
    <w:p w14:paraId="33506B30" w14:textId="77777777" w:rsidR="00D55D79" w:rsidRDefault="00D55D79" w:rsidP="00D55D79">
      <w:pPr>
        <w:rPr>
          <w:rFonts w:ascii="Garamond" w:hAnsi="Garamond"/>
        </w:rPr>
      </w:pPr>
    </w:p>
    <w:p w14:paraId="6904D8E3" w14:textId="77777777" w:rsidR="00D55D79" w:rsidRDefault="00D55D79" w:rsidP="00D55D79">
      <w:pPr>
        <w:rPr>
          <w:rFonts w:ascii="Garamond" w:hAnsi="Garamond"/>
        </w:rPr>
      </w:pPr>
    </w:p>
    <w:p w14:paraId="2CDCFCA3" w14:textId="77777777" w:rsidR="00D55D79" w:rsidRDefault="00D55D79" w:rsidP="00D55D79">
      <w:pPr>
        <w:rPr>
          <w:rFonts w:ascii="Garamond" w:hAnsi="Garamond"/>
        </w:rPr>
      </w:pPr>
    </w:p>
    <w:p w14:paraId="4782397A" w14:textId="77777777" w:rsidR="00D55D79" w:rsidRDefault="00D55D79" w:rsidP="00D55D79">
      <w:pPr>
        <w:rPr>
          <w:rFonts w:ascii="Garamond" w:hAnsi="Garamond"/>
        </w:rPr>
      </w:pPr>
    </w:p>
    <w:p w14:paraId="7A8BB788" w14:textId="77777777" w:rsidR="00A72FC8" w:rsidRPr="00C24906" w:rsidRDefault="00A72FC8" w:rsidP="00A72FC8">
      <w:pPr>
        <w:rPr>
          <w:rFonts w:ascii="Garamond" w:eastAsiaTheme="minorHAnsi" w:hAnsi="Garamond"/>
        </w:rPr>
      </w:pPr>
      <w:r w:rsidRPr="00186947">
        <w:rPr>
          <w:rFonts w:ascii="Garamond" w:hAnsi="Garamond"/>
        </w:rPr>
        <w:t>Cover images, from top to bottom:</w:t>
      </w:r>
    </w:p>
    <w:p w14:paraId="5D0CDF3B" w14:textId="77777777" w:rsidR="00A72FC8" w:rsidRDefault="00A72FC8" w:rsidP="00A72FC8">
      <w:pPr>
        <w:rPr>
          <w:rFonts w:ascii="Garamond" w:hAnsi="Garamond"/>
        </w:rPr>
      </w:pPr>
      <w:r>
        <w:rPr>
          <w:rFonts w:ascii="Garamond" w:hAnsi="Garamond"/>
        </w:rPr>
        <w:t>A</w:t>
      </w:r>
      <w:r w:rsidRPr="00EB7FF1">
        <w:rPr>
          <w:rFonts w:ascii="Garamond" w:hAnsi="Garamond"/>
        </w:rPr>
        <w:t>erial view of wind turbines in the Netherlands</w:t>
      </w:r>
      <w:r>
        <w:rPr>
          <w:rFonts w:ascii="Garamond" w:hAnsi="Garamond"/>
        </w:rPr>
        <w:t xml:space="preserve">; </w:t>
      </w:r>
      <w:r w:rsidRPr="00EB7FF1">
        <w:rPr>
          <w:rFonts w:ascii="Garamond" w:hAnsi="Garamond"/>
        </w:rPr>
        <w:t xml:space="preserve">Australian high voltage </w:t>
      </w:r>
      <w:r>
        <w:rPr>
          <w:rFonts w:ascii="Garamond" w:hAnsi="Garamond"/>
        </w:rPr>
        <w:t xml:space="preserve">transmission </w:t>
      </w:r>
      <w:r w:rsidRPr="00EB7FF1">
        <w:rPr>
          <w:rFonts w:ascii="Garamond" w:hAnsi="Garamond"/>
        </w:rPr>
        <w:t>lines with sunset in background</w:t>
      </w:r>
      <w:r>
        <w:rPr>
          <w:rFonts w:ascii="Garamond" w:hAnsi="Garamond"/>
        </w:rPr>
        <w:t xml:space="preserve">; aerial view of photovoltaic solar farm, Vietnam; </w:t>
      </w:r>
      <w:r w:rsidRPr="00EB7FF1">
        <w:rPr>
          <w:rFonts w:ascii="Garamond" w:hAnsi="Garamond"/>
        </w:rPr>
        <w:t>Turlough Hill</w:t>
      </w:r>
      <w:r>
        <w:rPr>
          <w:rFonts w:ascii="Garamond" w:hAnsi="Garamond"/>
        </w:rPr>
        <w:t xml:space="preserve"> </w:t>
      </w:r>
      <w:r w:rsidRPr="00EB7FF1">
        <w:rPr>
          <w:rFonts w:ascii="Garamond" w:hAnsi="Garamond"/>
        </w:rPr>
        <w:t xml:space="preserve">pumped </w:t>
      </w:r>
      <w:r>
        <w:rPr>
          <w:rFonts w:ascii="Garamond" w:hAnsi="Garamond"/>
        </w:rPr>
        <w:t xml:space="preserve">hydro </w:t>
      </w:r>
      <w:r w:rsidRPr="00EB7FF1">
        <w:rPr>
          <w:rFonts w:ascii="Garamond" w:hAnsi="Garamond"/>
        </w:rPr>
        <w:t>storage, Wicklow Mountains</w:t>
      </w:r>
      <w:r>
        <w:rPr>
          <w:rFonts w:ascii="Garamond" w:hAnsi="Garamond"/>
        </w:rPr>
        <w:t>, Ireland</w:t>
      </w:r>
      <w:r w:rsidRPr="00EB7FF1">
        <w:rPr>
          <w:rFonts w:ascii="Garamond" w:hAnsi="Garamond"/>
        </w:rPr>
        <w:t>.</w:t>
      </w:r>
    </w:p>
    <w:p w14:paraId="6EB0698A" w14:textId="77777777" w:rsidR="00D55D79" w:rsidRDefault="00D55D79" w:rsidP="00D55D79">
      <w:pPr>
        <w:rPr>
          <w:rFonts w:ascii="Garamond" w:hAnsi="Garamond"/>
        </w:rPr>
      </w:pPr>
    </w:p>
    <w:p w14:paraId="2C2099A8" w14:textId="55BE0E4A" w:rsidR="00D55D79" w:rsidRDefault="00D55D79" w:rsidP="00D55D79">
      <w:pPr>
        <w:rPr>
          <w:rFonts w:ascii="Garamond" w:hAnsi="Garamond"/>
        </w:rPr>
      </w:pPr>
      <w:r w:rsidRPr="00EF4A08">
        <w:rPr>
          <w:rFonts w:ascii="Garamond" w:hAnsi="Garamond"/>
        </w:rPr>
        <w:t>ISBN</w:t>
      </w:r>
      <w:r w:rsidRPr="00013C79">
        <w:rPr>
          <w:rFonts w:ascii="Garamond" w:hAnsi="Garamond"/>
        </w:rPr>
        <w:t>:</w:t>
      </w:r>
      <w:r w:rsidR="00A72FC8">
        <w:rPr>
          <w:rFonts w:ascii="Garamond" w:hAnsi="Garamond"/>
        </w:rPr>
        <w:t xml:space="preserve"> </w:t>
      </w:r>
      <w:r w:rsidR="00A72FC8" w:rsidRPr="00A72FC8">
        <w:rPr>
          <w:rFonts w:ascii="Garamond" w:hAnsi="Garamond"/>
        </w:rPr>
        <w:t xml:space="preserve">978-0-646-87982-6 </w:t>
      </w:r>
    </w:p>
    <w:p w14:paraId="79B38012" w14:textId="77777777" w:rsidR="00D55D79" w:rsidRDefault="00D55D79" w:rsidP="00D55D79">
      <w:pPr>
        <w:rPr>
          <w:rFonts w:ascii="Garamond" w:eastAsiaTheme="minorHAnsi" w:hAnsi="Garamond"/>
        </w:rPr>
      </w:pPr>
      <w:r>
        <w:rPr>
          <w:rFonts w:ascii="Garamond" w:hAnsi="Garamond"/>
        </w:rPr>
        <w:t>© Commonwealth of Australia, 2023.</w:t>
      </w:r>
    </w:p>
    <w:p w14:paraId="76451BA9" w14:textId="77777777" w:rsidR="00D55D79" w:rsidRDefault="00D55D79" w:rsidP="00D55D79">
      <w:pPr>
        <w:rPr>
          <w:rFonts w:ascii="Garamond" w:hAnsi="Garamond"/>
        </w:rPr>
      </w:pPr>
      <w:r>
        <w:rPr>
          <w:rFonts w:ascii="Garamond" w:hAnsi="Garamond"/>
          <w:noProof/>
          <w:lang w:eastAsia="en-AU"/>
        </w:rPr>
        <w:drawing>
          <wp:inline distT="0" distB="0" distL="0" distR="0" wp14:anchorId="29E4EFBD" wp14:editId="4ECDF169">
            <wp:extent cx="666750" cy="238125"/>
            <wp:effectExtent l="0" t="0" r="0" b="9525"/>
            <wp:docPr id="1" name="Picture 1" descr="cid:image001.jpg@01D685F9.2BC37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85F9.2BC378F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14:paraId="54431C9A" w14:textId="33D4DB02" w:rsidR="00D55D79" w:rsidRDefault="00D55D79" w:rsidP="00D55D79">
      <w:pPr>
        <w:rPr>
          <w:rFonts w:ascii="Garamond" w:hAnsi="Garamond"/>
        </w:rPr>
      </w:pPr>
      <w:r w:rsidRPr="00035DA5">
        <w:rPr>
          <w:rFonts w:ascii="Garamond" w:hAnsi="Garamond"/>
          <w:i/>
          <w:iCs/>
        </w:rPr>
        <w:t>202</w:t>
      </w:r>
      <w:r>
        <w:rPr>
          <w:rFonts w:ascii="Garamond" w:hAnsi="Garamond"/>
          <w:i/>
          <w:iCs/>
        </w:rPr>
        <w:t>2</w:t>
      </w:r>
      <w:r w:rsidRPr="00035DA5">
        <w:rPr>
          <w:rFonts w:ascii="Garamond" w:hAnsi="Garamond"/>
          <w:i/>
          <w:iCs/>
        </w:rPr>
        <w:t xml:space="preserve"> Annual Report of the </w:t>
      </w:r>
      <w:r w:rsidR="00077822">
        <w:rPr>
          <w:rFonts w:ascii="Garamond" w:hAnsi="Garamond"/>
          <w:i/>
          <w:iCs/>
        </w:rPr>
        <w:t xml:space="preserve">Office of the </w:t>
      </w:r>
      <w:r>
        <w:rPr>
          <w:rFonts w:ascii="Garamond" w:hAnsi="Garamond"/>
          <w:i/>
          <w:iCs/>
        </w:rPr>
        <w:t xml:space="preserve">Australian Energy Infrastructure Commissioner </w:t>
      </w:r>
      <w:r>
        <w:rPr>
          <w:rFonts w:ascii="Garamond" w:hAnsi="Garamond"/>
        </w:rPr>
        <w:t xml:space="preserve">is licensed by the Commonwealth of Australia for use under a Creative Commons Attribution 4.0 International License with the exception of the Coat of Arms of the Commonwealth of Australia, the logo of the agency responsible for publishing the report, content supplied by third parties, and any images depicting people. </w:t>
      </w:r>
    </w:p>
    <w:p w14:paraId="2DAD23AD" w14:textId="77777777" w:rsidR="00D55D79" w:rsidRDefault="00D55D79" w:rsidP="00D55D79">
      <w:pPr>
        <w:rPr>
          <w:rFonts w:ascii="Garamond" w:hAnsi="Garamond"/>
        </w:rPr>
      </w:pPr>
      <w:r>
        <w:rPr>
          <w:rFonts w:ascii="Garamond" w:hAnsi="Garamond"/>
        </w:rPr>
        <w:t xml:space="preserve">For licence conditions see: </w:t>
      </w:r>
      <w:hyperlink r:id="rId20" w:history="1">
        <w:r>
          <w:rPr>
            <w:rStyle w:val="Hyperlink"/>
            <w:rFonts w:ascii="Garamond" w:hAnsi="Garamond"/>
          </w:rPr>
          <w:t>https://creativecommons.org/licenses/by/4.0/</w:t>
        </w:r>
      </w:hyperlink>
    </w:p>
    <w:p w14:paraId="663E749E" w14:textId="751DC4B7" w:rsidR="00D55D79" w:rsidRDefault="00D55D79" w:rsidP="00D55D79">
      <w:pPr>
        <w:rPr>
          <w:rFonts w:ascii="Garamond" w:hAnsi="Garamond"/>
        </w:rPr>
      </w:pPr>
      <w:r>
        <w:rPr>
          <w:rFonts w:ascii="Garamond" w:hAnsi="Garamond"/>
        </w:rPr>
        <w:t>This report should be attributed as ‘</w:t>
      </w:r>
      <w:r w:rsidRPr="00035DA5">
        <w:rPr>
          <w:rFonts w:ascii="Garamond" w:hAnsi="Garamond"/>
          <w:i/>
          <w:iCs/>
        </w:rPr>
        <w:t>202</w:t>
      </w:r>
      <w:r>
        <w:rPr>
          <w:rFonts w:ascii="Garamond" w:hAnsi="Garamond"/>
          <w:i/>
          <w:iCs/>
        </w:rPr>
        <w:t>2</w:t>
      </w:r>
      <w:r w:rsidRPr="00035DA5">
        <w:rPr>
          <w:rFonts w:ascii="Garamond" w:hAnsi="Garamond"/>
          <w:i/>
          <w:iCs/>
        </w:rPr>
        <w:t xml:space="preserve"> Annual Report of the </w:t>
      </w:r>
      <w:r w:rsidR="00077822">
        <w:rPr>
          <w:rFonts w:ascii="Garamond" w:hAnsi="Garamond"/>
          <w:i/>
          <w:iCs/>
        </w:rPr>
        <w:t xml:space="preserve">Office of the </w:t>
      </w:r>
      <w:r>
        <w:rPr>
          <w:rFonts w:ascii="Garamond" w:hAnsi="Garamond"/>
          <w:i/>
          <w:iCs/>
        </w:rPr>
        <w:t>Australian Energy Infrastructure Commissioner</w:t>
      </w:r>
      <w:r w:rsidRPr="00035DA5">
        <w:rPr>
          <w:rFonts w:ascii="Garamond" w:hAnsi="Garamond"/>
        </w:rPr>
        <w:t>, Commonwealth of Australia 202</w:t>
      </w:r>
      <w:r>
        <w:rPr>
          <w:rFonts w:ascii="Garamond" w:hAnsi="Garamond"/>
        </w:rPr>
        <w:t xml:space="preserve">2’. </w:t>
      </w:r>
    </w:p>
    <w:p w14:paraId="050CCA43" w14:textId="77777777" w:rsidR="00D55D79" w:rsidRDefault="00D55D79" w:rsidP="00D55D79">
      <w:pPr>
        <w:rPr>
          <w:rFonts w:ascii="Garamond" w:hAnsi="Garamond"/>
        </w:rPr>
      </w:pPr>
      <w:r>
        <w:rPr>
          <w:rFonts w:ascii="Garamond" w:hAnsi="Garamond"/>
        </w:rPr>
        <w:t xml:space="preserve">The Commonwealth of Australia has made all reasonable efforts to identify content supplied by third parties using the following format ‘© Copyright, [name of third party]’. </w:t>
      </w:r>
    </w:p>
    <w:p w14:paraId="56B81F4A" w14:textId="77777777" w:rsidR="00D55D79" w:rsidRDefault="00D55D79" w:rsidP="00D55D79">
      <w:pPr>
        <w:rPr>
          <w:rFonts w:ascii="Garamond" w:hAnsi="Garamond"/>
          <w:b/>
          <w:bCs/>
        </w:rPr>
      </w:pPr>
      <w:r>
        <w:rPr>
          <w:rFonts w:ascii="Garamond" w:hAnsi="Garamond"/>
          <w:b/>
          <w:bCs/>
        </w:rPr>
        <w:t xml:space="preserve">Disclaimer </w:t>
      </w:r>
    </w:p>
    <w:p w14:paraId="6652A965" w14:textId="00CDB777" w:rsidR="00D55D79" w:rsidRDefault="00D55D79">
      <w:r>
        <w:rPr>
          <w:rFonts w:ascii="Garamond" w:hAnsi="Garamond"/>
        </w:rPr>
        <w:t>The views and opinions expressed in this publication are those of the authors and do not necessarily reflect those of the Australian Government or the Portfolio Ministers for the Department of Climate Change, Energy, the Environment and Water.</w:t>
      </w:r>
      <w:r>
        <w:br w:type="page"/>
      </w:r>
    </w:p>
    <w:p w14:paraId="3710CBB1" w14:textId="77777777" w:rsidR="00304241" w:rsidRDefault="00304241" w:rsidP="00304241">
      <w:pPr>
        <w:sectPr w:rsidR="00304241" w:rsidSect="00C90C75">
          <w:headerReference w:type="even" r:id="rId21"/>
          <w:headerReference w:type="default" r:id="rId22"/>
          <w:headerReference w:type="first" r:id="rId23"/>
          <w:footerReference w:type="first" r:id="rId24"/>
          <w:pgSz w:w="11906" w:h="16838"/>
          <w:pgMar w:top="720" w:right="720" w:bottom="720" w:left="720" w:header="454" w:footer="425" w:gutter="0"/>
          <w:cols w:space="708"/>
          <w:titlePg/>
          <w:docGrid w:linePitch="360"/>
        </w:sectPr>
      </w:pPr>
    </w:p>
    <w:p w14:paraId="7C11CACF" w14:textId="76904A56" w:rsidR="00304241" w:rsidRPr="00F47E6D" w:rsidRDefault="00304241" w:rsidP="00D55D79">
      <w:pPr>
        <w:pStyle w:val="Heading1"/>
      </w:pPr>
      <w:bookmarkStart w:id="2" w:name="_Toc4747366"/>
      <w:bookmarkStart w:id="3" w:name="_Toc131505278"/>
      <w:bookmarkStart w:id="4" w:name="_Toc132641408"/>
      <w:bookmarkStart w:id="5" w:name="_Toc135390567"/>
      <w:r w:rsidRPr="00F47E6D">
        <w:lastRenderedPageBreak/>
        <w:t>Contents</w:t>
      </w:r>
      <w:bookmarkEnd w:id="2"/>
      <w:bookmarkEnd w:id="3"/>
      <w:bookmarkEnd w:id="4"/>
      <w:bookmarkEnd w:id="5"/>
      <w:r>
        <w:tab/>
      </w:r>
    </w:p>
    <w:sdt>
      <w:sdtPr>
        <w:rPr>
          <w:rFonts w:ascii="Arial" w:hAnsi="Arial"/>
          <w:b w:val="0"/>
          <w:bCs w:val="0"/>
          <w:caps w:val="0"/>
          <w:sz w:val="22"/>
          <w:szCs w:val="22"/>
        </w:rPr>
        <w:id w:val="-1004362484"/>
        <w:docPartObj>
          <w:docPartGallery w:val="Table of Contents"/>
          <w:docPartUnique/>
        </w:docPartObj>
      </w:sdtPr>
      <w:sdtEndPr>
        <w:rPr>
          <w:noProof/>
          <w:sz w:val="2"/>
          <w:szCs w:val="2"/>
        </w:rPr>
      </w:sdtEndPr>
      <w:sdtContent>
        <w:p w14:paraId="51F87DC0" w14:textId="566A2BA3" w:rsidR="00724275" w:rsidRDefault="00304241">
          <w:pPr>
            <w:pStyle w:val="TOC1"/>
            <w:rPr>
              <w:rFonts w:eastAsiaTheme="minorEastAsia" w:cstheme="minorBidi"/>
              <w:b w:val="0"/>
              <w:bCs w:val="0"/>
              <w:caps w:val="0"/>
              <w:noProof/>
              <w:sz w:val="22"/>
              <w:szCs w:val="22"/>
              <w:lang w:eastAsia="en-AU"/>
            </w:rPr>
          </w:pPr>
          <w:r>
            <w:fldChar w:fldCharType="begin"/>
          </w:r>
          <w:r>
            <w:instrText xml:space="preserve"> TOC \o "1-3" \h \z \u </w:instrText>
          </w:r>
          <w:r>
            <w:fldChar w:fldCharType="separate"/>
          </w:r>
          <w:hyperlink w:anchor="_Toc135390568" w:history="1">
            <w:r w:rsidR="00724275" w:rsidRPr="00CD7585">
              <w:rPr>
                <w:rStyle w:val="Hyperlink"/>
                <w:noProof/>
              </w:rPr>
              <w:t>Commissioner’s review</w:t>
            </w:r>
            <w:r w:rsidR="00724275">
              <w:rPr>
                <w:noProof/>
                <w:webHidden/>
              </w:rPr>
              <w:tab/>
            </w:r>
            <w:r w:rsidR="00724275">
              <w:rPr>
                <w:noProof/>
                <w:webHidden/>
              </w:rPr>
              <w:fldChar w:fldCharType="begin"/>
            </w:r>
            <w:r w:rsidR="00724275">
              <w:rPr>
                <w:noProof/>
                <w:webHidden/>
              </w:rPr>
              <w:instrText xml:space="preserve"> PAGEREF _Toc135390568 \h </w:instrText>
            </w:r>
            <w:r w:rsidR="00724275">
              <w:rPr>
                <w:noProof/>
                <w:webHidden/>
              </w:rPr>
            </w:r>
            <w:r w:rsidR="00724275">
              <w:rPr>
                <w:noProof/>
                <w:webHidden/>
              </w:rPr>
              <w:fldChar w:fldCharType="separate"/>
            </w:r>
            <w:r w:rsidR="00796527">
              <w:rPr>
                <w:noProof/>
                <w:webHidden/>
              </w:rPr>
              <w:t>3</w:t>
            </w:r>
            <w:r w:rsidR="00724275">
              <w:rPr>
                <w:noProof/>
                <w:webHidden/>
              </w:rPr>
              <w:fldChar w:fldCharType="end"/>
            </w:r>
          </w:hyperlink>
        </w:p>
        <w:p w14:paraId="44FD000C" w14:textId="5A0FEC48" w:rsidR="00724275" w:rsidRDefault="004C4253">
          <w:pPr>
            <w:pStyle w:val="TOC2"/>
            <w:rPr>
              <w:rFonts w:eastAsiaTheme="minorEastAsia" w:cstheme="minorBidi"/>
              <w:smallCaps w:val="0"/>
              <w:noProof/>
              <w:sz w:val="22"/>
              <w:szCs w:val="22"/>
              <w:lang w:eastAsia="en-AU"/>
            </w:rPr>
          </w:pPr>
          <w:hyperlink w:anchor="_Toc135390569" w:history="1">
            <w:r w:rsidR="00724275" w:rsidRPr="00CD7585">
              <w:rPr>
                <w:rStyle w:val="Hyperlink"/>
                <w:noProof/>
              </w:rPr>
              <w:t>Introduction</w:t>
            </w:r>
            <w:r w:rsidR="00724275">
              <w:rPr>
                <w:noProof/>
                <w:webHidden/>
              </w:rPr>
              <w:tab/>
            </w:r>
            <w:r w:rsidR="00724275">
              <w:rPr>
                <w:noProof/>
                <w:webHidden/>
              </w:rPr>
              <w:fldChar w:fldCharType="begin"/>
            </w:r>
            <w:r w:rsidR="00724275">
              <w:rPr>
                <w:noProof/>
                <w:webHidden/>
              </w:rPr>
              <w:instrText xml:space="preserve"> PAGEREF _Toc135390569 \h </w:instrText>
            </w:r>
            <w:r w:rsidR="00724275">
              <w:rPr>
                <w:noProof/>
                <w:webHidden/>
              </w:rPr>
            </w:r>
            <w:r w:rsidR="00724275">
              <w:rPr>
                <w:noProof/>
                <w:webHidden/>
              </w:rPr>
              <w:fldChar w:fldCharType="separate"/>
            </w:r>
            <w:r w:rsidR="00796527">
              <w:rPr>
                <w:noProof/>
                <w:webHidden/>
              </w:rPr>
              <w:t>3</w:t>
            </w:r>
            <w:r w:rsidR="00724275">
              <w:rPr>
                <w:noProof/>
                <w:webHidden/>
              </w:rPr>
              <w:fldChar w:fldCharType="end"/>
            </w:r>
          </w:hyperlink>
        </w:p>
        <w:p w14:paraId="38F7A945" w14:textId="0113872D" w:rsidR="00724275" w:rsidRDefault="004C4253">
          <w:pPr>
            <w:pStyle w:val="TOC2"/>
            <w:rPr>
              <w:rFonts w:eastAsiaTheme="minorEastAsia" w:cstheme="minorBidi"/>
              <w:smallCaps w:val="0"/>
              <w:noProof/>
              <w:sz w:val="22"/>
              <w:szCs w:val="22"/>
              <w:lang w:eastAsia="en-AU"/>
            </w:rPr>
          </w:pPr>
          <w:hyperlink w:anchor="_Toc135390570" w:history="1">
            <w:r w:rsidR="00724275" w:rsidRPr="00CD7585">
              <w:rPr>
                <w:rStyle w:val="Hyperlink"/>
                <w:noProof/>
              </w:rPr>
              <w:t>The Year in Review</w:t>
            </w:r>
            <w:r w:rsidR="00724275">
              <w:rPr>
                <w:noProof/>
                <w:webHidden/>
              </w:rPr>
              <w:tab/>
            </w:r>
            <w:r w:rsidR="00724275">
              <w:rPr>
                <w:noProof/>
                <w:webHidden/>
              </w:rPr>
              <w:fldChar w:fldCharType="begin"/>
            </w:r>
            <w:r w:rsidR="00724275">
              <w:rPr>
                <w:noProof/>
                <w:webHidden/>
              </w:rPr>
              <w:instrText xml:space="preserve"> PAGEREF _Toc135390570 \h </w:instrText>
            </w:r>
            <w:r w:rsidR="00724275">
              <w:rPr>
                <w:noProof/>
                <w:webHidden/>
              </w:rPr>
            </w:r>
            <w:r w:rsidR="00724275">
              <w:rPr>
                <w:noProof/>
                <w:webHidden/>
              </w:rPr>
              <w:fldChar w:fldCharType="separate"/>
            </w:r>
            <w:r w:rsidR="00796527">
              <w:rPr>
                <w:noProof/>
                <w:webHidden/>
              </w:rPr>
              <w:t>3</w:t>
            </w:r>
            <w:r w:rsidR="00724275">
              <w:rPr>
                <w:noProof/>
                <w:webHidden/>
              </w:rPr>
              <w:fldChar w:fldCharType="end"/>
            </w:r>
          </w:hyperlink>
        </w:p>
        <w:p w14:paraId="10259EE6" w14:textId="4D6D5A12" w:rsidR="00724275" w:rsidRDefault="004C4253">
          <w:pPr>
            <w:pStyle w:val="TOC2"/>
            <w:rPr>
              <w:rFonts w:eastAsiaTheme="minorEastAsia" w:cstheme="minorBidi"/>
              <w:smallCaps w:val="0"/>
              <w:noProof/>
              <w:sz w:val="22"/>
              <w:szCs w:val="22"/>
              <w:lang w:eastAsia="en-AU"/>
            </w:rPr>
          </w:pPr>
          <w:hyperlink w:anchor="_Toc135390571" w:history="1">
            <w:r w:rsidR="00724275" w:rsidRPr="00CD7585">
              <w:rPr>
                <w:rStyle w:val="Hyperlink"/>
                <w:noProof/>
              </w:rPr>
              <w:t>The Year Ahead</w:t>
            </w:r>
            <w:r w:rsidR="00724275">
              <w:rPr>
                <w:noProof/>
                <w:webHidden/>
              </w:rPr>
              <w:tab/>
            </w:r>
            <w:r w:rsidR="00724275">
              <w:rPr>
                <w:noProof/>
                <w:webHidden/>
              </w:rPr>
              <w:fldChar w:fldCharType="begin"/>
            </w:r>
            <w:r w:rsidR="00724275">
              <w:rPr>
                <w:noProof/>
                <w:webHidden/>
              </w:rPr>
              <w:instrText xml:space="preserve"> PAGEREF _Toc135390571 \h </w:instrText>
            </w:r>
            <w:r w:rsidR="00724275">
              <w:rPr>
                <w:noProof/>
                <w:webHidden/>
              </w:rPr>
            </w:r>
            <w:r w:rsidR="00724275">
              <w:rPr>
                <w:noProof/>
                <w:webHidden/>
              </w:rPr>
              <w:fldChar w:fldCharType="separate"/>
            </w:r>
            <w:r w:rsidR="00796527">
              <w:rPr>
                <w:noProof/>
                <w:webHidden/>
              </w:rPr>
              <w:t>4</w:t>
            </w:r>
            <w:r w:rsidR="00724275">
              <w:rPr>
                <w:noProof/>
                <w:webHidden/>
              </w:rPr>
              <w:fldChar w:fldCharType="end"/>
            </w:r>
          </w:hyperlink>
        </w:p>
        <w:p w14:paraId="0E4DA770" w14:textId="6ACE414C" w:rsidR="00724275" w:rsidRDefault="004C4253">
          <w:pPr>
            <w:pStyle w:val="TOC1"/>
            <w:rPr>
              <w:rFonts w:eastAsiaTheme="minorEastAsia" w:cstheme="minorBidi"/>
              <w:b w:val="0"/>
              <w:bCs w:val="0"/>
              <w:caps w:val="0"/>
              <w:noProof/>
              <w:sz w:val="22"/>
              <w:szCs w:val="22"/>
              <w:lang w:eastAsia="en-AU"/>
            </w:rPr>
          </w:pPr>
          <w:hyperlink w:anchor="_Toc135390572" w:history="1">
            <w:r w:rsidR="00724275" w:rsidRPr="00CD7585">
              <w:rPr>
                <w:rStyle w:val="Hyperlink"/>
                <w:noProof/>
              </w:rPr>
              <w:t>Overview</w:t>
            </w:r>
            <w:r w:rsidR="00724275">
              <w:rPr>
                <w:noProof/>
                <w:webHidden/>
              </w:rPr>
              <w:tab/>
            </w:r>
            <w:r w:rsidR="00724275">
              <w:rPr>
                <w:noProof/>
                <w:webHidden/>
              </w:rPr>
              <w:fldChar w:fldCharType="begin"/>
            </w:r>
            <w:r w:rsidR="00724275">
              <w:rPr>
                <w:noProof/>
                <w:webHidden/>
              </w:rPr>
              <w:instrText xml:space="preserve"> PAGEREF _Toc135390572 \h </w:instrText>
            </w:r>
            <w:r w:rsidR="00724275">
              <w:rPr>
                <w:noProof/>
                <w:webHidden/>
              </w:rPr>
            </w:r>
            <w:r w:rsidR="00724275">
              <w:rPr>
                <w:noProof/>
                <w:webHidden/>
              </w:rPr>
              <w:fldChar w:fldCharType="separate"/>
            </w:r>
            <w:r w:rsidR="00796527">
              <w:rPr>
                <w:noProof/>
                <w:webHidden/>
              </w:rPr>
              <w:t>6</w:t>
            </w:r>
            <w:r w:rsidR="00724275">
              <w:rPr>
                <w:noProof/>
                <w:webHidden/>
              </w:rPr>
              <w:fldChar w:fldCharType="end"/>
            </w:r>
          </w:hyperlink>
        </w:p>
        <w:p w14:paraId="541D2AE9" w14:textId="2EB42AD5" w:rsidR="00724275" w:rsidRDefault="004C4253">
          <w:pPr>
            <w:pStyle w:val="TOC2"/>
            <w:rPr>
              <w:rFonts w:eastAsiaTheme="minorEastAsia" w:cstheme="minorBidi"/>
              <w:smallCaps w:val="0"/>
              <w:noProof/>
              <w:sz w:val="22"/>
              <w:szCs w:val="22"/>
              <w:lang w:eastAsia="en-AU"/>
            </w:rPr>
          </w:pPr>
          <w:hyperlink w:anchor="_Toc135390573"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_Toc135390573 \h </w:instrText>
            </w:r>
            <w:r w:rsidR="00724275">
              <w:rPr>
                <w:noProof/>
                <w:webHidden/>
              </w:rPr>
            </w:r>
            <w:r w:rsidR="00724275">
              <w:rPr>
                <w:noProof/>
                <w:webHidden/>
              </w:rPr>
              <w:fldChar w:fldCharType="separate"/>
            </w:r>
            <w:r w:rsidR="00796527">
              <w:rPr>
                <w:noProof/>
                <w:webHidden/>
              </w:rPr>
              <w:t>6</w:t>
            </w:r>
            <w:r w:rsidR="00724275">
              <w:rPr>
                <w:noProof/>
                <w:webHidden/>
              </w:rPr>
              <w:fldChar w:fldCharType="end"/>
            </w:r>
          </w:hyperlink>
        </w:p>
        <w:p w14:paraId="7E040176" w14:textId="23F3E22E" w:rsidR="00724275" w:rsidRDefault="004C4253">
          <w:pPr>
            <w:pStyle w:val="TOC2"/>
            <w:rPr>
              <w:rFonts w:eastAsiaTheme="minorEastAsia" w:cstheme="minorBidi"/>
              <w:smallCaps w:val="0"/>
              <w:noProof/>
              <w:sz w:val="22"/>
              <w:szCs w:val="22"/>
              <w:lang w:eastAsia="en-AU"/>
            </w:rPr>
          </w:pPr>
          <w:hyperlink w:anchor="_Toc135390574" w:history="1">
            <w:r w:rsidR="00724275" w:rsidRPr="00CD7585">
              <w:rPr>
                <w:rStyle w:val="Hyperlink"/>
                <w:noProof/>
              </w:rPr>
              <w:t>Who We Are</w:t>
            </w:r>
            <w:r w:rsidR="00724275">
              <w:rPr>
                <w:noProof/>
                <w:webHidden/>
              </w:rPr>
              <w:tab/>
            </w:r>
            <w:r w:rsidR="00724275">
              <w:rPr>
                <w:noProof/>
                <w:webHidden/>
              </w:rPr>
              <w:fldChar w:fldCharType="begin"/>
            </w:r>
            <w:r w:rsidR="00724275">
              <w:rPr>
                <w:noProof/>
                <w:webHidden/>
              </w:rPr>
              <w:instrText xml:space="preserve"> PAGEREF _Toc135390574 \h </w:instrText>
            </w:r>
            <w:r w:rsidR="00724275">
              <w:rPr>
                <w:noProof/>
                <w:webHidden/>
              </w:rPr>
            </w:r>
            <w:r w:rsidR="00724275">
              <w:rPr>
                <w:noProof/>
                <w:webHidden/>
              </w:rPr>
              <w:fldChar w:fldCharType="separate"/>
            </w:r>
            <w:r w:rsidR="00796527">
              <w:rPr>
                <w:noProof/>
                <w:webHidden/>
              </w:rPr>
              <w:t>6</w:t>
            </w:r>
            <w:r w:rsidR="00724275">
              <w:rPr>
                <w:noProof/>
                <w:webHidden/>
              </w:rPr>
              <w:fldChar w:fldCharType="end"/>
            </w:r>
          </w:hyperlink>
        </w:p>
        <w:p w14:paraId="7AB8FD61" w14:textId="45964DDE" w:rsidR="00724275" w:rsidRDefault="004C4253">
          <w:pPr>
            <w:pStyle w:val="TOC2"/>
            <w:rPr>
              <w:rFonts w:eastAsiaTheme="minorEastAsia" w:cstheme="minorBidi"/>
              <w:smallCaps w:val="0"/>
              <w:noProof/>
              <w:sz w:val="22"/>
              <w:szCs w:val="22"/>
              <w:lang w:eastAsia="en-AU"/>
            </w:rPr>
          </w:pPr>
          <w:hyperlink w:anchor="_Toc135390575" w:history="1">
            <w:r w:rsidR="00724275" w:rsidRPr="00CD7585">
              <w:rPr>
                <w:rStyle w:val="Hyperlink"/>
                <w:noProof/>
              </w:rPr>
              <w:t>Office Location and Contact Details</w:t>
            </w:r>
            <w:r w:rsidR="00724275">
              <w:rPr>
                <w:noProof/>
                <w:webHidden/>
              </w:rPr>
              <w:tab/>
            </w:r>
            <w:r w:rsidR="00724275">
              <w:rPr>
                <w:noProof/>
                <w:webHidden/>
              </w:rPr>
              <w:fldChar w:fldCharType="begin"/>
            </w:r>
            <w:r w:rsidR="00724275">
              <w:rPr>
                <w:noProof/>
                <w:webHidden/>
              </w:rPr>
              <w:instrText xml:space="preserve"> PAGEREF _Toc135390575 \h </w:instrText>
            </w:r>
            <w:r w:rsidR="00724275">
              <w:rPr>
                <w:noProof/>
                <w:webHidden/>
              </w:rPr>
            </w:r>
            <w:r w:rsidR="00724275">
              <w:rPr>
                <w:noProof/>
                <w:webHidden/>
              </w:rPr>
              <w:fldChar w:fldCharType="separate"/>
            </w:r>
            <w:r w:rsidR="00796527">
              <w:rPr>
                <w:noProof/>
                <w:webHidden/>
              </w:rPr>
              <w:t>6</w:t>
            </w:r>
            <w:r w:rsidR="00724275">
              <w:rPr>
                <w:noProof/>
                <w:webHidden/>
              </w:rPr>
              <w:fldChar w:fldCharType="end"/>
            </w:r>
          </w:hyperlink>
        </w:p>
        <w:p w14:paraId="25DD79A3" w14:textId="62D369B0" w:rsidR="00724275" w:rsidRDefault="004C4253">
          <w:pPr>
            <w:pStyle w:val="TOC1"/>
            <w:rPr>
              <w:rFonts w:eastAsiaTheme="minorEastAsia" w:cstheme="minorBidi"/>
              <w:b w:val="0"/>
              <w:bCs w:val="0"/>
              <w:caps w:val="0"/>
              <w:noProof/>
              <w:sz w:val="22"/>
              <w:szCs w:val="22"/>
              <w:lang w:eastAsia="en-AU"/>
            </w:rPr>
          </w:pPr>
          <w:hyperlink w:anchor="_Toc135390576" w:history="1">
            <w:r w:rsidR="00724275" w:rsidRPr="00CD7585">
              <w:rPr>
                <w:rStyle w:val="Hyperlink"/>
                <w:noProof/>
              </w:rPr>
              <w:t>Complaint DATA</w:t>
            </w:r>
            <w:r w:rsidR="00724275">
              <w:rPr>
                <w:noProof/>
                <w:webHidden/>
              </w:rPr>
              <w:tab/>
            </w:r>
            <w:r w:rsidR="00724275">
              <w:rPr>
                <w:noProof/>
                <w:webHidden/>
              </w:rPr>
              <w:fldChar w:fldCharType="begin"/>
            </w:r>
            <w:r w:rsidR="00724275">
              <w:rPr>
                <w:noProof/>
                <w:webHidden/>
              </w:rPr>
              <w:instrText xml:space="preserve"> PAGEREF _Toc135390576 \h </w:instrText>
            </w:r>
            <w:r w:rsidR="00724275">
              <w:rPr>
                <w:noProof/>
                <w:webHidden/>
              </w:rPr>
            </w:r>
            <w:r w:rsidR="00724275">
              <w:rPr>
                <w:noProof/>
                <w:webHidden/>
              </w:rPr>
              <w:fldChar w:fldCharType="separate"/>
            </w:r>
            <w:r w:rsidR="00796527">
              <w:rPr>
                <w:noProof/>
                <w:webHidden/>
              </w:rPr>
              <w:t>7</w:t>
            </w:r>
            <w:r w:rsidR="00724275">
              <w:rPr>
                <w:noProof/>
                <w:webHidden/>
              </w:rPr>
              <w:fldChar w:fldCharType="end"/>
            </w:r>
          </w:hyperlink>
        </w:p>
        <w:p w14:paraId="3C901E62" w14:textId="52A9F8B1" w:rsidR="00724275" w:rsidRDefault="004C4253">
          <w:pPr>
            <w:pStyle w:val="TOC2"/>
            <w:rPr>
              <w:rFonts w:eastAsiaTheme="minorEastAsia" w:cstheme="minorBidi"/>
              <w:smallCaps w:val="0"/>
              <w:noProof/>
              <w:sz w:val="22"/>
              <w:szCs w:val="22"/>
              <w:lang w:eastAsia="en-AU"/>
            </w:rPr>
          </w:pPr>
          <w:hyperlink w:anchor="_Toc135390577" w:history="1">
            <w:r w:rsidR="00724275" w:rsidRPr="00CD7585">
              <w:rPr>
                <w:rStyle w:val="Hyperlink"/>
                <w:noProof/>
              </w:rPr>
              <w:t>Complaint Management Process</w:t>
            </w:r>
            <w:r w:rsidR="00724275">
              <w:rPr>
                <w:noProof/>
                <w:webHidden/>
              </w:rPr>
              <w:tab/>
            </w:r>
            <w:r w:rsidR="00724275">
              <w:rPr>
                <w:noProof/>
                <w:webHidden/>
              </w:rPr>
              <w:fldChar w:fldCharType="begin"/>
            </w:r>
            <w:r w:rsidR="00724275">
              <w:rPr>
                <w:noProof/>
                <w:webHidden/>
              </w:rPr>
              <w:instrText xml:space="preserve"> PAGEREF _Toc135390577 \h </w:instrText>
            </w:r>
            <w:r w:rsidR="00724275">
              <w:rPr>
                <w:noProof/>
                <w:webHidden/>
              </w:rPr>
            </w:r>
            <w:r w:rsidR="00724275">
              <w:rPr>
                <w:noProof/>
                <w:webHidden/>
              </w:rPr>
              <w:fldChar w:fldCharType="separate"/>
            </w:r>
            <w:r w:rsidR="00796527">
              <w:rPr>
                <w:noProof/>
                <w:webHidden/>
              </w:rPr>
              <w:t>7</w:t>
            </w:r>
            <w:r w:rsidR="00724275">
              <w:rPr>
                <w:noProof/>
                <w:webHidden/>
              </w:rPr>
              <w:fldChar w:fldCharType="end"/>
            </w:r>
          </w:hyperlink>
        </w:p>
        <w:p w14:paraId="7FEA69F8" w14:textId="3C84EABE" w:rsidR="00724275" w:rsidRDefault="004C4253">
          <w:pPr>
            <w:pStyle w:val="TOC2"/>
            <w:rPr>
              <w:rFonts w:eastAsiaTheme="minorEastAsia" w:cstheme="minorBidi"/>
              <w:smallCaps w:val="0"/>
              <w:noProof/>
              <w:sz w:val="22"/>
              <w:szCs w:val="22"/>
              <w:lang w:eastAsia="en-AU"/>
            </w:rPr>
          </w:pPr>
          <w:hyperlink w:anchor="_Toc135390578" w:history="1">
            <w:r w:rsidR="00724275" w:rsidRPr="00CD7585">
              <w:rPr>
                <w:rStyle w:val="Hyperlink"/>
                <w:noProof/>
              </w:rPr>
              <w:t>Complaint Handling Policy</w:t>
            </w:r>
            <w:r w:rsidR="00724275">
              <w:rPr>
                <w:noProof/>
                <w:webHidden/>
              </w:rPr>
              <w:tab/>
            </w:r>
            <w:r w:rsidR="00724275">
              <w:rPr>
                <w:noProof/>
                <w:webHidden/>
              </w:rPr>
              <w:fldChar w:fldCharType="begin"/>
            </w:r>
            <w:r w:rsidR="00724275">
              <w:rPr>
                <w:noProof/>
                <w:webHidden/>
              </w:rPr>
              <w:instrText xml:space="preserve"> PAGEREF _Toc135390578 \h </w:instrText>
            </w:r>
            <w:r w:rsidR="00724275">
              <w:rPr>
                <w:noProof/>
                <w:webHidden/>
              </w:rPr>
            </w:r>
            <w:r w:rsidR="00724275">
              <w:rPr>
                <w:noProof/>
                <w:webHidden/>
              </w:rPr>
              <w:fldChar w:fldCharType="separate"/>
            </w:r>
            <w:r w:rsidR="00796527">
              <w:rPr>
                <w:noProof/>
                <w:webHidden/>
              </w:rPr>
              <w:t>7</w:t>
            </w:r>
            <w:r w:rsidR="00724275">
              <w:rPr>
                <w:noProof/>
                <w:webHidden/>
              </w:rPr>
              <w:fldChar w:fldCharType="end"/>
            </w:r>
          </w:hyperlink>
        </w:p>
        <w:p w14:paraId="5EF03D29" w14:textId="54836A97" w:rsidR="00724275" w:rsidRDefault="004C4253">
          <w:pPr>
            <w:pStyle w:val="TOC2"/>
            <w:rPr>
              <w:rFonts w:eastAsiaTheme="minorEastAsia" w:cstheme="minorBidi"/>
              <w:smallCaps w:val="0"/>
              <w:noProof/>
              <w:sz w:val="22"/>
              <w:szCs w:val="22"/>
              <w:lang w:eastAsia="en-AU"/>
            </w:rPr>
          </w:pPr>
          <w:hyperlink w:anchor="_Toc135390579" w:history="1">
            <w:r w:rsidR="00724275" w:rsidRPr="00CD7585">
              <w:rPr>
                <w:rStyle w:val="Hyperlink"/>
                <w:noProof/>
              </w:rPr>
              <w:t>Case Activity in 2022</w:t>
            </w:r>
            <w:r w:rsidR="00724275">
              <w:rPr>
                <w:noProof/>
                <w:webHidden/>
              </w:rPr>
              <w:tab/>
            </w:r>
            <w:r w:rsidR="00724275">
              <w:rPr>
                <w:noProof/>
                <w:webHidden/>
              </w:rPr>
              <w:fldChar w:fldCharType="begin"/>
            </w:r>
            <w:r w:rsidR="00724275">
              <w:rPr>
                <w:noProof/>
                <w:webHidden/>
              </w:rPr>
              <w:instrText xml:space="preserve"> PAGEREF _Toc135390579 \h </w:instrText>
            </w:r>
            <w:r w:rsidR="00724275">
              <w:rPr>
                <w:noProof/>
                <w:webHidden/>
              </w:rPr>
            </w:r>
            <w:r w:rsidR="00724275">
              <w:rPr>
                <w:noProof/>
                <w:webHidden/>
              </w:rPr>
              <w:fldChar w:fldCharType="separate"/>
            </w:r>
            <w:r w:rsidR="00796527">
              <w:rPr>
                <w:noProof/>
                <w:webHidden/>
              </w:rPr>
              <w:t>7</w:t>
            </w:r>
            <w:r w:rsidR="00724275">
              <w:rPr>
                <w:noProof/>
                <w:webHidden/>
              </w:rPr>
              <w:fldChar w:fldCharType="end"/>
            </w:r>
          </w:hyperlink>
        </w:p>
        <w:p w14:paraId="416747A7" w14:textId="305DB86F" w:rsidR="00724275" w:rsidRDefault="004C4253">
          <w:pPr>
            <w:pStyle w:val="TOC3"/>
            <w:rPr>
              <w:rFonts w:eastAsiaTheme="minorEastAsia" w:cstheme="minorBidi"/>
              <w:i w:val="0"/>
              <w:iCs w:val="0"/>
              <w:noProof/>
              <w:sz w:val="22"/>
              <w:szCs w:val="22"/>
              <w:lang w:eastAsia="en-AU"/>
            </w:rPr>
          </w:pPr>
          <w:hyperlink w:anchor="_Toc135390580" w:history="1">
            <w:r w:rsidR="00724275" w:rsidRPr="00CD7585">
              <w:rPr>
                <w:rStyle w:val="Hyperlink"/>
                <w:noProof/>
              </w:rPr>
              <w:t>Operating wind farms in 2022</w:t>
            </w:r>
            <w:r w:rsidR="00724275">
              <w:rPr>
                <w:noProof/>
                <w:webHidden/>
              </w:rPr>
              <w:tab/>
            </w:r>
            <w:r w:rsidR="00724275">
              <w:rPr>
                <w:noProof/>
                <w:webHidden/>
              </w:rPr>
              <w:fldChar w:fldCharType="begin"/>
            </w:r>
            <w:r w:rsidR="00724275">
              <w:rPr>
                <w:noProof/>
                <w:webHidden/>
              </w:rPr>
              <w:instrText xml:space="preserve"> PAGEREF _Toc135390580 \h </w:instrText>
            </w:r>
            <w:r w:rsidR="00724275">
              <w:rPr>
                <w:noProof/>
                <w:webHidden/>
              </w:rPr>
            </w:r>
            <w:r w:rsidR="00724275">
              <w:rPr>
                <w:noProof/>
                <w:webHidden/>
              </w:rPr>
              <w:fldChar w:fldCharType="separate"/>
            </w:r>
            <w:r w:rsidR="00796527">
              <w:rPr>
                <w:noProof/>
                <w:webHidden/>
              </w:rPr>
              <w:t>8</w:t>
            </w:r>
            <w:r w:rsidR="00724275">
              <w:rPr>
                <w:noProof/>
                <w:webHidden/>
              </w:rPr>
              <w:fldChar w:fldCharType="end"/>
            </w:r>
          </w:hyperlink>
        </w:p>
        <w:p w14:paraId="3234B1E1" w14:textId="45E114FA" w:rsidR="00724275" w:rsidRDefault="004C4253">
          <w:pPr>
            <w:pStyle w:val="TOC3"/>
            <w:rPr>
              <w:rFonts w:eastAsiaTheme="minorEastAsia" w:cstheme="minorBidi"/>
              <w:i w:val="0"/>
              <w:iCs w:val="0"/>
              <w:noProof/>
              <w:sz w:val="22"/>
              <w:szCs w:val="22"/>
              <w:lang w:eastAsia="en-AU"/>
            </w:rPr>
          </w:pPr>
          <w:hyperlink w:anchor="_Toc135390581" w:history="1">
            <w:r w:rsidR="00724275" w:rsidRPr="00CD7585">
              <w:rPr>
                <w:rStyle w:val="Hyperlink"/>
                <w:noProof/>
              </w:rPr>
              <w:t>Proposed wind farms in 2022</w:t>
            </w:r>
            <w:r w:rsidR="00724275">
              <w:rPr>
                <w:noProof/>
                <w:webHidden/>
              </w:rPr>
              <w:tab/>
            </w:r>
            <w:r w:rsidR="00724275">
              <w:rPr>
                <w:noProof/>
                <w:webHidden/>
              </w:rPr>
              <w:fldChar w:fldCharType="begin"/>
            </w:r>
            <w:r w:rsidR="00724275">
              <w:rPr>
                <w:noProof/>
                <w:webHidden/>
              </w:rPr>
              <w:instrText xml:space="preserve"> PAGEREF _Toc135390581 \h </w:instrText>
            </w:r>
            <w:r w:rsidR="00724275">
              <w:rPr>
                <w:noProof/>
                <w:webHidden/>
              </w:rPr>
            </w:r>
            <w:r w:rsidR="00724275">
              <w:rPr>
                <w:noProof/>
                <w:webHidden/>
              </w:rPr>
              <w:fldChar w:fldCharType="separate"/>
            </w:r>
            <w:r w:rsidR="00796527">
              <w:rPr>
                <w:noProof/>
                <w:webHidden/>
              </w:rPr>
              <w:t>8</w:t>
            </w:r>
            <w:r w:rsidR="00724275">
              <w:rPr>
                <w:noProof/>
                <w:webHidden/>
              </w:rPr>
              <w:fldChar w:fldCharType="end"/>
            </w:r>
          </w:hyperlink>
        </w:p>
        <w:p w14:paraId="2A98C0E8" w14:textId="67B620FD" w:rsidR="00724275" w:rsidRDefault="004C4253">
          <w:pPr>
            <w:pStyle w:val="TOC3"/>
            <w:rPr>
              <w:rFonts w:eastAsiaTheme="minorEastAsia" w:cstheme="minorBidi"/>
              <w:i w:val="0"/>
              <w:iCs w:val="0"/>
              <w:noProof/>
              <w:sz w:val="22"/>
              <w:szCs w:val="22"/>
              <w:lang w:eastAsia="en-AU"/>
            </w:rPr>
          </w:pPr>
          <w:hyperlink w:anchor="_Toc135390582" w:history="1">
            <w:r w:rsidR="00724275" w:rsidRPr="00CD7585">
              <w:rPr>
                <w:rStyle w:val="Hyperlink"/>
                <w:noProof/>
              </w:rPr>
              <w:t>Solar farms and energy storage in 2022</w:t>
            </w:r>
            <w:r w:rsidR="00724275">
              <w:rPr>
                <w:noProof/>
                <w:webHidden/>
              </w:rPr>
              <w:tab/>
            </w:r>
            <w:r w:rsidR="00724275">
              <w:rPr>
                <w:noProof/>
                <w:webHidden/>
              </w:rPr>
              <w:fldChar w:fldCharType="begin"/>
            </w:r>
            <w:r w:rsidR="00724275">
              <w:rPr>
                <w:noProof/>
                <w:webHidden/>
              </w:rPr>
              <w:instrText xml:space="preserve"> PAGEREF _Toc135390582 \h </w:instrText>
            </w:r>
            <w:r w:rsidR="00724275">
              <w:rPr>
                <w:noProof/>
                <w:webHidden/>
              </w:rPr>
            </w:r>
            <w:r w:rsidR="00724275">
              <w:rPr>
                <w:noProof/>
                <w:webHidden/>
              </w:rPr>
              <w:fldChar w:fldCharType="separate"/>
            </w:r>
            <w:r w:rsidR="00796527">
              <w:rPr>
                <w:noProof/>
                <w:webHidden/>
              </w:rPr>
              <w:t>9</w:t>
            </w:r>
            <w:r w:rsidR="00724275">
              <w:rPr>
                <w:noProof/>
                <w:webHidden/>
              </w:rPr>
              <w:fldChar w:fldCharType="end"/>
            </w:r>
          </w:hyperlink>
        </w:p>
        <w:p w14:paraId="412D58A7" w14:textId="4E1F3563" w:rsidR="00724275" w:rsidRDefault="004C4253">
          <w:pPr>
            <w:pStyle w:val="TOC3"/>
            <w:rPr>
              <w:rFonts w:eastAsiaTheme="minorEastAsia" w:cstheme="minorBidi"/>
              <w:i w:val="0"/>
              <w:iCs w:val="0"/>
              <w:noProof/>
              <w:sz w:val="22"/>
              <w:szCs w:val="22"/>
              <w:lang w:eastAsia="en-AU"/>
            </w:rPr>
          </w:pPr>
          <w:hyperlink w:anchor="_Toc135390583" w:history="1">
            <w:r w:rsidR="00724275" w:rsidRPr="00CD7585">
              <w:rPr>
                <w:rStyle w:val="Hyperlink"/>
                <w:noProof/>
              </w:rPr>
              <w:t>Major transmission projects in 2022</w:t>
            </w:r>
            <w:r w:rsidR="00724275">
              <w:rPr>
                <w:noProof/>
                <w:webHidden/>
              </w:rPr>
              <w:tab/>
            </w:r>
            <w:r w:rsidR="00724275">
              <w:rPr>
                <w:noProof/>
                <w:webHidden/>
              </w:rPr>
              <w:fldChar w:fldCharType="begin"/>
            </w:r>
            <w:r w:rsidR="00724275">
              <w:rPr>
                <w:noProof/>
                <w:webHidden/>
              </w:rPr>
              <w:instrText xml:space="preserve"> PAGEREF _Toc135390583 \h </w:instrText>
            </w:r>
            <w:r w:rsidR="00724275">
              <w:rPr>
                <w:noProof/>
                <w:webHidden/>
              </w:rPr>
            </w:r>
            <w:r w:rsidR="00724275">
              <w:rPr>
                <w:noProof/>
                <w:webHidden/>
              </w:rPr>
              <w:fldChar w:fldCharType="separate"/>
            </w:r>
            <w:r w:rsidR="00796527">
              <w:rPr>
                <w:noProof/>
                <w:webHidden/>
              </w:rPr>
              <w:t>9</w:t>
            </w:r>
            <w:r w:rsidR="00724275">
              <w:rPr>
                <w:noProof/>
                <w:webHidden/>
              </w:rPr>
              <w:fldChar w:fldCharType="end"/>
            </w:r>
          </w:hyperlink>
        </w:p>
        <w:p w14:paraId="03AEC661" w14:textId="7F5F57C4" w:rsidR="00724275" w:rsidRDefault="004C4253">
          <w:pPr>
            <w:pStyle w:val="TOC2"/>
            <w:rPr>
              <w:rFonts w:eastAsiaTheme="minorEastAsia" w:cstheme="minorBidi"/>
              <w:smallCaps w:val="0"/>
              <w:noProof/>
              <w:sz w:val="22"/>
              <w:szCs w:val="22"/>
              <w:lang w:eastAsia="en-AU"/>
            </w:rPr>
          </w:pPr>
          <w:hyperlink w:anchor="_Toc135390584" w:history="1">
            <w:r w:rsidR="00724275" w:rsidRPr="00CD7585">
              <w:rPr>
                <w:rStyle w:val="Hyperlink"/>
                <w:noProof/>
              </w:rPr>
              <w:t>Case activity since inception</w:t>
            </w:r>
            <w:r w:rsidR="00724275">
              <w:rPr>
                <w:noProof/>
                <w:webHidden/>
              </w:rPr>
              <w:tab/>
            </w:r>
            <w:r w:rsidR="00724275">
              <w:rPr>
                <w:noProof/>
                <w:webHidden/>
              </w:rPr>
              <w:fldChar w:fldCharType="begin"/>
            </w:r>
            <w:r w:rsidR="00724275">
              <w:rPr>
                <w:noProof/>
                <w:webHidden/>
              </w:rPr>
              <w:instrText xml:space="preserve"> PAGEREF _Toc135390584 \h </w:instrText>
            </w:r>
            <w:r w:rsidR="00724275">
              <w:rPr>
                <w:noProof/>
                <w:webHidden/>
              </w:rPr>
            </w:r>
            <w:r w:rsidR="00724275">
              <w:rPr>
                <w:noProof/>
                <w:webHidden/>
              </w:rPr>
              <w:fldChar w:fldCharType="separate"/>
            </w:r>
            <w:r w:rsidR="00796527">
              <w:rPr>
                <w:noProof/>
                <w:webHidden/>
              </w:rPr>
              <w:t>10</w:t>
            </w:r>
            <w:r w:rsidR="00724275">
              <w:rPr>
                <w:noProof/>
                <w:webHidden/>
              </w:rPr>
              <w:fldChar w:fldCharType="end"/>
            </w:r>
          </w:hyperlink>
        </w:p>
        <w:p w14:paraId="62FD2432" w14:textId="128E8F80" w:rsidR="00724275" w:rsidRDefault="004C4253">
          <w:pPr>
            <w:pStyle w:val="TOC3"/>
            <w:rPr>
              <w:rFonts w:eastAsiaTheme="minorEastAsia" w:cstheme="minorBidi"/>
              <w:i w:val="0"/>
              <w:iCs w:val="0"/>
              <w:noProof/>
              <w:sz w:val="22"/>
              <w:szCs w:val="22"/>
              <w:lang w:eastAsia="en-AU"/>
            </w:rPr>
          </w:pPr>
          <w:hyperlink w:anchor="_Toc135390585" w:history="1">
            <w:r w:rsidR="00724275" w:rsidRPr="00CD7585">
              <w:rPr>
                <w:rStyle w:val="Hyperlink"/>
                <w:noProof/>
              </w:rPr>
              <w:t>Wind farms – overview 2015-2022</w:t>
            </w:r>
            <w:r w:rsidR="00724275">
              <w:rPr>
                <w:noProof/>
                <w:webHidden/>
              </w:rPr>
              <w:tab/>
            </w:r>
            <w:r w:rsidR="00724275">
              <w:rPr>
                <w:noProof/>
                <w:webHidden/>
              </w:rPr>
              <w:fldChar w:fldCharType="begin"/>
            </w:r>
            <w:r w:rsidR="00724275">
              <w:rPr>
                <w:noProof/>
                <w:webHidden/>
              </w:rPr>
              <w:instrText xml:space="preserve"> PAGEREF _Toc135390585 \h </w:instrText>
            </w:r>
            <w:r w:rsidR="00724275">
              <w:rPr>
                <w:noProof/>
                <w:webHidden/>
              </w:rPr>
            </w:r>
            <w:r w:rsidR="00724275">
              <w:rPr>
                <w:noProof/>
                <w:webHidden/>
              </w:rPr>
              <w:fldChar w:fldCharType="separate"/>
            </w:r>
            <w:r w:rsidR="00796527">
              <w:rPr>
                <w:noProof/>
                <w:webHidden/>
              </w:rPr>
              <w:t>12</w:t>
            </w:r>
            <w:r w:rsidR="00724275">
              <w:rPr>
                <w:noProof/>
                <w:webHidden/>
              </w:rPr>
              <w:fldChar w:fldCharType="end"/>
            </w:r>
          </w:hyperlink>
        </w:p>
        <w:p w14:paraId="24626B68" w14:textId="320D7F3F" w:rsidR="00724275" w:rsidRDefault="004C4253">
          <w:pPr>
            <w:pStyle w:val="TOC3"/>
            <w:rPr>
              <w:rFonts w:eastAsiaTheme="minorEastAsia" w:cstheme="minorBidi"/>
              <w:i w:val="0"/>
              <w:iCs w:val="0"/>
              <w:noProof/>
              <w:sz w:val="22"/>
              <w:szCs w:val="22"/>
              <w:lang w:eastAsia="en-AU"/>
            </w:rPr>
          </w:pPr>
          <w:hyperlink w:anchor="_Toc135390586" w:history="1">
            <w:r w:rsidR="00724275" w:rsidRPr="00CD7585">
              <w:rPr>
                <w:rStyle w:val="Hyperlink"/>
                <w:noProof/>
              </w:rPr>
              <w:t>Solar farms and energy storage – overview 2018-2022</w:t>
            </w:r>
            <w:r w:rsidR="00724275">
              <w:rPr>
                <w:noProof/>
                <w:webHidden/>
              </w:rPr>
              <w:tab/>
            </w:r>
            <w:r w:rsidR="00724275">
              <w:rPr>
                <w:noProof/>
                <w:webHidden/>
              </w:rPr>
              <w:fldChar w:fldCharType="begin"/>
            </w:r>
            <w:r w:rsidR="00724275">
              <w:rPr>
                <w:noProof/>
                <w:webHidden/>
              </w:rPr>
              <w:instrText xml:space="preserve"> PAGEREF _Toc135390586 \h </w:instrText>
            </w:r>
            <w:r w:rsidR="00724275">
              <w:rPr>
                <w:noProof/>
                <w:webHidden/>
              </w:rPr>
            </w:r>
            <w:r w:rsidR="00724275">
              <w:rPr>
                <w:noProof/>
                <w:webHidden/>
              </w:rPr>
              <w:fldChar w:fldCharType="separate"/>
            </w:r>
            <w:r w:rsidR="00796527">
              <w:rPr>
                <w:noProof/>
                <w:webHidden/>
              </w:rPr>
              <w:t>13</w:t>
            </w:r>
            <w:r w:rsidR="00724275">
              <w:rPr>
                <w:noProof/>
                <w:webHidden/>
              </w:rPr>
              <w:fldChar w:fldCharType="end"/>
            </w:r>
          </w:hyperlink>
        </w:p>
        <w:p w14:paraId="6EBF3511" w14:textId="43185E16" w:rsidR="00724275" w:rsidRDefault="004C4253">
          <w:pPr>
            <w:pStyle w:val="TOC3"/>
            <w:rPr>
              <w:rFonts w:eastAsiaTheme="minorEastAsia" w:cstheme="minorBidi"/>
              <w:i w:val="0"/>
              <w:iCs w:val="0"/>
              <w:noProof/>
              <w:sz w:val="22"/>
              <w:szCs w:val="22"/>
              <w:lang w:eastAsia="en-AU"/>
            </w:rPr>
          </w:pPr>
          <w:hyperlink w:anchor="_Toc135390587" w:history="1">
            <w:r w:rsidR="00724275" w:rsidRPr="00CD7585">
              <w:rPr>
                <w:rStyle w:val="Hyperlink"/>
                <w:noProof/>
              </w:rPr>
              <w:t>Major transmission projects – overview 2021-2022</w:t>
            </w:r>
            <w:r w:rsidR="00724275">
              <w:rPr>
                <w:noProof/>
                <w:webHidden/>
              </w:rPr>
              <w:tab/>
            </w:r>
            <w:r w:rsidR="00724275">
              <w:rPr>
                <w:noProof/>
                <w:webHidden/>
              </w:rPr>
              <w:fldChar w:fldCharType="begin"/>
            </w:r>
            <w:r w:rsidR="00724275">
              <w:rPr>
                <w:noProof/>
                <w:webHidden/>
              </w:rPr>
              <w:instrText xml:space="preserve"> PAGEREF _Toc135390587 \h </w:instrText>
            </w:r>
            <w:r w:rsidR="00724275">
              <w:rPr>
                <w:noProof/>
                <w:webHidden/>
              </w:rPr>
            </w:r>
            <w:r w:rsidR="00724275">
              <w:rPr>
                <w:noProof/>
                <w:webHidden/>
              </w:rPr>
              <w:fldChar w:fldCharType="separate"/>
            </w:r>
            <w:r w:rsidR="00796527">
              <w:rPr>
                <w:noProof/>
                <w:webHidden/>
              </w:rPr>
              <w:t>13</w:t>
            </w:r>
            <w:r w:rsidR="00724275">
              <w:rPr>
                <w:noProof/>
                <w:webHidden/>
              </w:rPr>
              <w:fldChar w:fldCharType="end"/>
            </w:r>
          </w:hyperlink>
        </w:p>
        <w:p w14:paraId="3863C789" w14:textId="2160CF74" w:rsidR="00724275" w:rsidRDefault="004C4253">
          <w:pPr>
            <w:pStyle w:val="TOC3"/>
            <w:rPr>
              <w:rFonts w:eastAsiaTheme="minorEastAsia" w:cstheme="minorBidi"/>
              <w:i w:val="0"/>
              <w:iCs w:val="0"/>
              <w:noProof/>
              <w:sz w:val="22"/>
              <w:szCs w:val="22"/>
              <w:lang w:eastAsia="en-AU"/>
            </w:rPr>
          </w:pPr>
          <w:hyperlink w:anchor="_Toc135390588" w:history="1">
            <w:r w:rsidR="00724275" w:rsidRPr="00CD7585">
              <w:rPr>
                <w:rStyle w:val="Hyperlink"/>
                <w:noProof/>
              </w:rPr>
              <w:t>Resolutions and closure – overview 2015-2022</w:t>
            </w:r>
            <w:r w:rsidR="00724275">
              <w:rPr>
                <w:noProof/>
                <w:webHidden/>
              </w:rPr>
              <w:tab/>
            </w:r>
            <w:r w:rsidR="00724275">
              <w:rPr>
                <w:noProof/>
                <w:webHidden/>
              </w:rPr>
              <w:fldChar w:fldCharType="begin"/>
            </w:r>
            <w:r w:rsidR="00724275">
              <w:rPr>
                <w:noProof/>
                <w:webHidden/>
              </w:rPr>
              <w:instrText xml:space="preserve"> PAGEREF _Toc135390588 \h </w:instrText>
            </w:r>
            <w:r w:rsidR="00724275">
              <w:rPr>
                <w:noProof/>
                <w:webHidden/>
              </w:rPr>
            </w:r>
            <w:r w:rsidR="00724275">
              <w:rPr>
                <w:noProof/>
                <w:webHidden/>
              </w:rPr>
              <w:fldChar w:fldCharType="separate"/>
            </w:r>
            <w:r w:rsidR="00796527">
              <w:rPr>
                <w:noProof/>
                <w:webHidden/>
              </w:rPr>
              <w:t>14</w:t>
            </w:r>
            <w:r w:rsidR="00724275">
              <w:rPr>
                <w:noProof/>
                <w:webHidden/>
              </w:rPr>
              <w:fldChar w:fldCharType="end"/>
            </w:r>
          </w:hyperlink>
        </w:p>
        <w:p w14:paraId="66EA9E12" w14:textId="0B9B2059" w:rsidR="00724275" w:rsidRDefault="004C4253">
          <w:pPr>
            <w:pStyle w:val="TOC3"/>
            <w:rPr>
              <w:rFonts w:eastAsiaTheme="minorEastAsia" w:cstheme="minorBidi"/>
              <w:i w:val="0"/>
              <w:iCs w:val="0"/>
              <w:noProof/>
              <w:sz w:val="22"/>
              <w:szCs w:val="22"/>
              <w:lang w:eastAsia="en-AU"/>
            </w:rPr>
          </w:pPr>
          <w:hyperlink w:anchor="_Toc135390589" w:history="1">
            <w:r w:rsidR="00724275" w:rsidRPr="00CD7585">
              <w:rPr>
                <w:rStyle w:val="Hyperlink"/>
                <w:noProof/>
              </w:rPr>
              <w:t>Complaint issues – overview 2015-2022</w:t>
            </w:r>
            <w:r w:rsidR="00724275">
              <w:rPr>
                <w:noProof/>
                <w:webHidden/>
              </w:rPr>
              <w:tab/>
            </w:r>
            <w:r w:rsidR="00724275">
              <w:rPr>
                <w:noProof/>
                <w:webHidden/>
              </w:rPr>
              <w:fldChar w:fldCharType="begin"/>
            </w:r>
            <w:r w:rsidR="00724275">
              <w:rPr>
                <w:noProof/>
                <w:webHidden/>
              </w:rPr>
              <w:instrText xml:space="preserve"> PAGEREF _Toc135390589 \h </w:instrText>
            </w:r>
            <w:r w:rsidR="00724275">
              <w:rPr>
                <w:noProof/>
                <w:webHidden/>
              </w:rPr>
            </w:r>
            <w:r w:rsidR="00724275">
              <w:rPr>
                <w:noProof/>
                <w:webHidden/>
              </w:rPr>
              <w:fldChar w:fldCharType="separate"/>
            </w:r>
            <w:r w:rsidR="00796527">
              <w:rPr>
                <w:noProof/>
                <w:webHidden/>
              </w:rPr>
              <w:t>15</w:t>
            </w:r>
            <w:r w:rsidR="00724275">
              <w:rPr>
                <w:noProof/>
                <w:webHidden/>
              </w:rPr>
              <w:fldChar w:fldCharType="end"/>
            </w:r>
          </w:hyperlink>
        </w:p>
        <w:p w14:paraId="51BF076F" w14:textId="56B3613B" w:rsidR="00724275" w:rsidRDefault="004C4253">
          <w:pPr>
            <w:pStyle w:val="TOC3"/>
            <w:rPr>
              <w:rFonts w:eastAsiaTheme="minorEastAsia" w:cstheme="minorBidi"/>
              <w:i w:val="0"/>
              <w:iCs w:val="0"/>
              <w:noProof/>
              <w:sz w:val="22"/>
              <w:szCs w:val="22"/>
              <w:lang w:eastAsia="en-AU"/>
            </w:rPr>
          </w:pPr>
          <w:hyperlink w:anchor="_Toc135390590" w:history="1">
            <w:r w:rsidR="00724275" w:rsidRPr="00CD7585">
              <w:rPr>
                <w:rStyle w:val="Hyperlink"/>
                <w:noProof/>
              </w:rPr>
              <w:t>Key observations on complaint data for 2022</w:t>
            </w:r>
            <w:r w:rsidR="00724275">
              <w:rPr>
                <w:noProof/>
                <w:webHidden/>
              </w:rPr>
              <w:tab/>
            </w:r>
            <w:r w:rsidR="00724275">
              <w:rPr>
                <w:noProof/>
                <w:webHidden/>
              </w:rPr>
              <w:fldChar w:fldCharType="begin"/>
            </w:r>
            <w:r w:rsidR="00724275">
              <w:rPr>
                <w:noProof/>
                <w:webHidden/>
              </w:rPr>
              <w:instrText xml:space="preserve"> PAGEREF _Toc135390590 \h </w:instrText>
            </w:r>
            <w:r w:rsidR="00724275">
              <w:rPr>
                <w:noProof/>
                <w:webHidden/>
              </w:rPr>
            </w:r>
            <w:r w:rsidR="00724275">
              <w:rPr>
                <w:noProof/>
                <w:webHidden/>
              </w:rPr>
              <w:fldChar w:fldCharType="separate"/>
            </w:r>
            <w:r w:rsidR="00796527">
              <w:rPr>
                <w:noProof/>
                <w:webHidden/>
              </w:rPr>
              <w:t>19</w:t>
            </w:r>
            <w:r w:rsidR="00724275">
              <w:rPr>
                <w:noProof/>
                <w:webHidden/>
              </w:rPr>
              <w:fldChar w:fldCharType="end"/>
            </w:r>
          </w:hyperlink>
        </w:p>
        <w:p w14:paraId="288D0092" w14:textId="09E3CE6B" w:rsidR="00724275" w:rsidRDefault="004C4253">
          <w:pPr>
            <w:pStyle w:val="TOC1"/>
            <w:rPr>
              <w:rFonts w:eastAsiaTheme="minorEastAsia" w:cstheme="minorBidi"/>
              <w:b w:val="0"/>
              <w:bCs w:val="0"/>
              <w:caps w:val="0"/>
              <w:noProof/>
              <w:sz w:val="22"/>
              <w:szCs w:val="22"/>
              <w:lang w:eastAsia="en-AU"/>
            </w:rPr>
          </w:pPr>
          <w:hyperlink w:anchor="_Toc135390591" w:history="1">
            <w:r w:rsidR="00724275" w:rsidRPr="00CD7585">
              <w:rPr>
                <w:rStyle w:val="Hyperlink"/>
                <w:noProof/>
              </w:rPr>
              <w:t>Stakeholder Engagement</w:t>
            </w:r>
            <w:r w:rsidR="00724275">
              <w:rPr>
                <w:noProof/>
                <w:webHidden/>
              </w:rPr>
              <w:tab/>
            </w:r>
            <w:r w:rsidR="00724275">
              <w:rPr>
                <w:noProof/>
                <w:webHidden/>
              </w:rPr>
              <w:fldChar w:fldCharType="begin"/>
            </w:r>
            <w:r w:rsidR="00724275">
              <w:rPr>
                <w:noProof/>
                <w:webHidden/>
              </w:rPr>
              <w:instrText xml:space="preserve"> PAGEREF _Toc135390591 \h </w:instrText>
            </w:r>
            <w:r w:rsidR="00724275">
              <w:rPr>
                <w:noProof/>
                <w:webHidden/>
              </w:rPr>
            </w:r>
            <w:r w:rsidR="00724275">
              <w:rPr>
                <w:noProof/>
                <w:webHidden/>
              </w:rPr>
              <w:fldChar w:fldCharType="separate"/>
            </w:r>
            <w:r w:rsidR="00796527">
              <w:rPr>
                <w:noProof/>
                <w:webHidden/>
              </w:rPr>
              <w:t>20</w:t>
            </w:r>
            <w:r w:rsidR="00724275">
              <w:rPr>
                <w:noProof/>
                <w:webHidden/>
              </w:rPr>
              <w:fldChar w:fldCharType="end"/>
            </w:r>
          </w:hyperlink>
        </w:p>
        <w:p w14:paraId="445BB34F" w14:textId="5BCD045E" w:rsidR="00724275" w:rsidRDefault="004C4253">
          <w:pPr>
            <w:pStyle w:val="TOC2"/>
            <w:rPr>
              <w:rFonts w:eastAsiaTheme="minorEastAsia" w:cstheme="minorBidi"/>
              <w:smallCaps w:val="0"/>
              <w:noProof/>
              <w:sz w:val="22"/>
              <w:szCs w:val="22"/>
              <w:lang w:eastAsia="en-AU"/>
            </w:rPr>
          </w:pPr>
          <w:hyperlink w:anchor="_Toc135390592" w:history="1">
            <w:r w:rsidR="00724275" w:rsidRPr="00CD7585">
              <w:rPr>
                <w:rStyle w:val="Hyperlink"/>
                <w:i/>
                <w:iCs/>
                <w:noProof/>
              </w:rPr>
              <w:t>Project and community site visits</w:t>
            </w:r>
            <w:r w:rsidR="00724275">
              <w:rPr>
                <w:noProof/>
                <w:webHidden/>
              </w:rPr>
              <w:tab/>
            </w:r>
            <w:r w:rsidR="00724275">
              <w:rPr>
                <w:noProof/>
                <w:webHidden/>
              </w:rPr>
              <w:fldChar w:fldCharType="begin"/>
            </w:r>
            <w:r w:rsidR="00724275">
              <w:rPr>
                <w:noProof/>
                <w:webHidden/>
              </w:rPr>
              <w:instrText xml:space="preserve"> PAGEREF _Toc135390592 \h </w:instrText>
            </w:r>
            <w:r w:rsidR="00724275">
              <w:rPr>
                <w:noProof/>
                <w:webHidden/>
              </w:rPr>
            </w:r>
            <w:r w:rsidR="00724275">
              <w:rPr>
                <w:noProof/>
                <w:webHidden/>
              </w:rPr>
              <w:fldChar w:fldCharType="separate"/>
            </w:r>
            <w:r w:rsidR="00796527">
              <w:rPr>
                <w:noProof/>
                <w:webHidden/>
              </w:rPr>
              <w:t>20</w:t>
            </w:r>
            <w:r w:rsidR="00724275">
              <w:rPr>
                <w:noProof/>
                <w:webHidden/>
              </w:rPr>
              <w:fldChar w:fldCharType="end"/>
            </w:r>
          </w:hyperlink>
        </w:p>
        <w:p w14:paraId="0CFAC87A" w14:textId="60C6228B" w:rsidR="00724275" w:rsidRDefault="004C4253">
          <w:pPr>
            <w:pStyle w:val="TOC2"/>
            <w:rPr>
              <w:rFonts w:eastAsiaTheme="minorEastAsia" w:cstheme="minorBidi"/>
              <w:smallCaps w:val="0"/>
              <w:noProof/>
              <w:sz w:val="22"/>
              <w:szCs w:val="22"/>
              <w:lang w:eastAsia="en-AU"/>
            </w:rPr>
          </w:pPr>
          <w:hyperlink w:anchor="_Toc135390593" w:history="1">
            <w:r w:rsidR="00724275" w:rsidRPr="00CD7585">
              <w:rPr>
                <w:rStyle w:val="Hyperlink"/>
                <w:i/>
                <w:iCs/>
                <w:noProof/>
              </w:rPr>
              <w:t>Industry</w:t>
            </w:r>
            <w:r w:rsidR="00724275">
              <w:rPr>
                <w:noProof/>
                <w:webHidden/>
              </w:rPr>
              <w:tab/>
            </w:r>
            <w:r w:rsidR="00724275">
              <w:rPr>
                <w:noProof/>
                <w:webHidden/>
              </w:rPr>
              <w:fldChar w:fldCharType="begin"/>
            </w:r>
            <w:r w:rsidR="00724275">
              <w:rPr>
                <w:noProof/>
                <w:webHidden/>
              </w:rPr>
              <w:instrText xml:space="preserve"> PAGEREF _Toc135390593 \h </w:instrText>
            </w:r>
            <w:r w:rsidR="00724275">
              <w:rPr>
                <w:noProof/>
                <w:webHidden/>
              </w:rPr>
            </w:r>
            <w:r w:rsidR="00724275">
              <w:rPr>
                <w:noProof/>
                <w:webHidden/>
              </w:rPr>
              <w:fldChar w:fldCharType="separate"/>
            </w:r>
            <w:r w:rsidR="00796527">
              <w:rPr>
                <w:noProof/>
                <w:webHidden/>
              </w:rPr>
              <w:t>20</w:t>
            </w:r>
            <w:r w:rsidR="00724275">
              <w:rPr>
                <w:noProof/>
                <w:webHidden/>
              </w:rPr>
              <w:fldChar w:fldCharType="end"/>
            </w:r>
          </w:hyperlink>
        </w:p>
        <w:p w14:paraId="0BE99D95" w14:textId="1AABB0B0" w:rsidR="00724275" w:rsidRDefault="004C4253">
          <w:pPr>
            <w:pStyle w:val="TOC2"/>
            <w:rPr>
              <w:rFonts w:eastAsiaTheme="minorEastAsia" w:cstheme="minorBidi"/>
              <w:smallCaps w:val="0"/>
              <w:noProof/>
              <w:sz w:val="22"/>
              <w:szCs w:val="22"/>
              <w:lang w:eastAsia="en-AU"/>
            </w:rPr>
          </w:pPr>
          <w:hyperlink w:anchor="_Toc135390594" w:history="1">
            <w:r w:rsidR="00724275" w:rsidRPr="00CD7585">
              <w:rPr>
                <w:rStyle w:val="Hyperlink"/>
                <w:i/>
                <w:iCs/>
                <w:noProof/>
              </w:rPr>
              <w:t>Government</w:t>
            </w:r>
            <w:r w:rsidR="00724275">
              <w:rPr>
                <w:noProof/>
                <w:webHidden/>
              </w:rPr>
              <w:tab/>
            </w:r>
            <w:r w:rsidR="00724275">
              <w:rPr>
                <w:noProof/>
                <w:webHidden/>
              </w:rPr>
              <w:fldChar w:fldCharType="begin"/>
            </w:r>
            <w:r w:rsidR="00724275">
              <w:rPr>
                <w:noProof/>
                <w:webHidden/>
              </w:rPr>
              <w:instrText xml:space="preserve"> PAGEREF _Toc135390594 \h </w:instrText>
            </w:r>
            <w:r w:rsidR="00724275">
              <w:rPr>
                <w:noProof/>
                <w:webHidden/>
              </w:rPr>
            </w:r>
            <w:r w:rsidR="00724275">
              <w:rPr>
                <w:noProof/>
                <w:webHidden/>
              </w:rPr>
              <w:fldChar w:fldCharType="separate"/>
            </w:r>
            <w:r w:rsidR="00796527">
              <w:rPr>
                <w:noProof/>
                <w:webHidden/>
              </w:rPr>
              <w:t>22</w:t>
            </w:r>
            <w:r w:rsidR="00724275">
              <w:rPr>
                <w:noProof/>
                <w:webHidden/>
              </w:rPr>
              <w:fldChar w:fldCharType="end"/>
            </w:r>
          </w:hyperlink>
        </w:p>
        <w:p w14:paraId="1C4F0585" w14:textId="484DBAA0" w:rsidR="00724275" w:rsidRDefault="004C4253">
          <w:pPr>
            <w:pStyle w:val="TOC2"/>
            <w:rPr>
              <w:rFonts w:eastAsiaTheme="minorEastAsia" w:cstheme="minorBidi"/>
              <w:smallCaps w:val="0"/>
              <w:noProof/>
              <w:sz w:val="22"/>
              <w:szCs w:val="22"/>
              <w:lang w:eastAsia="en-AU"/>
            </w:rPr>
          </w:pPr>
          <w:hyperlink w:anchor="_Toc135390595" w:history="1">
            <w:r w:rsidR="00724275" w:rsidRPr="00CD7585">
              <w:rPr>
                <w:rStyle w:val="Hyperlink"/>
                <w:i/>
                <w:iCs/>
                <w:noProof/>
              </w:rPr>
              <w:t>Submissions and consultations</w:t>
            </w:r>
            <w:r w:rsidR="00724275">
              <w:rPr>
                <w:noProof/>
                <w:webHidden/>
              </w:rPr>
              <w:tab/>
            </w:r>
            <w:r w:rsidR="00724275">
              <w:rPr>
                <w:noProof/>
                <w:webHidden/>
              </w:rPr>
              <w:fldChar w:fldCharType="begin"/>
            </w:r>
            <w:r w:rsidR="00724275">
              <w:rPr>
                <w:noProof/>
                <w:webHidden/>
              </w:rPr>
              <w:instrText xml:space="preserve"> PAGEREF _Toc135390595 \h </w:instrText>
            </w:r>
            <w:r w:rsidR="00724275">
              <w:rPr>
                <w:noProof/>
                <w:webHidden/>
              </w:rPr>
            </w:r>
            <w:r w:rsidR="00724275">
              <w:rPr>
                <w:noProof/>
                <w:webHidden/>
              </w:rPr>
              <w:fldChar w:fldCharType="separate"/>
            </w:r>
            <w:r w:rsidR="00796527">
              <w:rPr>
                <w:noProof/>
                <w:webHidden/>
              </w:rPr>
              <w:t>22</w:t>
            </w:r>
            <w:r w:rsidR="00724275">
              <w:rPr>
                <w:noProof/>
                <w:webHidden/>
              </w:rPr>
              <w:fldChar w:fldCharType="end"/>
            </w:r>
          </w:hyperlink>
        </w:p>
        <w:p w14:paraId="1E936F1F" w14:textId="5D9C36A0" w:rsidR="00724275" w:rsidRDefault="004C4253">
          <w:pPr>
            <w:pStyle w:val="TOC2"/>
            <w:rPr>
              <w:rFonts w:eastAsiaTheme="minorEastAsia" w:cstheme="minorBidi"/>
              <w:smallCaps w:val="0"/>
              <w:noProof/>
              <w:sz w:val="22"/>
              <w:szCs w:val="22"/>
              <w:lang w:eastAsia="en-AU"/>
            </w:rPr>
          </w:pPr>
          <w:hyperlink w:anchor="_Toc135390596" w:history="1">
            <w:r w:rsidR="00724275" w:rsidRPr="00CD7585">
              <w:rPr>
                <w:rStyle w:val="Hyperlink"/>
                <w:i/>
                <w:iCs/>
                <w:noProof/>
              </w:rPr>
              <w:t>Presentations</w:t>
            </w:r>
            <w:r w:rsidR="00724275">
              <w:rPr>
                <w:noProof/>
                <w:webHidden/>
              </w:rPr>
              <w:tab/>
            </w:r>
            <w:r w:rsidR="00724275">
              <w:rPr>
                <w:noProof/>
                <w:webHidden/>
              </w:rPr>
              <w:fldChar w:fldCharType="begin"/>
            </w:r>
            <w:r w:rsidR="00724275">
              <w:rPr>
                <w:noProof/>
                <w:webHidden/>
              </w:rPr>
              <w:instrText xml:space="preserve"> PAGEREF _Toc135390596 \h </w:instrText>
            </w:r>
            <w:r w:rsidR="00724275">
              <w:rPr>
                <w:noProof/>
                <w:webHidden/>
              </w:rPr>
            </w:r>
            <w:r w:rsidR="00724275">
              <w:rPr>
                <w:noProof/>
                <w:webHidden/>
              </w:rPr>
              <w:fldChar w:fldCharType="separate"/>
            </w:r>
            <w:r w:rsidR="00796527">
              <w:rPr>
                <w:noProof/>
                <w:webHidden/>
              </w:rPr>
              <w:t>23</w:t>
            </w:r>
            <w:r w:rsidR="00724275">
              <w:rPr>
                <w:noProof/>
                <w:webHidden/>
              </w:rPr>
              <w:fldChar w:fldCharType="end"/>
            </w:r>
          </w:hyperlink>
        </w:p>
        <w:p w14:paraId="191ACDC2" w14:textId="0BBC6A2A" w:rsidR="00724275" w:rsidRDefault="004C4253">
          <w:pPr>
            <w:pStyle w:val="TOC2"/>
            <w:rPr>
              <w:rFonts w:eastAsiaTheme="minorEastAsia" w:cstheme="minorBidi"/>
              <w:smallCaps w:val="0"/>
              <w:noProof/>
              <w:sz w:val="22"/>
              <w:szCs w:val="22"/>
              <w:lang w:eastAsia="en-AU"/>
            </w:rPr>
          </w:pPr>
          <w:hyperlink w:anchor="_Toc135390597" w:history="1">
            <w:r w:rsidR="00724275" w:rsidRPr="00CD7585">
              <w:rPr>
                <w:rStyle w:val="Hyperlink"/>
                <w:i/>
                <w:iCs/>
                <w:noProof/>
              </w:rPr>
              <w:t>Committees and reference groups</w:t>
            </w:r>
            <w:r w:rsidR="00724275">
              <w:rPr>
                <w:noProof/>
                <w:webHidden/>
              </w:rPr>
              <w:tab/>
            </w:r>
            <w:r w:rsidR="00724275">
              <w:rPr>
                <w:noProof/>
                <w:webHidden/>
              </w:rPr>
              <w:fldChar w:fldCharType="begin"/>
            </w:r>
            <w:r w:rsidR="00724275">
              <w:rPr>
                <w:noProof/>
                <w:webHidden/>
              </w:rPr>
              <w:instrText xml:space="preserve"> PAGEREF _Toc135390597 \h </w:instrText>
            </w:r>
            <w:r w:rsidR="00724275">
              <w:rPr>
                <w:noProof/>
                <w:webHidden/>
              </w:rPr>
            </w:r>
            <w:r w:rsidR="00724275">
              <w:rPr>
                <w:noProof/>
                <w:webHidden/>
              </w:rPr>
              <w:fldChar w:fldCharType="separate"/>
            </w:r>
            <w:r w:rsidR="00796527">
              <w:rPr>
                <w:noProof/>
                <w:webHidden/>
              </w:rPr>
              <w:t>23</w:t>
            </w:r>
            <w:r w:rsidR="00724275">
              <w:rPr>
                <w:noProof/>
                <w:webHidden/>
              </w:rPr>
              <w:fldChar w:fldCharType="end"/>
            </w:r>
          </w:hyperlink>
        </w:p>
        <w:p w14:paraId="3454489E" w14:textId="2C72A143" w:rsidR="00724275" w:rsidRDefault="004C4253">
          <w:pPr>
            <w:pStyle w:val="TOC2"/>
            <w:rPr>
              <w:rFonts w:eastAsiaTheme="minorEastAsia" w:cstheme="minorBidi"/>
              <w:smallCaps w:val="0"/>
              <w:noProof/>
              <w:sz w:val="22"/>
              <w:szCs w:val="22"/>
              <w:lang w:eastAsia="en-AU"/>
            </w:rPr>
          </w:pPr>
          <w:hyperlink w:anchor="_Toc135390598" w:history="1">
            <w:r w:rsidR="00724275" w:rsidRPr="00CD7585">
              <w:rPr>
                <w:rStyle w:val="Hyperlink"/>
                <w:i/>
                <w:iCs/>
                <w:noProof/>
              </w:rPr>
              <w:t>Universities and Experts</w:t>
            </w:r>
            <w:r w:rsidR="00724275">
              <w:rPr>
                <w:noProof/>
                <w:webHidden/>
              </w:rPr>
              <w:tab/>
            </w:r>
            <w:r w:rsidR="00724275">
              <w:rPr>
                <w:noProof/>
                <w:webHidden/>
              </w:rPr>
              <w:fldChar w:fldCharType="begin"/>
            </w:r>
            <w:r w:rsidR="00724275">
              <w:rPr>
                <w:noProof/>
                <w:webHidden/>
              </w:rPr>
              <w:instrText xml:space="preserve"> PAGEREF _Toc135390598 \h </w:instrText>
            </w:r>
            <w:r w:rsidR="00724275">
              <w:rPr>
                <w:noProof/>
                <w:webHidden/>
              </w:rPr>
            </w:r>
            <w:r w:rsidR="00724275">
              <w:rPr>
                <w:noProof/>
                <w:webHidden/>
              </w:rPr>
              <w:fldChar w:fldCharType="separate"/>
            </w:r>
            <w:r w:rsidR="00796527">
              <w:rPr>
                <w:noProof/>
                <w:webHidden/>
              </w:rPr>
              <w:t>24</w:t>
            </w:r>
            <w:r w:rsidR="00724275">
              <w:rPr>
                <w:noProof/>
                <w:webHidden/>
              </w:rPr>
              <w:fldChar w:fldCharType="end"/>
            </w:r>
          </w:hyperlink>
        </w:p>
        <w:p w14:paraId="2072B7A2" w14:textId="79292C48" w:rsidR="00724275" w:rsidRDefault="004C4253">
          <w:pPr>
            <w:pStyle w:val="TOC2"/>
            <w:rPr>
              <w:rFonts w:eastAsiaTheme="minorEastAsia" w:cstheme="minorBidi"/>
              <w:smallCaps w:val="0"/>
              <w:noProof/>
              <w:sz w:val="22"/>
              <w:szCs w:val="22"/>
              <w:lang w:eastAsia="en-AU"/>
            </w:rPr>
          </w:pPr>
          <w:hyperlink w:anchor="_Toc135390599" w:history="1">
            <w:r w:rsidR="00724275" w:rsidRPr="00CD7585">
              <w:rPr>
                <w:rStyle w:val="Hyperlink"/>
                <w:i/>
                <w:iCs/>
                <w:noProof/>
              </w:rPr>
              <w:t>Commissioner’s Website</w:t>
            </w:r>
            <w:r w:rsidR="00724275">
              <w:rPr>
                <w:noProof/>
                <w:webHidden/>
              </w:rPr>
              <w:tab/>
            </w:r>
            <w:r w:rsidR="00724275">
              <w:rPr>
                <w:noProof/>
                <w:webHidden/>
              </w:rPr>
              <w:fldChar w:fldCharType="begin"/>
            </w:r>
            <w:r w:rsidR="00724275">
              <w:rPr>
                <w:noProof/>
                <w:webHidden/>
              </w:rPr>
              <w:instrText xml:space="preserve"> PAGEREF _Toc135390599 \h </w:instrText>
            </w:r>
            <w:r w:rsidR="00724275">
              <w:rPr>
                <w:noProof/>
                <w:webHidden/>
              </w:rPr>
            </w:r>
            <w:r w:rsidR="00724275">
              <w:rPr>
                <w:noProof/>
                <w:webHidden/>
              </w:rPr>
              <w:fldChar w:fldCharType="separate"/>
            </w:r>
            <w:r w:rsidR="00796527">
              <w:rPr>
                <w:noProof/>
                <w:webHidden/>
              </w:rPr>
              <w:t>24</w:t>
            </w:r>
            <w:r w:rsidR="00724275">
              <w:rPr>
                <w:noProof/>
                <w:webHidden/>
              </w:rPr>
              <w:fldChar w:fldCharType="end"/>
            </w:r>
          </w:hyperlink>
        </w:p>
        <w:p w14:paraId="6BFB7A58" w14:textId="5700385B" w:rsidR="00724275" w:rsidRDefault="004C4253">
          <w:pPr>
            <w:pStyle w:val="TOC1"/>
            <w:rPr>
              <w:rFonts w:eastAsiaTheme="minorEastAsia" w:cstheme="minorBidi"/>
              <w:b w:val="0"/>
              <w:bCs w:val="0"/>
              <w:caps w:val="0"/>
              <w:noProof/>
              <w:sz w:val="22"/>
              <w:szCs w:val="22"/>
              <w:lang w:eastAsia="en-AU"/>
            </w:rPr>
          </w:pPr>
          <w:hyperlink w:anchor="_Toc135390600" w:history="1">
            <w:r w:rsidR="00724275" w:rsidRPr="00CD7585">
              <w:rPr>
                <w:rStyle w:val="Hyperlink"/>
                <w:noProof/>
              </w:rPr>
              <w:t>LARGE-SCALE Transmission</w:t>
            </w:r>
            <w:r w:rsidR="00724275">
              <w:rPr>
                <w:noProof/>
                <w:webHidden/>
              </w:rPr>
              <w:tab/>
            </w:r>
            <w:r w:rsidR="00724275">
              <w:rPr>
                <w:noProof/>
                <w:webHidden/>
              </w:rPr>
              <w:fldChar w:fldCharType="begin"/>
            </w:r>
            <w:r w:rsidR="00724275">
              <w:rPr>
                <w:noProof/>
                <w:webHidden/>
              </w:rPr>
              <w:instrText xml:space="preserve"> PAGEREF _Toc135390600 \h </w:instrText>
            </w:r>
            <w:r w:rsidR="00724275">
              <w:rPr>
                <w:noProof/>
                <w:webHidden/>
              </w:rPr>
            </w:r>
            <w:r w:rsidR="00724275">
              <w:rPr>
                <w:noProof/>
                <w:webHidden/>
              </w:rPr>
              <w:fldChar w:fldCharType="separate"/>
            </w:r>
            <w:r w:rsidR="00796527">
              <w:rPr>
                <w:noProof/>
                <w:webHidden/>
              </w:rPr>
              <w:t>25</w:t>
            </w:r>
            <w:r w:rsidR="00724275">
              <w:rPr>
                <w:noProof/>
                <w:webHidden/>
              </w:rPr>
              <w:fldChar w:fldCharType="end"/>
            </w:r>
          </w:hyperlink>
        </w:p>
        <w:p w14:paraId="29918086" w14:textId="23E81FA6" w:rsidR="00724275" w:rsidRDefault="004C4253">
          <w:pPr>
            <w:pStyle w:val="TOC2"/>
            <w:rPr>
              <w:rFonts w:eastAsiaTheme="minorEastAsia" w:cstheme="minorBidi"/>
              <w:smallCaps w:val="0"/>
              <w:noProof/>
              <w:sz w:val="22"/>
              <w:szCs w:val="22"/>
              <w:lang w:eastAsia="en-AU"/>
            </w:rPr>
          </w:pPr>
          <w:hyperlink w:anchor="_Toc135390601" w:history="1">
            <w:r w:rsidR="00724275" w:rsidRPr="00CD7585">
              <w:rPr>
                <w:rStyle w:val="Hyperlink"/>
                <w:i/>
                <w:iCs/>
                <w:noProof/>
              </w:rPr>
              <w:t>Initial observations</w:t>
            </w:r>
            <w:r w:rsidR="00724275">
              <w:rPr>
                <w:noProof/>
                <w:webHidden/>
              </w:rPr>
              <w:tab/>
            </w:r>
            <w:r w:rsidR="00724275">
              <w:rPr>
                <w:noProof/>
                <w:webHidden/>
              </w:rPr>
              <w:fldChar w:fldCharType="begin"/>
            </w:r>
            <w:r w:rsidR="00724275">
              <w:rPr>
                <w:noProof/>
                <w:webHidden/>
              </w:rPr>
              <w:instrText xml:space="preserve"> PAGEREF _Toc135390601 \h </w:instrText>
            </w:r>
            <w:r w:rsidR="00724275">
              <w:rPr>
                <w:noProof/>
                <w:webHidden/>
              </w:rPr>
            </w:r>
            <w:r w:rsidR="00724275">
              <w:rPr>
                <w:noProof/>
                <w:webHidden/>
              </w:rPr>
              <w:fldChar w:fldCharType="separate"/>
            </w:r>
            <w:r w:rsidR="00796527">
              <w:rPr>
                <w:noProof/>
                <w:webHidden/>
              </w:rPr>
              <w:t>25</w:t>
            </w:r>
            <w:r w:rsidR="00724275">
              <w:rPr>
                <w:noProof/>
                <w:webHidden/>
              </w:rPr>
              <w:fldChar w:fldCharType="end"/>
            </w:r>
          </w:hyperlink>
        </w:p>
        <w:p w14:paraId="4DFC6693" w14:textId="40D9F962" w:rsidR="00724275" w:rsidRDefault="004C4253">
          <w:pPr>
            <w:pStyle w:val="TOC2"/>
            <w:rPr>
              <w:rFonts w:eastAsiaTheme="minorEastAsia" w:cstheme="minorBidi"/>
              <w:smallCaps w:val="0"/>
              <w:noProof/>
              <w:sz w:val="22"/>
              <w:szCs w:val="22"/>
              <w:lang w:eastAsia="en-AU"/>
            </w:rPr>
          </w:pPr>
          <w:hyperlink w:anchor="_Toc135390602" w:history="1">
            <w:r w:rsidR="00724275" w:rsidRPr="00CD7585">
              <w:rPr>
                <w:rStyle w:val="Hyperlink"/>
                <w:i/>
                <w:iCs/>
                <w:noProof/>
              </w:rPr>
              <w:t>Key activities</w:t>
            </w:r>
            <w:r w:rsidR="00724275">
              <w:rPr>
                <w:noProof/>
                <w:webHidden/>
              </w:rPr>
              <w:tab/>
            </w:r>
            <w:r w:rsidR="00724275">
              <w:rPr>
                <w:noProof/>
                <w:webHidden/>
              </w:rPr>
              <w:fldChar w:fldCharType="begin"/>
            </w:r>
            <w:r w:rsidR="00724275">
              <w:rPr>
                <w:noProof/>
                <w:webHidden/>
              </w:rPr>
              <w:instrText xml:space="preserve"> PAGEREF _Toc135390602 \h </w:instrText>
            </w:r>
            <w:r w:rsidR="00724275">
              <w:rPr>
                <w:noProof/>
                <w:webHidden/>
              </w:rPr>
            </w:r>
            <w:r w:rsidR="00724275">
              <w:rPr>
                <w:noProof/>
                <w:webHidden/>
              </w:rPr>
              <w:fldChar w:fldCharType="separate"/>
            </w:r>
            <w:r w:rsidR="00796527">
              <w:rPr>
                <w:noProof/>
                <w:webHidden/>
              </w:rPr>
              <w:t>26</w:t>
            </w:r>
            <w:r w:rsidR="00724275">
              <w:rPr>
                <w:noProof/>
                <w:webHidden/>
              </w:rPr>
              <w:fldChar w:fldCharType="end"/>
            </w:r>
          </w:hyperlink>
        </w:p>
        <w:p w14:paraId="66F803B2" w14:textId="2965671D" w:rsidR="00724275" w:rsidRDefault="004C4253">
          <w:pPr>
            <w:pStyle w:val="TOC1"/>
            <w:rPr>
              <w:rFonts w:eastAsiaTheme="minorEastAsia" w:cstheme="minorBidi"/>
              <w:b w:val="0"/>
              <w:bCs w:val="0"/>
              <w:caps w:val="0"/>
              <w:noProof/>
              <w:sz w:val="22"/>
              <w:szCs w:val="22"/>
              <w:lang w:eastAsia="en-AU"/>
            </w:rPr>
          </w:pPr>
          <w:hyperlink w:anchor="_Toc135390603" w:history="1">
            <w:r w:rsidR="00724275" w:rsidRPr="00CD7585">
              <w:rPr>
                <w:rStyle w:val="Hyperlink"/>
                <w:noProof/>
              </w:rPr>
              <w:t>Reforms and advocacy</w:t>
            </w:r>
            <w:r w:rsidR="00724275">
              <w:rPr>
                <w:noProof/>
                <w:webHidden/>
              </w:rPr>
              <w:tab/>
            </w:r>
            <w:r w:rsidR="00724275">
              <w:rPr>
                <w:noProof/>
                <w:webHidden/>
              </w:rPr>
              <w:fldChar w:fldCharType="begin"/>
            </w:r>
            <w:r w:rsidR="00724275">
              <w:rPr>
                <w:noProof/>
                <w:webHidden/>
              </w:rPr>
              <w:instrText xml:space="preserve"> PAGEREF _Toc135390603 \h </w:instrText>
            </w:r>
            <w:r w:rsidR="00724275">
              <w:rPr>
                <w:noProof/>
                <w:webHidden/>
              </w:rPr>
            </w:r>
            <w:r w:rsidR="00724275">
              <w:rPr>
                <w:noProof/>
                <w:webHidden/>
              </w:rPr>
              <w:fldChar w:fldCharType="separate"/>
            </w:r>
            <w:r w:rsidR="00796527">
              <w:rPr>
                <w:noProof/>
                <w:webHidden/>
              </w:rPr>
              <w:t>27</w:t>
            </w:r>
            <w:r w:rsidR="00724275">
              <w:rPr>
                <w:noProof/>
                <w:webHidden/>
              </w:rPr>
              <w:fldChar w:fldCharType="end"/>
            </w:r>
          </w:hyperlink>
        </w:p>
        <w:p w14:paraId="53B2ABE3" w14:textId="30788B33" w:rsidR="00724275" w:rsidRDefault="004C4253">
          <w:pPr>
            <w:pStyle w:val="TOC2"/>
            <w:rPr>
              <w:rFonts w:eastAsiaTheme="minorEastAsia" w:cstheme="minorBidi"/>
              <w:smallCaps w:val="0"/>
              <w:noProof/>
              <w:sz w:val="22"/>
              <w:szCs w:val="22"/>
              <w:lang w:eastAsia="en-AU"/>
            </w:rPr>
          </w:pPr>
          <w:hyperlink w:anchor="_Toc135390604" w:history="1">
            <w:r w:rsidR="00724275" w:rsidRPr="00CD7585">
              <w:rPr>
                <w:rStyle w:val="Hyperlink"/>
                <w:i/>
                <w:iCs/>
                <w:noProof/>
              </w:rPr>
              <w:t>Key activities</w:t>
            </w:r>
            <w:r w:rsidR="00724275">
              <w:rPr>
                <w:noProof/>
                <w:webHidden/>
              </w:rPr>
              <w:tab/>
            </w:r>
            <w:r w:rsidR="00724275">
              <w:rPr>
                <w:noProof/>
                <w:webHidden/>
              </w:rPr>
              <w:fldChar w:fldCharType="begin"/>
            </w:r>
            <w:r w:rsidR="00724275">
              <w:rPr>
                <w:noProof/>
                <w:webHidden/>
              </w:rPr>
              <w:instrText xml:space="preserve"> PAGEREF _Toc135390604 \h </w:instrText>
            </w:r>
            <w:r w:rsidR="00724275">
              <w:rPr>
                <w:noProof/>
                <w:webHidden/>
              </w:rPr>
            </w:r>
            <w:r w:rsidR="00724275">
              <w:rPr>
                <w:noProof/>
                <w:webHidden/>
              </w:rPr>
              <w:fldChar w:fldCharType="separate"/>
            </w:r>
            <w:r w:rsidR="00796527">
              <w:rPr>
                <w:noProof/>
                <w:webHidden/>
              </w:rPr>
              <w:t>27</w:t>
            </w:r>
            <w:r w:rsidR="00724275">
              <w:rPr>
                <w:noProof/>
                <w:webHidden/>
              </w:rPr>
              <w:fldChar w:fldCharType="end"/>
            </w:r>
          </w:hyperlink>
        </w:p>
        <w:p w14:paraId="087916B5" w14:textId="3DFDB6E6" w:rsidR="00724275" w:rsidRDefault="004C4253">
          <w:pPr>
            <w:pStyle w:val="TOC2"/>
            <w:rPr>
              <w:rFonts w:eastAsiaTheme="minorEastAsia" w:cstheme="minorBidi"/>
              <w:smallCaps w:val="0"/>
              <w:noProof/>
              <w:sz w:val="22"/>
              <w:szCs w:val="22"/>
              <w:lang w:eastAsia="en-AU"/>
            </w:rPr>
          </w:pPr>
          <w:hyperlink w:anchor="_Toc135390605" w:history="1">
            <w:r w:rsidR="00724275" w:rsidRPr="00CD7585">
              <w:rPr>
                <w:rStyle w:val="Hyperlink"/>
                <w:i/>
                <w:iCs/>
                <w:noProof/>
              </w:rPr>
              <w:t>Next steps</w:t>
            </w:r>
            <w:r w:rsidR="00724275">
              <w:rPr>
                <w:noProof/>
                <w:webHidden/>
              </w:rPr>
              <w:tab/>
            </w:r>
            <w:r w:rsidR="00724275">
              <w:rPr>
                <w:noProof/>
                <w:webHidden/>
              </w:rPr>
              <w:fldChar w:fldCharType="begin"/>
            </w:r>
            <w:r w:rsidR="00724275">
              <w:rPr>
                <w:noProof/>
                <w:webHidden/>
              </w:rPr>
              <w:instrText xml:space="preserve"> PAGEREF _Toc135390605 \h </w:instrText>
            </w:r>
            <w:r w:rsidR="00724275">
              <w:rPr>
                <w:noProof/>
                <w:webHidden/>
              </w:rPr>
            </w:r>
            <w:r w:rsidR="00724275">
              <w:rPr>
                <w:noProof/>
                <w:webHidden/>
              </w:rPr>
              <w:fldChar w:fldCharType="separate"/>
            </w:r>
            <w:r w:rsidR="00796527">
              <w:rPr>
                <w:noProof/>
                <w:webHidden/>
              </w:rPr>
              <w:t>28</w:t>
            </w:r>
            <w:r w:rsidR="00724275">
              <w:rPr>
                <w:noProof/>
                <w:webHidden/>
              </w:rPr>
              <w:fldChar w:fldCharType="end"/>
            </w:r>
          </w:hyperlink>
        </w:p>
        <w:p w14:paraId="2868DF2B" w14:textId="471AE4E8" w:rsidR="00724275" w:rsidRDefault="004C4253">
          <w:pPr>
            <w:pStyle w:val="TOC1"/>
            <w:rPr>
              <w:rFonts w:eastAsiaTheme="minorEastAsia" w:cstheme="minorBidi"/>
              <w:b w:val="0"/>
              <w:bCs w:val="0"/>
              <w:caps w:val="0"/>
              <w:noProof/>
              <w:sz w:val="22"/>
              <w:szCs w:val="22"/>
              <w:lang w:eastAsia="en-AU"/>
            </w:rPr>
          </w:pPr>
          <w:hyperlink w:anchor="_Toc135390606" w:history="1">
            <w:r w:rsidR="00724275" w:rsidRPr="00CD7585">
              <w:rPr>
                <w:rStyle w:val="Hyperlink"/>
                <w:noProof/>
              </w:rPr>
              <w:t>appendix A: UPDATED Observations and recommendations – 2022</w:t>
            </w:r>
            <w:r w:rsidR="00724275">
              <w:rPr>
                <w:noProof/>
                <w:webHidden/>
              </w:rPr>
              <w:tab/>
            </w:r>
            <w:r w:rsidR="00724275">
              <w:rPr>
                <w:noProof/>
                <w:webHidden/>
              </w:rPr>
              <w:fldChar w:fldCharType="begin"/>
            </w:r>
            <w:r w:rsidR="00724275">
              <w:rPr>
                <w:noProof/>
                <w:webHidden/>
              </w:rPr>
              <w:instrText xml:space="preserve"> PAGEREF _Toc135390606 \h </w:instrText>
            </w:r>
            <w:r w:rsidR="00724275">
              <w:rPr>
                <w:noProof/>
                <w:webHidden/>
              </w:rPr>
            </w:r>
            <w:r w:rsidR="00724275">
              <w:rPr>
                <w:noProof/>
                <w:webHidden/>
              </w:rPr>
              <w:fldChar w:fldCharType="separate"/>
            </w:r>
            <w:r w:rsidR="00796527">
              <w:rPr>
                <w:noProof/>
                <w:webHidden/>
              </w:rPr>
              <w:t>30</w:t>
            </w:r>
            <w:r w:rsidR="00724275">
              <w:rPr>
                <w:noProof/>
                <w:webHidden/>
              </w:rPr>
              <w:fldChar w:fldCharType="end"/>
            </w:r>
          </w:hyperlink>
        </w:p>
        <w:p w14:paraId="5A463E0D" w14:textId="56F5446D" w:rsidR="00724275" w:rsidRDefault="004C4253">
          <w:pPr>
            <w:pStyle w:val="TOC2"/>
            <w:tabs>
              <w:tab w:val="left" w:pos="660"/>
            </w:tabs>
            <w:rPr>
              <w:rFonts w:eastAsiaTheme="minorEastAsia" w:cstheme="minorBidi"/>
              <w:smallCaps w:val="0"/>
              <w:noProof/>
              <w:sz w:val="22"/>
              <w:szCs w:val="22"/>
              <w:lang w:eastAsia="en-AU"/>
            </w:rPr>
          </w:pPr>
          <w:hyperlink w:anchor="_Toc135390607" w:history="1">
            <w:r w:rsidR="00724275" w:rsidRPr="00CD7585">
              <w:rPr>
                <w:rStyle w:val="Hyperlink"/>
                <w:noProof/>
              </w:rPr>
              <w:t>1.</w:t>
            </w:r>
            <w:r w:rsidR="00724275">
              <w:rPr>
                <w:rFonts w:eastAsiaTheme="minorEastAsia" w:cstheme="minorBidi"/>
                <w:smallCaps w:val="0"/>
                <w:noProof/>
                <w:sz w:val="22"/>
                <w:szCs w:val="22"/>
                <w:lang w:eastAsia="en-AU"/>
              </w:rPr>
              <w:tab/>
            </w:r>
            <w:r w:rsidR="00724275" w:rsidRPr="00CD7585">
              <w:rPr>
                <w:rStyle w:val="Hyperlink"/>
                <w:noProof/>
              </w:rPr>
              <w:t>Host Landholder Matters</w:t>
            </w:r>
            <w:r w:rsidR="00724275">
              <w:rPr>
                <w:noProof/>
                <w:webHidden/>
              </w:rPr>
              <w:tab/>
            </w:r>
            <w:r w:rsidR="00724275">
              <w:rPr>
                <w:noProof/>
                <w:webHidden/>
              </w:rPr>
              <w:fldChar w:fldCharType="begin"/>
            </w:r>
            <w:r w:rsidR="00724275">
              <w:rPr>
                <w:noProof/>
                <w:webHidden/>
              </w:rPr>
              <w:instrText xml:space="preserve"> PAGEREF _Toc135390607 \h </w:instrText>
            </w:r>
            <w:r w:rsidR="00724275">
              <w:rPr>
                <w:noProof/>
                <w:webHidden/>
              </w:rPr>
            </w:r>
            <w:r w:rsidR="00724275">
              <w:rPr>
                <w:noProof/>
                <w:webHidden/>
              </w:rPr>
              <w:fldChar w:fldCharType="separate"/>
            </w:r>
            <w:r w:rsidR="00796527">
              <w:rPr>
                <w:noProof/>
                <w:webHidden/>
              </w:rPr>
              <w:t>31</w:t>
            </w:r>
            <w:r w:rsidR="00724275">
              <w:rPr>
                <w:noProof/>
                <w:webHidden/>
              </w:rPr>
              <w:fldChar w:fldCharType="end"/>
            </w:r>
          </w:hyperlink>
        </w:p>
        <w:p w14:paraId="53C752DC" w14:textId="5ED7189A" w:rsidR="00724275" w:rsidRDefault="004C4253">
          <w:pPr>
            <w:pStyle w:val="TOC3"/>
            <w:rPr>
              <w:rFonts w:eastAsiaTheme="minorEastAsia" w:cstheme="minorBidi"/>
              <w:i w:val="0"/>
              <w:iCs w:val="0"/>
              <w:noProof/>
              <w:sz w:val="22"/>
              <w:szCs w:val="22"/>
              <w:lang w:eastAsia="en-AU"/>
            </w:rPr>
          </w:pPr>
          <w:hyperlink w:anchor="_Toc135390608"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_Toc135390608 \h </w:instrText>
            </w:r>
            <w:r w:rsidR="00724275">
              <w:rPr>
                <w:noProof/>
                <w:webHidden/>
              </w:rPr>
            </w:r>
            <w:r w:rsidR="00724275">
              <w:rPr>
                <w:noProof/>
                <w:webHidden/>
              </w:rPr>
              <w:fldChar w:fldCharType="separate"/>
            </w:r>
            <w:r w:rsidR="00796527">
              <w:rPr>
                <w:noProof/>
                <w:webHidden/>
              </w:rPr>
              <w:t>31</w:t>
            </w:r>
            <w:r w:rsidR="00724275">
              <w:rPr>
                <w:noProof/>
                <w:webHidden/>
              </w:rPr>
              <w:fldChar w:fldCharType="end"/>
            </w:r>
          </w:hyperlink>
        </w:p>
        <w:p w14:paraId="20C2AF78" w14:textId="7805A16E" w:rsidR="00724275" w:rsidRDefault="004C4253">
          <w:pPr>
            <w:pStyle w:val="TOC3"/>
            <w:rPr>
              <w:rFonts w:eastAsiaTheme="minorEastAsia" w:cstheme="minorBidi"/>
              <w:i w:val="0"/>
              <w:iCs w:val="0"/>
              <w:noProof/>
              <w:sz w:val="22"/>
              <w:szCs w:val="22"/>
              <w:lang w:eastAsia="en-AU"/>
            </w:rPr>
          </w:pPr>
          <w:hyperlink w:anchor="_Toc135390609" w:history="1">
            <w:r w:rsidR="00724275" w:rsidRPr="00CD7585">
              <w:rPr>
                <w:rStyle w:val="Hyperlink"/>
                <w:noProof/>
              </w:rPr>
              <w:t>Payments to Host Landholders</w:t>
            </w:r>
            <w:r w:rsidR="00724275">
              <w:rPr>
                <w:noProof/>
                <w:webHidden/>
              </w:rPr>
              <w:tab/>
            </w:r>
            <w:r w:rsidR="00724275">
              <w:rPr>
                <w:noProof/>
                <w:webHidden/>
              </w:rPr>
              <w:fldChar w:fldCharType="begin"/>
            </w:r>
            <w:r w:rsidR="00724275">
              <w:rPr>
                <w:noProof/>
                <w:webHidden/>
              </w:rPr>
              <w:instrText xml:space="preserve"> PAGEREF _Toc135390609 \h </w:instrText>
            </w:r>
            <w:r w:rsidR="00724275">
              <w:rPr>
                <w:noProof/>
                <w:webHidden/>
              </w:rPr>
            </w:r>
            <w:r w:rsidR="00724275">
              <w:rPr>
                <w:noProof/>
                <w:webHidden/>
              </w:rPr>
              <w:fldChar w:fldCharType="separate"/>
            </w:r>
            <w:r w:rsidR="00796527">
              <w:rPr>
                <w:noProof/>
                <w:webHidden/>
              </w:rPr>
              <w:t>31</w:t>
            </w:r>
            <w:r w:rsidR="00724275">
              <w:rPr>
                <w:noProof/>
                <w:webHidden/>
              </w:rPr>
              <w:fldChar w:fldCharType="end"/>
            </w:r>
          </w:hyperlink>
        </w:p>
        <w:p w14:paraId="67D2577F" w14:textId="572C2101" w:rsidR="00724275" w:rsidRDefault="004C4253">
          <w:pPr>
            <w:pStyle w:val="TOC3"/>
            <w:rPr>
              <w:rFonts w:eastAsiaTheme="minorEastAsia" w:cstheme="minorBidi"/>
              <w:i w:val="0"/>
              <w:iCs w:val="0"/>
              <w:noProof/>
              <w:sz w:val="22"/>
              <w:szCs w:val="22"/>
              <w:lang w:eastAsia="en-AU"/>
            </w:rPr>
          </w:pPr>
          <w:hyperlink w:anchor="_Toc135390610" w:history="1">
            <w:r w:rsidR="00724275" w:rsidRPr="00CD7585">
              <w:rPr>
                <w:rStyle w:val="Hyperlink"/>
                <w:noProof/>
              </w:rPr>
              <w:t>Development Process Phase &amp; Scope Change Effects</w:t>
            </w:r>
            <w:r w:rsidR="00724275">
              <w:rPr>
                <w:noProof/>
                <w:webHidden/>
              </w:rPr>
              <w:tab/>
            </w:r>
            <w:r w:rsidR="00724275">
              <w:rPr>
                <w:noProof/>
                <w:webHidden/>
              </w:rPr>
              <w:fldChar w:fldCharType="begin"/>
            </w:r>
            <w:r w:rsidR="00724275">
              <w:rPr>
                <w:noProof/>
                <w:webHidden/>
              </w:rPr>
              <w:instrText xml:space="preserve"> PAGEREF _Toc135390610 \h </w:instrText>
            </w:r>
            <w:r w:rsidR="00724275">
              <w:rPr>
                <w:noProof/>
                <w:webHidden/>
              </w:rPr>
            </w:r>
            <w:r w:rsidR="00724275">
              <w:rPr>
                <w:noProof/>
                <w:webHidden/>
              </w:rPr>
              <w:fldChar w:fldCharType="separate"/>
            </w:r>
            <w:r w:rsidR="00796527">
              <w:rPr>
                <w:noProof/>
                <w:webHidden/>
              </w:rPr>
              <w:t>32</w:t>
            </w:r>
            <w:r w:rsidR="00724275">
              <w:rPr>
                <w:noProof/>
                <w:webHidden/>
              </w:rPr>
              <w:fldChar w:fldCharType="end"/>
            </w:r>
          </w:hyperlink>
        </w:p>
        <w:p w14:paraId="0B73993A" w14:textId="0570FBCB" w:rsidR="00724275" w:rsidRDefault="004C4253">
          <w:pPr>
            <w:pStyle w:val="TOC3"/>
            <w:rPr>
              <w:rFonts w:eastAsiaTheme="minorEastAsia" w:cstheme="minorBidi"/>
              <w:i w:val="0"/>
              <w:iCs w:val="0"/>
              <w:noProof/>
              <w:sz w:val="22"/>
              <w:szCs w:val="22"/>
              <w:lang w:eastAsia="en-AU"/>
            </w:rPr>
          </w:pPr>
          <w:hyperlink w:anchor="_Toc135390611" w:history="1">
            <w:r w:rsidR="00724275" w:rsidRPr="00CD7585">
              <w:rPr>
                <w:rStyle w:val="Hyperlink"/>
                <w:noProof/>
              </w:rPr>
              <w:t>Host Agreements</w:t>
            </w:r>
            <w:r w:rsidR="00724275">
              <w:rPr>
                <w:noProof/>
                <w:webHidden/>
              </w:rPr>
              <w:tab/>
            </w:r>
            <w:r w:rsidR="00724275">
              <w:rPr>
                <w:noProof/>
                <w:webHidden/>
              </w:rPr>
              <w:fldChar w:fldCharType="begin"/>
            </w:r>
            <w:r w:rsidR="00724275">
              <w:rPr>
                <w:noProof/>
                <w:webHidden/>
              </w:rPr>
              <w:instrText xml:space="preserve"> PAGEREF _Toc135390611 \h </w:instrText>
            </w:r>
            <w:r w:rsidR="00724275">
              <w:rPr>
                <w:noProof/>
                <w:webHidden/>
              </w:rPr>
            </w:r>
            <w:r w:rsidR="00724275">
              <w:rPr>
                <w:noProof/>
                <w:webHidden/>
              </w:rPr>
              <w:fldChar w:fldCharType="separate"/>
            </w:r>
            <w:r w:rsidR="00796527">
              <w:rPr>
                <w:noProof/>
                <w:webHidden/>
              </w:rPr>
              <w:t>34</w:t>
            </w:r>
            <w:r w:rsidR="00724275">
              <w:rPr>
                <w:noProof/>
                <w:webHidden/>
              </w:rPr>
              <w:fldChar w:fldCharType="end"/>
            </w:r>
          </w:hyperlink>
        </w:p>
        <w:p w14:paraId="6CCA03BC" w14:textId="5609FF1C" w:rsidR="00724275" w:rsidRDefault="004C4253">
          <w:pPr>
            <w:pStyle w:val="TOC3"/>
            <w:rPr>
              <w:rFonts w:eastAsiaTheme="minorEastAsia" w:cstheme="minorBidi"/>
              <w:i w:val="0"/>
              <w:iCs w:val="0"/>
              <w:noProof/>
              <w:sz w:val="22"/>
              <w:szCs w:val="22"/>
              <w:lang w:eastAsia="en-AU"/>
            </w:rPr>
          </w:pPr>
          <w:hyperlink w:anchor="_Toc135390612" w:history="1">
            <w:r w:rsidR="00724275" w:rsidRPr="00CD7585">
              <w:rPr>
                <w:rStyle w:val="Hyperlink"/>
                <w:noProof/>
              </w:rPr>
              <w:t>Construction</w:t>
            </w:r>
            <w:r w:rsidR="00724275">
              <w:rPr>
                <w:noProof/>
                <w:webHidden/>
              </w:rPr>
              <w:tab/>
            </w:r>
            <w:r w:rsidR="00724275">
              <w:rPr>
                <w:noProof/>
                <w:webHidden/>
              </w:rPr>
              <w:fldChar w:fldCharType="begin"/>
            </w:r>
            <w:r w:rsidR="00724275">
              <w:rPr>
                <w:noProof/>
                <w:webHidden/>
              </w:rPr>
              <w:instrText xml:space="preserve"> PAGEREF _Toc135390612 \h </w:instrText>
            </w:r>
            <w:r w:rsidR="00724275">
              <w:rPr>
                <w:noProof/>
                <w:webHidden/>
              </w:rPr>
            </w:r>
            <w:r w:rsidR="00724275">
              <w:rPr>
                <w:noProof/>
                <w:webHidden/>
              </w:rPr>
              <w:fldChar w:fldCharType="separate"/>
            </w:r>
            <w:r w:rsidR="00796527">
              <w:rPr>
                <w:noProof/>
                <w:webHidden/>
              </w:rPr>
              <w:t>35</w:t>
            </w:r>
            <w:r w:rsidR="00724275">
              <w:rPr>
                <w:noProof/>
                <w:webHidden/>
              </w:rPr>
              <w:fldChar w:fldCharType="end"/>
            </w:r>
          </w:hyperlink>
        </w:p>
        <w:p w14:paraId="1CFE2FF2" w14:textId="2808F8ED" w:rsidR="00724275" w:rsidRDefault="004C4253">
          <w:pPr>
            <w:pStyle w:val="TOC3"/>
            <w:rPr>
              <w:rFonts w:eastAsiaTheme="minorEastAsia" w:cstheme="minorBidi"/>
              <w:i w:val="0"/>
              <w:iCs w:val="0"/>
              <w:noProof/>
              <w:sz w:val="22"/>
              <w:szCs w:val="22"/>
              <w:lang w:eastAsia="en-AU"/>
            </w:rPr>
          </w:pPr>
          <w:hyperlink w:anchor="_Toc135390613" w:history="1">
            <w:r w:rsidR="00724275" w:rsidRPr="00CD7585">
              <w:rPr>
                <w:rStyle w:val="Hyperlink"/>
                <w:noProof/>
              </w:rPr>
              <w:t>Outgoings</w:t>
            </w:r>
            <w:r w:rsidR="00724275">
              <w:rPr>
                <w:noProof/>
                <w:webHidden/>
              </w:rPr>
              <w:tab/>
            </w:r>
            <w:r w:rsidR="00724275">
              <w:rPr>
                <w:noProof/>
                <w:webHidden/>
              </w:rPr>
              <w:fldChar w:fldCharType="begin"/>
            </w:r>
            <w:r w:rsidR="00724275">
              <w:rPr>
                <w:noProof/>
                <w:webHidden/>
              </w:rPr>
              <w:instrText xml:space="preserve"> PAGEREF _Toc135390613 \h </w:instrText>
            </w:r>
            <w:r w:rsidR="00724275">
              <w:rPr>
                <w:noProof/>
                <w:webHidden/>
              </w:rPr>
            </w:r>
            <w:r w:rsidR="00724275">
              <w:rPr>
                <w:noProof/>
                <w:webHidden/>
              </w:rPr>
              <w:fldChar w:fldCharType="separate"/>
            </w:r>
            <w:r w:rsidR="00796527">
              <w:rPr>
                <w:noProof/>
                <w:webHidden/>
              </w:rPr>
              <w:t>36</w:t>
            </w:r>
            <w:r w:rsidR="00724275">
              <w:rPr>
                <w:noProof/>
                <w:webHidden/>
              </w:rPr>
              <w:fldChar w:fldCharType="end"/>
            </w:r>
          </w:hyperlink>
        </w:p>
        <w:p w14:paraId="5E821913" w14:textId="3F712CD6" w:rsidR="00724275" w:rsidRDefault="004C4253">
          <w:pPr>
            <w:pStyle w:val="TOC3"/>
            <w:rPr>
              <w:rFonts w:eastAsiaTheme="minorEastAsia" w:cstheme="minorBidi"/>
              <w:i w:val="0"/>
              <w:iCs w:val="0"/>
              <w:noProof/>
              <w:sz w:val="22"/>
              <w:szCs w:val="22"/>
              <w:lang w:eastAsia="en-AU"/>
            </w:rPr>
          </w:pPr>
          <w:hyperlink w:anchor="_Toc135390614" w:history="1">
            <w:r w:rsidR="00724275" w:rsidRPr="00CD7585">
              <w:rPr>
                <w:rStyle w:val="Hyperlink"/>
                <w:noProof/>
              </w:rPr>
              <w:t>Decommissioning</w:t>
            </w:r>
            <w:r w:rsidR="00724275">
              <w:rPr>
                <w:noProof/>
                <w:webHidden/>
              </w:rPr>
              <w:tab/>
            </w:r>
            <w:r w:rsidR="00724275">
              <w:rPr>
                <w:noProof/>
                <w:webHidden/>
              </w:rPr>
              <w:fldChar w:fldCharType="begin"/>
            </w:r>
            <w:r w:rsidR="00724275">
              <w:rPr>
                <w:noProof/>
                <w:webHidden/>
              </w:rPr>
              <w:instrText xml:space="preserve"> PAGEREF _Toc135390614 \h </w:instrText>
            </w:r>
            <w:r w:rsidR="00724275">
              <w:rPr>
                <w:noProof/>
                <w:webHidden/>
              </w:rPr>
            </w:r>
            <w:r w:rsidR="00724275">
              <w:rPr>
                <w:noProof/>
                <w:webHidden/>
              </w:rPr>
              <w:fldChar w:fldCharType="separate"/>
            </w:r>
            <w:r w:rsidR="00796527">
              <w:rPr>
                <w:noProof/>
                <w:webHidden/>
              </w:rPr>
              <w:t>36</w:t>
            </w:r>
            <w:r w:rsidR="00724275">
              <w:rPr>
                <w:noProof/>
                <w:webHidden/>
              </w:rPr>
              <w:fldChar w:fldCharType="end"/>
            </w:r>
          </w:hyperlink>
        </w:p>
        <w:p w14:paraId="4008D6A7" w14:textId="5394B47E" w:rsidR="00724275" w:rsidRDefault="004C4253">
          <w:pPr>
            <w:pStyle w:val="TOC3"/>
            <w:rPr>
              <w:rFonts w:eastAsiaTheme="minorEastAsia" w:cstheme="minorBidi"/>
              <w:i w:val="0"/>
              <w:iCs w:val="0"/>
              <w:noProof/>
              <w:sz w:val="22"/>
              <w:szCs w:val="22"/>
              <w:lang w:eastAsia="en-AU"/>
            </w:rPr>
          </w:pPr>
          <w:hyperlink w:anchor="_Toc135390615" w:history="1">
            <w:r w:rsidR="00724275" w:rsidRPr="00CD7585">
              <w:rPr>
                <w:rStyle w:val="Hyperlink"/>
                <w:noProof/>
              </w:rPr>
              <w:t>Private Transmission Line Easements</w:t>
            </w:r>
            <w:r w:rsidR="00724275">
              <w:rPr>
                <w:noProof/>
                <w:webHidden/>
              </w:rPr>
              <w:tab/>
            </w:r>
            <w:r w:rsidR="00724275">
              <w:rPr>
                <w:noProof/>
                <w:webHidden/>
              </w:rPr>
              <w:fldChar w:fldCharType="begin"/>
            </w:r>
            <w:r w:rsidR="00724275">
              <w:rPr>
                <w:noProof/>
                <w:webHidden/>
              </w:rPr>
              <w:instrText xml:space="preserve"> PAGEREF _Toc135390615 \h </w:instrText>
            </w:r>
            <w:r w:rsidR="00724275">
              <w:rPr>
                <w:noProof/>
                <w:webHidden/>
              </w:rPr>
            </w:r>
            <w:r w:rsidR="00724275">
              <w:rPr>
                <w:noProof/>
                <w:webHidden/>
              </w:rPr>
              <w:fldChar w:fldCharType="separate"/>
            </w:r>
            <w:r w:rsidR="00796527">
              <w:rPr>
                <w:noProof/>
                <w:webHidden/>
              </w:rPr>
              <w:t>37</w:t>
            </w:r>
            <w:r w:rsidR="00724275">
              <w:rPr>
                <w:noProof/>
                <w:webHidden/>
              </w:rPr>
              <w:fldChar w:fldCharType="end"/>
            </w:r>
          </w:hyperlink>
        </w:p>
        <w:p w14:paraId="2E1F9BF6" w14:textId="63C17149" w:rsidR="00724275" w:rsidRDefault="004C4253">
          <w:pPr>
            <w:pStyle w:val="TOC3"/>
            <w:rPr>
              <w:rFonts w:eastAsiaTheme="minorEastAsia" w:cstheme="minorBidi"/>
              <w:i w:val="0"/>
              <w:iCs w:val="0"/>
              <w:noProof/>
              <w:sz w:val="22"/>
              <w:szCs w:val="22"/>
              <w:lang w:eastAsia="en-AU"/>
            </w:rPr>
          </w:pPr>
          <w:hyperlink w:anchor="_Toc135390616" w:history="1">
            <w:r w:rsidR="00724275" w:rsidRPr="00CD7585">
              <w:rPr>
                <w:rStyle w:val="Hyperlink"/>
                <w:noProof/>
              </w:rPr>
              <w:t>Land Access</w:t>
            </w:r>
            <w:r w:rsidR="00724275">
              <w:rPr>
                <w:noProof/>
                <w:webHidden/>
              </w:rPr>
              <w:tab/>
            </w:r>
            <w:r w:rsidR="00724275">
              <w:rPr>
                <w:noProof/>
                <w:webHidden/>
              </w:rPr>
              <w:fldChar w:fldCharType="begin"/>
            </w:r>
            <w:r w:rsidR="00724275">
              <w:rPr>
                <w:noProof/>
                <w:webHidden/>
              </w:rPr>
              <w:instrText xml:space="preserve"> PAGEREF _Toc135390616 \h </w:instrText>
            </w:r>
            <w:r w:rsidR="00724275">
              <w:rPr>
                <w:noProof/>
                <w:webHidden/>
              </w:rPr>
            </w:r>
            <w:r w:rsidR="00724275">
              <w:rPr>
                <w:noProof/>
                <w:webHidden/>
              </w:rPr>
              <w:fldChar w:fldCharType="separate"/>
            </w:r>
            <w:r w:rsidR="00796527">
              <w:rPr>
                <w:noProof/>
                <w:webHidden/>
              </w:rPr>
              <w:t>38</w:t>
            </w:r>
            <w:r w:rsidR="00724275">
              <w:rPr>
                <w:noProof/>
                <w:webHidden/>
              </w:rPr>
              <w:fldChar w:fldCharType="end"/>
            </w:r>
          </w:hyperlink>
        </w:p>
        <w:p w14:paraId="0DAEF74D" w14:textId="715F442C" w:rsidR="00724275" w:rsidRDefault="004C4253">
          <w:pPr>
            <w:pStyle w:val="TOC3"/>
            <w:rPr>
              <w:rFonts w:eastAsiaTheme="minorEastAsia" w:cstheme="minorBidi"/>
              <w:i w:val="0"/>
              <w:iCs w:val="0"/>
              <w:noProof/>
              <w:sz w:val="22"/>
              <w:szCs w:val="22"/>
              <w:lang w:eastAsia="en-AU"/>
            </w:rPr>
          </w:pPr>
          <w:hyperlink w:anchor="_Toc135390617" w:history="1">
            <w:r w:rsidR="00724275" w:rsidRPr="00CD7585">
              <w:rPr>
                <w:rStyle w:val="Hyperlink"/>
                <w:noProof/>
              </w:rPr>
              <w:t>Easement Acquisition</w:t>
            </w:r>
            <w:r w:rsidR="00724275">
              <w:rPr>
                <w:noProof/>
                <w:webHidden/>
              </w:rPr>
              <w:tab/>
            </w:r>
            <w:r w:rsidR="00724275">
              <w:rPr>
                <w:noProof/>
                <w:webHidden/>
              </w:rPr>
              <w:fldChar w:fldCharType="begin"/>
            </w:r>
            <w:r w:rsidR="00724275">
              <w:rPr>
                <w:noProof/>
                <w:webHidden/>
              </w:rPr>
              <w:instrText xml:space="preserve"> PAGEREF _Toc135390617 \h </w:instrText>
            </w:r>
            <w:r w:rsidR="00724275">
              <w:rPr>
                <w:noProof/>
                <w:webHidden/>
              </w:rPr>
            </w:r>
            <w:r w:rsidR="00724275">
              <w:rPr>
                <w:noProof/>
                <w:webHidden/>
              </w:rPr>
              <w:fldChar w:fldCharType="separate"/>
            </w:r>
            <w:r w:rsidR="00796527">
              <w:rPr>
                <w:noProof/>
                <w:webHidden/>
              </w:rPr>
              <w:t>39</w:t>
            </w:r>
            <w:r w:rsidR="00724275">
              <w:rPr>
                <w:noProof/>
                <w:webHidden/>
              </w:rPr>
              <w:fldChar w:fldCharType="end"/>
            </w:r>
          </w:hyperlink>
        </w:p>
        <w:p w14:paraId="0C51EAAA" w14:textId="6C053EBD" w:rsidR="00724275" w:rsidRDefault="004C4253">
          <w:pPr>
            <w:pStyle w:val="TOC3"/>
            <w:rPr>
              <w:rFonts w:eastAsiaTheme="minorEastAsia" w:cstheme="minorBidi"/>
              <w:i w:val="0"/>
              <w:iCs w:val="0"/>
              <w:noProof/>
              <w:sz w:val="22"/>
              <w:szCs w:val="22"/>
              <w:lang w:eastAsia="en-AU"/>
            </w:rPr>
          </w:pPr>
          <w:hyperlink w:anchor="_Toc135390618" w:history="1">
            <w:r w:rsidR="00724275" w:rsidRPr="00CD7585">
              <w:rPr>
                <w:rStyle w:val="Hyperlink"/>
                <w:noProof/>
              </w:rPr>
              <w:t>Correspondence and Communications</w:t>
            </w:r>
            <w:r w:rsidR="00724275">
              <w:rPr>
                <w:noProof/>
                <w:webHidden/>
              </w:rPr>
              <w:tab/>
            </w:r>
            <w:r w:rsidR="00724275">
              <w:rPr>
                <w:noProof/>
                <w:webHidden/>
              </w:rPr>
              <w:fldChar w:fldCharType="begin"/>
            </w:r>
            <w:r w:rsidR="00724275">
              <w:rPr>
                <w:noProof/>
                <w:webHidden/>
              </w:rPr>
              <w:instrText xml:space="preserve"> PAGEREF _Toc135390618 \h </w:instrText>
            </w:r>
            <w:r w:rsidR="00724275">
              <w:rPr>
                <w:noProof/>
                <w:webHidden/>
              </w:rPr>
            </w:r>
            <w:r w:rsidR="00724275">
              <w:rPr>
                <w:noProof/>
                <w:webHidden/>
              </w:rPr>
              <w:fldChar w:fldCharType="separate"/>
            </w:r>
            <w:r w:rsidR="00796527">
              <w:rPr>
                <w:noProof/>
                <w:webHidden/>
              </w:rPr>
              <w:t>40</w:t>
            </w:r>
            <w:r w:rsidR="00724275">
              <w:rPr>
                <w:noProof/>
                <w:webHidden/>
              </w:rPr>
              <w:fldChar w:fldCharType="end"/>
            </w:r>
          </w:hyperlink>
        </w:p>
        <w:p w14:paraId="3DA43D3F" w14:textId="08B410E7" w:rsidR="00724275" w:rsidRDefault="004C4253">
          <w:pPr>
            <w:pStyle w:val="TOC3"/>
            <w:rPr>
              <w:rFonts w:eastAsiaTheme="minorEastAsia" w:cstheme="minorBidi"/>
              <w:i w:val="0"/>
              <w:iCs w:val="0"/>
              <w:noProof/>
              <w:sz w:val="22"/>
              <w:szCs w:val="22"/>
              <w:lang w:eastAsia="en-AU"/>
            </w:rPr>
          </w:pPr>
          <w:hyperlink w:anchor="_Toc135390619" w:history="1">
            <w:r w:rsidR="00724275" w:rsidRPr="00CD7585">
              <w:rPr>
                <w:rStyle w:val="Hyperlink"/>
                <w:noProof/>
              </w:rPr>
              <w:t>Landholder Relations</w:t>
            </w:r>
            <w:r w:rsidR="00724275">
              <w:rPr>
                <w:noProof/>
                <w:webHidden/>
              </w:rPr>
              <w:tab/>
            </w:r>
            <w:r w:rsidR="00724275">
              <w:rPr>
                <w:noProof/>
                <w:webHidden/>
              </w:rPr>
              <w:fldChar w:fldCharType="begin"/>
            </w:r>
            <w:r w:rsidR="00724275">
              <w:rPr>
                <w:noProof/>
                <w:webHidden/>
              </w:rPr>
              <w:instrText xml:space="preserve"> PAGEREF _Toc135390619 \h </w:instrText>
            </w:r>
            <w:r w:rsidR="00724275">
              <w:rPr>
                <w:noProof/>
                <w:webHidden/>
              </w:rPr>
            </w:r>
            <w:r w:rsidR="00724275">
              <w:rPr>
                <w:noProof/>
                <w:webHidden/>
              </w:rPr>
              <w:fldChar w:fldCharType="separate"/>
            </w:r>
            <w:r w:rsidR="00796527">
              <w:rPr>
                <w:noProof/>
                <w:webHidden/>
              </w:rPr>
              <w:t>40</w:t>
            </w:r>
            <w:r w:rsidR="00724275">
              <w:rPr>
                <w:noProof/>
                <w:webHidden/>
              </w:rPr>
              <w:fldChar w:fldCharType="end"/>
            </w:r>
          </w:hyperlink>
        </w:p>
        <w:p w14:paraId="60CE6A48" w14:textId="372C89BC" w:rsidR="00724275" w:rsidRDefault="004C4253">
          <w:pPr>
            <w:pStyle w:val="TOC2"/>
            <w:tabs>
              <w:tab w:val="left" w:pos="660"/>
            </w:tabs>
            <w:rPr>
              <w:rFonts w:eastAsiaTheme="minorEastAsia" w:cstheme="minorBidi"/>
              <w:smallCaps w:val="0"/>
              <w:noProof/>
              <w:sz w:val="22"/>
              <w:szCs w:val="22"/>
              <w:lang w:eastAsia="en-AU"/>
            </w:rPr>
          </w:pPr>
          <w:hyperlink w:anchor="_Toc135390620" w:history="1">
            <w:r w:rsidR="00724275" w:rsidRPr="00CD7585">
              <w:rPr>
                <w:rStyle w:val="Hyperlink"/>
                <w:noProof/>
              </w:rPr>
              <w:t>2.</w:t>
            </w:r>
            <w:r w:rsidR="00724275">
              <w:rPr>
                <w:rFonts w:eastAsiaTheme="minorEastAsia" w:cstheme="minorBidi"/>
                <w:smallCaps w:val="0"/>
                <w:noProof/>
                <w:sz w:val="22"/>
                <w:szCs w:val="22"/>
                <w:lang w:eastAsia="en-AU"/>
              </w:rPr>
              <w:tab/>
            </w:r>
            <w:r w:rsidR="00724275" w:rsidRPr="00CD7585">
              <w:rPr>
                <w:rStyle w:val="Hyperlink"/>
                <w:noProof/>
              </w:rPr>
              <w:t>Neighbour Matters</w:t>
            </w:r>
            <w:r w:rsidR="00724275">
              <w:rPr>
                <w:noProof/>
                <w:webHidden/>
              </w:rPr>
              <w:tab/>
            </w:r>
            <w:r w:rsidR="00724275">
              <w:rPr>
                <w:noProof/>
                <w:webHidden/>
              </w:rPr>
              <w:fldChar w:fldCharType="begin"/>
            </w:r>
            <w:r w:rsidR="00724275">
              <w:rPr>
                <w:noProof/>
                <w:webHidden/>
              </w:rPr>
              <w:instrText xml:space="preserve"> PAGEREF _Toc135390620 \h </w:instrText>
            </w:r>
            <w:r w:rsidR="00724275">
              <w:rPr>
                <w:noProof/>
                <w:webHidden/>
              </w:rPr>
            </w:r>
            <w:r w:rsidR="00724275">
              <w:rPr>
                <w:noProof/>
                <w:webHidden/>
              </w:rPr>
              <w:fldChar w:fldCharType="separate"/>
            </w:r>
            <w:r w:rsidR="00796527">
              <w:rPr>
                <w:noProof/>
                <w:webHidden/>
              </w:rPr>
              <w:t>45</w:t>
            </w:r>
            <w:r w:rsidR="00724275">
              <w:rPr>
                <w:noProof/>
                <w:webHidden/>
              </w:rPr>
              <w:fldChar w:fldCharType="end"/>
            </w:r>
          </w:hyperlink>
        </w:p>
        <w:p w14:paraId="69D04889" w14:textId="77FA2667" w:rsidR="00724275" w:rsidRDefault="004C4253">
          <w:pPr>
            <w:pStyle w:val="TOC3"/>
            <w:rPr>
              <w:rFonts w:eastAsiaTheme="minorEastAsia" w:cstheme="minorBidi"/>
              <w:i w:val="0"/>
              <w:iCs w:val="0"/>
              <w:noProof/>
              <w:sz w:val="22"/>
              <w:szCs w:val="22"/>
              <w:lang w:eastAsia="en-AU"/>
            </w:rPr>
          </w:pPr>
          <w:hyperlink w:anchor="_Toc135390621"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_Toc135390621 \h </w:instrText>
            </w:r>
            <w:r w:rsidR="00724275">
              <w:rPr>
                <w:noProof/>
                <w:webHidden/>
              </w:rPr>
            </w:r>
            <w:r w:rsidR="00724275">
              <w:rPr>
                <w:noProof/>
                <w:webHidden/>
              </w:rPr>
              <w:fldChar w:fldCharType="separate"/>
            </w:r>
            <w:r w:rsidR="00796527">
              <w:rPr>
                <w:noProof/>
                <w:webHidden/>
              </w:rPr>
              <w:t>45</w:t>
            </w:r>
            <w:r w:rsidR="00724275">
              <w:rPr>
                <w:noProof/>
                <w:webHidden/>
              </w:rPr>
              <w:fldChar w:fldCharType="end"/>
            </w:r>
          </w:hyperlink>
        </w:p>
        <w:p w14:paraId="767B9DB0" w14:textId="6909C744" w:rsidR="00724275" w:rsidRDefault="004C4253">
          <w:pPr>
            <w:pStyle w:val="TOC3"/>
            <w:rPr>
              <w:rFonts w:eastAsiaTheme="minorEastAsia" w:cstheme="minorBidi"/>
              <w:i w:val="0"/>
              <w:iCs w:val="0"/>
              <w:noProof/>
              <w:sz w:val="22"/>
              <w:szCs w:val="22"/>
              <w:lang w:eastAsia="en-AU"/>
            </w:rPr>
          </w:pPr>
          <w:hyperlink w:anchor="_Toc135390622" w:history="1">
            <w:r w:rsidR="00724275" w:rsidRPr="00CD7585">
              <w:rPr>
                <w:rStyle w:val="Hyperlink"/>
                <w:noProof/>
              </w:rPr>
              <w:t>Consultation</w:t>
            </w:r>
            <w:r w:rsidR="00724275">
              <w:rPr>
                <w:noProof/>
                <w:webHidden/>
              </w:rPr>
              <w:tab/>
            </w:r>
            <w:r w:rsidR="00724275">
              <w:rPr>
                <w:noProof/>
                <w:webHidden/>
              </w:rPr>
              <w:fldChar w:fldCharType="begin"/>
            </w:r>
            <w:r w:rsidR="00724275">
              <w:rPr>
                <w:noProof/>
                <w:webHidden/>
              </w:rPr>
              <w:instrText xml:space="preserve"> PAGEREF _Toc135390622 \h </w:instrText>
            </w:r>
            <w:r w:rsidR="00724275">
              <w:rPr>
                <w:noProof/>
                <w:webHidden/>
              </w:rPr>
            </w:r>
            <w:r w:rsidR="00724275">
              <w:rPr>
                <w:noProof/>
                <w:webHidden/>
              </w:rPr>
              <w:fldChar w:fldCharType="separate"/>
            </w:r>
            <w:r w:rsidR="00796527">
              <w:rPr>
                <w:noProof/>
                <w:webHidden/>
              </w:rPr>
              <w:t>45</w:t>
            </w:r>
            <w:r w:rsidR="00724275">
              <w:rPr>
                <w:noProof/>
                <w:webHidden/>
              </w:rPr>
              <w:fldChar w:fldCharType="end"/>
            </w:r>
          </w:hyperlink>
        </w:p>
        <w:p w14:paraId="7F5D54AE" w14:textId="08779CF4" w:rsidR="00724275" w:rsidRDefault="004C4253">
          <w:pPr>
            <w:pStyle w:val="TOC3"/>
            <w:rPr>
              <w:rFonts w:eastAsiaTheme="minorEastAsia" w:cstheme="minorBidi"/>
              <w:i w:val="0"/>
              <w:iCs w:val="0"/>
              <w:noProof/>
              <w:sz w:val="22"/>
              <w:szCs w:val="22"/>
              <w:lang w:eastAsia="en-AU"/>
            </w:rPr>
          </w:pPr>
          <w:hyperlink w:anchor="_Toc135390623" w:history="1">
            <w:r w:rsidR="00724275" w:rsidRPr="00CD7585">
              <w:rPr>
                <w:rStyle w:val="Hyperlink"/>
                <w:noProof/>
              </w:rPr>
              <w:t>Neighbour Agreements</w:t>
            </w:r>
            <w:r w:rsidR="00724275">
              <w:rPr>
                <w:noProof/>
                <w:webHidden/>
              </w:rPr>
              <w:tab/>
            </w:r>
            <w:r w:rsidR="00724275">
              <w:rPr>
                <w:noProof/>
                <w:webHidden/>
              </w:rPr>
              <w:fldChar w:fldCharType="begin"/>
            </w:r>
            <w:r w:rsidR="00724275">
              <w:rPr>
                <w:noProof/>
                <w:webHidden/>
              </w:rPr>
              <w:instrText xml:space="preserve"> PAGEREF _Toc135390623 \h </w:instrText>
            </w:r>
            <w:r w:rsidR="00724275">
              <w:rPr>
                <w:noProof/>
                <w:webHidden/>
              </w:rPr>
            </w:r>
            <w:r w:rsidR="00724275">
              <w:rPr>
                <w:noProof/>
                <w:webHidden/>
              </w:rPr>
              <w:fldChar w:fldCharType="separate"/>
            </w:r>
            <w:r w:rsidR="00796527">
              <w:rPr>
                <w:noProof/>
                <w:webHidden/>
              </w:rPr>
              <w:t>46</w:t>
            </w:r>
            <w:r w:rsidR="00724275">
              <w:rPr>
                <w:noProof/>
                <w:webHidden/>
              </w:rPr>
              <w:fldChar w:fldCharType="end"/>
            </w:r>
          </w:hyperlink>
        </w:p>
        <w:p w14:paraId="3A869F35" w14:textId="27073F56" w:rsidR="00724275" w:rsidRDefault="004C4253">
          <w:pPr>
            <w:pStyle w:val="TOC3"/>
            <w:rPr>
              <w:rFonts w:eastAsiaTheme="minorEastAsia" w:cstheme="minorBidi"/>
              <w:i w:val="0"/>
              <w:iCs w:val="0"/>
              <w:noProof/>
              <w:sz w:val="22"/>
              <w:szCs w:val="22"/>
              <w:lang w:eastAsia="en-AU"/>
            </w:rPr>
          </w:pPr>
          <w:hyperlink w:anchor="_Toc135390624" w:history="1">
            <w:r w:rsidR="00724275" w:rsidRPr="00CD7585">
              <w:rPr>
                <w:rStyle w:val="Hyperlink"/>
                <w:noProof/>
              </w:rPr>
              <w:t>Visual Impacts and Screening</w:t>
            </w:r>
            <w:r w:rsidR="00724275">
              <w:rPr>
                <w:noProof/>
                <w:webHidden/>
              </w:rPr>
              <w:tab/>
            </w:r>
            <w:r w:rsidR="00724275">
              <w:rPr>
                <w:noProof/>
                <w:webHidden/>
              </w:rPr>
              <w:fldChar w:fldCharType="begin"/>
            </w:r>
            <w:r w:rsidR="00724275">
              <w:rPr>
                <w:noProof/>
                <w:webHidden/>
              </w:rPr>
              <w:instrText xml:space="preserve"> PAGEREF _Toc135390624 \h </w:instrText>
            </w:r>
            <w:r w:rsidR="00724275">
              <w:rPr>
                <w:noProof/>
                <w:webHidden/>
              </w:rPr>
            </w:r>
            <w:r w:rsidR="00724275">
              <w:rPr>
                <w:noProof/>
                <w:webHidden/>
              </w:rPr>
              <w:fldChar w:fldCharType="separate"/>
            </w:r>
            <w:r w:rsidR="00796527">
              <w:rPr>
                <w:noProof/>
                <w:webHidden/>
              </w:rPr>
              <w:t>47</w:t>
            </w:r>
            <w:r w:rsidR="00724275">
              <w:rPr>
                <w:noProof/>
                <w:webHidden/>
              </w:rPr>
              <w:fldChar w:fldCharType="end"/>
            </w:r>
          </w:hyperlink>
        </w:p>
        <w:p w14:paraId="599681CE" w14:textId="411EC02B" w:rsidR="00724275" w:rsidRDefault="004C4253">
          <w:pPr>
            <w:pStyle w:val="TOC3"/>
            <w:rPr>
              <w:rFonts w:eastAsiaTheme="minorEastAsia" w:cstheme="minorBidi"/>
              <w:i w:val="0"/>
              <w:iCs w:val="0"/>
              <w:noProof/>
              <w:sz w:val="22"/>
              <w:szCs w:val="22"/>
              <w:lang w:eastAsia="en-AU"/>
            </w:rPr>
          </w:pPr>
          <w:hyperlink w:anchor="_Toc135390625" w:history="1">
            <w:r w:rsidR="00724275" w:rsidRPr="00CD7585">
              <w:rPr>
                <w:rStyle w:val="Hyperlink"/>
                <w:noProof/>
              </w:rPr>
              <w:t>Transmission Considerations</w:t>
            </w:r>
            <w:r w:rsidR="00724275">
              <w:rPr>
                <w:noProof/>
                <w:webHidden/>
              </w:rPr>
              <w:tab/>
            </w:r>
            <w:r w:rsidR="00724275">
              <w:rPr>
                <w:noProof/>
                <w:webHidden/>
              </w:rPr>
              <w:fldChar w:fldCharType="begin"/>
            </w:r>
            <w:r w:rsidR="00724275">
              <w:rPr>
                <w:noProof/>
                <w:webHidden/>
              </w:rPr>
              <w:instrText xml:space="preserve"> PAGEREF _Toc135390625 \h </w:instrText>
            </w:r>
            <w:r w:rsidR="00724275">
              <w:rPr>
                <w:noProof/>
                <w:webHidden/>
              </w:rPr>
            </w:r>
            <w:r w:rsidR="00724275">
              <w:rPr>
                <w:noProof/>
                <w:webHidden/>
              </w:rPr>
              <w:fldChar w:fldCharType="separate"/>
            </w:r>
            <w:r w:rsidR="00796527">
              <w:rPr>
                <w:noProof/>
                <w:webHidden/>
              </w:rPr>
              <w:t>47</w:t>
            </w:r>
            <w:r w:rsidR="00724275">
              <w:rPr>
                <w:noProof/>
                <w:webHidden/>
              </w:rPr>
              <w:fldChar w:fldCharType="end"/>
            </w:r>
          </w:hyperlink>
        </w:p>
        <w:p w14:paraId="7DFE9599" w14:textId="62C5C3EF" w:rsidR="00724275" w:rsidRDefault="004C4253">
          <w:pPr>
            <w:pStyle w:val="TOC2"/>
            <w:tabs>
              <w:tab w:val="left" w:pos="660"/>
            </w:tabs>
            <w:rPr>
              <w:rFonts w:eastAsiaTheme="minorEastAsia" w:cstheme="minorBidi"/>
              <w:smallCaps w:val="0"/>
              <w:noProof/>
              <w:sz w:val="22"/>
              <w:szCs w:val="22"/>
              <w:lang w:eastAsia="en-AU"/>
            </w:rPr>
          </w:pPr>
          <w:hyperlink w:anchor="_Toc135390626" w:history="1">
            <w:r w:rsidR="00724275" w:rsidRPr="00CD7585">
              <w:rPr>
                <w:rStyle w:val="Hyperlink"/>
                <w:noProof/>
              </w:rPr>
              <w:t>3.</w:t>
            </w:r>
            <w:r w:rsidR="00724275">
              <w:rPr>
                <w:rFonts w:eastAsiaTheme="minorEastAsia" w:cstheme="minorBidi"/>
                <w:smallCaps w:val="0"/>
                <w:noProof/>
                <w:sz w:val="22"/>
                <w:szCs w:val="22"/>
                <w:lang w:eastAsia="en-AU"/>
              </w:rPr>
              <w:tab/>
            </w:r>
            <w:r w:rsidR="00724275" w:rsidRPr="00CD7585">
              <w:rPr>
                <w:rStyle w:val="Hyperlink"/>
                <w:noProof/>
              </w:rPr>
              <w:t>Community Engagement</w:t>
            </w:r>
            <w:r w:rsidR="00724275">
              <w:rPr>
                <w:noProof/>
                <w:webHidden/>
              </w:rPr>
              <w:tab/>
            </w:r>
            <w:r w:rsidR="00724275">
              <w:rPr>
                <w:noProof/>
                <w:webHidden/>
              </w:rPr>
              <w:fldChar w:fldCharType="begin"/>
            </w:r>
            <w:r w:rsidR="00724275">
              <w:rPr>
                <w:noProof/>
                <w:webHidden/>
              </w:rPr>
              <w:instrText xml:space="preserve"> PAGEREF _Toc135390626 \h </w:instrText>
            </w:r>
            <w:r w:rsidR="00724275">
              <w:rPr>
                <w:noProof/>
                <w:webHidden/>
              </w:rPr>
            </w:r>
            <w:r w:rsidR="00724275">
              <w:rPr>
                <w:noProof/>
                <w:webHidden/>
              </w:rPr>
              <w:fldChar w:fldCharType="separate"/>
            </w:r>
            <w:r w:rsidR="00796527">
              <w:rPr>
                <w:noProof/>
                <w:webHidden/>
              </w:rPr>
              <w:t>50</w:t>
            </w:r>
            <w:r w:rsidR="00724275">
              <w:rPr>
                <w:noProof/>
                <w:webHidden/>
              </w:rPr>
              <w:fldChar w:fldCharType="end"/>
            </w:r>
          </w:hyperlink>
        </w:p>
        <w:p w14:paraId="2ABDFFA7" w14:textId="43FBFE03" w:rsidR="00724275" w:rsidRDefault="004C4253">
          <w:pPr>
            <w:pStyle w:val="TOC3"/>
            <w:rPr>
              <w:rFonts w:eastAsiaTheme="minorEastAsia" w:cstheme="minorBidi"/>
              <w:i w:val="0"/>
              <w:iCs w:val="0"/>
              <w:noProof/>
              <w:sz w:val="22"/>
              <w:szCs w:val="22"/>
              <w:lang w:eastAsia="en-AU"/>
            </w:rPr>
          </w:pPr>
          <w:hyperlink w:anchor="_Toc135390627"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_Toc135390627 \h </w:instrText>
            </w:r>
            <w:r w:rsidR="00724275">
              <w:rPr>
                <w:noProof/>
                <w:webHidden/>
              </w:rPr>
            </w:r>
            <w:r w:rsidR="00724275">
              <w:rPr>
                <w:noProof/>
                <w:webHidden/>
              </w:rPr>
              <w:fldChar w:fldCharType="separate"/>
            </w:r>
            <w:r w:rsidR="00796527">
              <w:rPr>
                <w:noProof/>
                <w:webHidden/>
              </w:rPr>
              <w:t>50</w:t>
            </w:r>
            <w:r w:rsidR="00724275">
              <w:rPr>
                <w:noProof/>
                <w:webHidden/>
              </w:rPr>
              <w:fldChar w:fldCharType="end"/>
            </w:r>
          </w:hyperlink>
        </w:p>
        <w:p w14:paraId="560560E4" w14:textId="5443566D" w:rsidR="00724275" w:rsidRDefault="004C4253">
          <w:pPr>
            <w:pStyle w:val="TOC3"/>
            <w:rPr>
              <w:rFonts w:eastAsiaTheme="minorEastAsia" w:cstheme="minorBidi"/>
              <w:i w:val="0"/>
              <w:iCs w:val="0"/>
              <w:noProof/>
              <w:sz w:val="22"/>
              <w:szCs w:val="22"/>
              <w:lang w:eastAsia="en-AU"/>
            </w:rPr>
          </w:pPr>
          <w:hyperlink w:anchor="_Toc135390628" w:history="1">
            <w:r w:rsidR="00724275" w:rsidRPr="00CD7585">
              <w:rPr>
                <w:rStyle w:val="Hyperlink"/>
                <w:noProof/>
              </w:rPr>
              <w:t>Community and Stakeholder Committees</w:t>
            </w:r>
            <w:r w:rsidR="00724275">
              <w:rPr>
                <w:noProof/>
                <w:webHidden/>
              </w:rPr>
              <w:tab/>
            </w:r>
            <w:r w:rsidR="00724275">
              <w:rPr>
                <w:noProof/>
                <w:webHidden/>
              </w:rPr>
              <w:fldChar w:fldCharType="begin"/>
            </w:r>
            <w:r w:rsidR="00724275">
              <w:rPr>
                <w:noProof/>
                <w:webHidden/>
              </w:rPr>
              <w:instrText xml:space="preserve"> PAGEREF _Toc135390628 \h </w:instrText>
            </w:r>
            <w:r w:rsidR="00724275">
              <w:rPr>
                <w:noProof/>
                <w:webHidden/>
              </w:rPr>
            </w:r>
            <w:r w:rsidR="00724275">
              <w:rPr>
                <w:noProof/>
                <w:webHidden/>
              </w:rPr>
              <w:fldChar w:fldCharType="separate"/>
            </w:r>
            <w:r w:rsidR="00796527">
              <w:rPr>
                <w:noProof/>
                <w:webHidden/>
              </w:rPr>
              <w:t>50</w:t>
            </w:r>
            <w:r w:rsidR="00724275">
              <w:rPr>
                <w:noProof/>
                <w:webHidden/>
              </w:rPr>
              <w:fldChar w:fldCharType="end"/>
            </w:r>
          </w:hyperlink>
        </w:p>
        <w:p w14:paraId="2762DFA6" w14:textId="561090B3" w:rsidR="00724275" w:rsidRDefault="004C4253">
          <w:pPr>
            <w:pStyle w:val="TOC3"/>
            <w:rPr>
              <w:rFonts w:eastAsiaTheme="minorEastAsia" w:cstheme="minorBidi"/>
              <w:i w:val="0"/>
              <w:iCs w:val="0"/>
              <w:noProof/>
              <w:sz w:val="22"/>
              <w:szCs w:val="22"/>
              <w:lang w:eastAsia="en-AU"/>
            </w:rPr>
          </w:pPr>
          <w:hyperlink w:anchor="_Toc135390629" w:history="1">
            <w:r w:rsidR="00724275" w:rsidRPr="00CD7585">
              <w:rPr>
                <w:rStyle w:val="Hyperlink"/>
                <w:noProof/>
              </w:rPr>
              <w:t>Communications</w:t>
            </w:r>
            <w:r w:rsidR="00724275">
              <w:rPr>
                <w:noProof/>
                <w:webHidden/>
              </w:rPr>
              <w:tab/>
            </w:r>
            <w:r w:rsidR="00724275">
              <w:rPr>
                <w:noProof/>
                <w:webHidden/>
              </w:rPr>
              <w:fldChar w:fldCharType="begin"/>
            </w:r>
            <w:r w:rsidR="00724275">
              <w:rPr>
                <w:noProof/>
                <w:webHidden/>
              </w:rPr>
              <w:instrText xml:space="preserve"> PAGEREF _Toc135390629 \h </w:instrText>
            </w:r>
            <w:r w:rsidR="00724275">
              <w:rPr>
                <w:noProof/>
                <w:webHidden/>
              </w:rPr>
            </w:r>
            <w:r w:rsidR="00724275">
              <w:rPr>
                <w:noProof/>
                <w:webHidden/>
              </w:rPr>
              <w:fldChar w:fldCharType="separate"/>
            </w:r>
            <w:r w:rsidR="00796527">
              <w:rPr>
                <w:noProof/>
                <w:webHidden/>
              </w:rPr>
              <w:t>50</w:t>
            </w:r>
            <w:r w:rsidR="00724275">
              <w:rPr>
                <w:noProof/>
                <w:webHidden/>
              </w:rPr>
              <w:fldChar w:fldCharType="end"/>
            </w:r>
          </w:hyperlink>
        </w:p>
        <w:p w14:paraId="172AAE76" w14:textId="1A95D522" w:rsidR="00724275" w:rsidRDefault="004C4253">
          <w:pPr>
            <w:pStyle w:val="TOC3"/>
            <w:rPr>
              <w:rFonts w:eastAsiaTheme="minorEastAsia" w:cstheme="minorBidi"/>
              <w:i w:val="0"/>
              <w:iCs w:val="0"/>
              <w:noProof/>
              <w:sz w:val="22"/>
              <w:szCs w:val="22"/>
              <w:lang w:eastAsia="en-AU"/>
            </w:rPr>
          </w:pPr>
          <w:hyperlink w:anchor="_Toc135390630" w:history="1">
            <w:r w:rsidR="00724275" w:rsidRPr="00CD7585">
              <w:rPr>
                <w:rStyle w:val="Hyperlink"/>
                <w:noProof/>
              </w:rPr>
              <w:t>Coordination</w:t>
            </w:r>
            <w:r w:rsidR="00724275">
              <w:rPr>
                <w:noProof/>
                <w:webHidden/>
              </w:rPr>
              <w:tab/>
            </w:r>
            <w:r w:rsidR="00724275">
              <w:rPr>
                <w:noProof/>
                <w:webHidden/>
              </w:rPr>
              <w:fldChar w:fldCharType="begin"/>
            </w:r>
            <w:r w:rsidR="00724275">
              <w:rPr>
                <w:noProof/>
                <w:webHidden/>
              </w:rPr>
              <w:instrText xml:space="preserve"> PAGEREF _Toc135390630 \h </w:instrText>
            </w:r>
            <w:r w:rsidR="00724275">
              <w:rPr>
                <w:noProof/>
                <w:webHidden/>
              </w:rPr>
            </w:r>
            <w:r w:rsidR="00724275">
              <w:rPr>
                <w:noProof/>
                <w:webHidden/>
              </w:rPr>
              <w:fldChar w:fldCharType="separate"/>
            </w:r>
            <w:r w:rsidR="00796527">
              <w:rPr>
                <w:noProof/>
                <w:webHidden/>
              </w:rPr>
              <w:t>51</w:t>
            </w:r>
            <w:r w:rsidR="00724275">
              <w:rPr>
                <w:noProof/>
                <w:webHidden/>
              </w:rPr>
              <w:fldChar w:fldCharType="end"/>
            </w:r>
          </w:hyperlink>
        </w:p>
        <w:p w14:paraId="5B739F76" w14:textId="7DD8909D" w:rsidR="00724275" w:rsidRDefault="004C4253">
          <w:pPr>
            <w:pStyle w:val="TOC3"/>
            <w:rPr>
              <w:rFonts w:eastAsiaTheme="minorEastAsia" w:cstheme="minorBidi"/>
              <w:i w:val="0"/>
              <w:iCs w:val="0"/>
              <w:noProof/>
              <w:sz w:val="22"/>
              <w:szCs w:val="22"/>
              <w:lang w:eastAsia="en-AU"/>
            </w:rPr>
          </w:pPr>
          <w:hyperlink w:anchor="_Toc135390631" w:history="1">
            <w:r w:rsidR="00724275" w:rsidRPr="00CD7585">
              <w:rPr>
                <w:rStyle w:val="Hyperlink"/>
                <w:noProof/>
              </w:rPr>
              <w:t>Engagement Best Practice Guidelines</w:t>
            </w:r>
            <w:r w:rsidR="00724275">
              <w:rPr>
                <w:noProof/>
                <w:webHidden/>
              </w:rPr>
              <w:tab/>
            </w:r>
            <w:r w:rsidR="00724275">
              <w:rPr>
                <w:noProof/>
                <w:webHidden/>
              </w:rPr>
              <w:fldChar w:fldCharType="begin"/>
            </w:r>
            <w:r w:rsidR="00724275">
              <w:rPr>
                <w:noProof/>
                <w:webHidden/>
              </w:rPr>
              <w:instrText xml:space="preserve"> PAGEREF _Toc135390631 \h </w:instrText>
            </w:r>
            <w:r w:rsidR="00724275">
              <w:rPr>
                <w:noProof/>
                <w:webHidden/>
              </w:rPr>
            </w:r>
            <w:r w:rsidR="00724275">
              <w:rPr>
                <w:noProof/>
                <w:webHidden/>
              </w:rPr>
              <w:fldChar w:fldCharType="separate"/>
            </w:r>
            <w:r w:rsidR="00796527">
              <w:rPr>
                <w:noProof/>
                <w:webHidden/>
              </w:rPr>
              <w:t>51</w:t>
            </w:r>
            <w:r w:rsidR="00724275">
              <w:rPr>
                <w:noProof/>
                <w:webHidden/>
              </w:rPr>
              <w:fldChar w:fldCharType="end"/>
            </w:r>
          </w:hyperlink>
        </w:p>
        <w:p w14:paraId="7DB94D5A" w14:textId="064ACA9A" w:rsidR="00724275" w:rsidRDefault="004C4253">
          <w:pPr>
            <w:pStyle w:val="TOC3"/>
            <w:rPr>
              <w:rFonts w:eastAsiaTheme="minorEastAsia" w:cstheme="minorBidi"/>
              <w:i w:val="0"/>
              <w:iCs w:val="0"/>
              <w:noProof/>
              <w:sz w:val="22"/>
              <w:szCs w:val="22"/>
              <w:lang w:eastAsia="en-AU"/>
            </w:rPr>
          </w:pPr>
          <w:hyperlink w:anchor="_Toc135390632" w:history="1">
            <w:r w:rsidR="00724275" w:rsidRPr="00CD7585">
              <w:rPr>
                <w:rStyle w:val="Hyperlink"/>
                <w:noProof/>
              </w:rPr>
              <w:t>Transmission Considerations</w:t>
            </w:r>
            <w:r w:rsidR="00724275">
              <w:rPr>
                <w:noProof/>
                <w:webHidden/>
              </w:rPr>
              <w:tab/>
            </w:r>
            <w:r w:rsidR="00724275">
              <w:rPr>
                <w:noProof/>
                <w:webHidden/>
              </w:rPr>
              <w:fldChar w:fldCharType="begin"/>
            </w:r>
            <w:r w:rsidR="00724275">
              <w:rPr>
                <w:noProof/>
                <w:webHidden/>
              </w:rPr>
              <w:instrText xml:space="preserve"> PAGEREF _Toc135390632 \h </w:instrText>
            </w:r>
            <w:r w:rsidR="00724275">
              <w:rPr>
                <w:noProof/>
                <w:webHidden/>
              </w:rPr>
            </w:r>
            <w:r w:rsidR="00724275">
              <w:rPr>
                <w:noProof/>
                <w:webHidden/>
              </w:rPr>
              <w:fldChar w:fldCharType="separate"/>
            </w:r>
            <w:r w:rsidR="00796527">
              <w:rPr>
                <w:noProof/>
                <w:webHidden/>
              </w:rPr>
              <w:t>51</w:t>
            </w:r>
            <w:r w:rsidR="00724275">
              <w:rPr>
                <w:noProof/>
                <w:webHidden/>
              </w:rPr>
              <w:fldChar w:fldCharType="end"/>
            </w:r>
          </w:hyperlink>
        </w:p>
        <w:p w14:paraId="48D96D95" w14:textId="265850B3" w:rsidR="00724275" w:rsidRDefault="004C4253">
          <w:pPr>
            <w:pStyle w:val="TOC3"/>
            <w:rPr>
              <w:rFonts w:eastAsiaTheme="minorEastAsia" w:cstheme="minorBidi"/>
              <w:i w:val="0"/>
              <w:iCs w:val="0"/>
              <w:noProof/>
              <w:sz w:val="22"/>
              <w:szCs w:val="22"/>
              <w:lang w:eastAsia="en-AU"/>
            </w:rPr>
          </w:pPr>
          <w:hyperlink w:anchor="_Toc135390633" w:history="1">
            <w:r w:rsidR="00724275" w:rsidRPr="00CD7585">
              <w:rPr>
                <w:rStyle w:val="Hyperlink"/>
                <w:noProof/>
              </w:rPr>
              <w:t>OffShore Wind</w:t>
            </w:r>
            <w:r w:rsidR="00724275">
              <w:rPr>
                <w:noProof/>
                <w:webHidden/>
              </w:rPr>
              <w:tab/>
            </w:r>
            <w:r w:rsidR="00724275">
              <w:rPr>
                <w:noProof/>
                <w:webHidden/>
              </w:rPr>
              <w:fldChar w:fldCharType="begin"/>
            </w:r>
            <w:r w:rsidR="00724275">
              <w:rPr>
                <w:noProof/>
                <w:webHidden/>
              </w:rPr>
              <w:instrText xml:space="preserve"> PAGEREF _Toc135390633 \h </w:instrText>
            </w:r>
            <w:r w:rsidR="00724275">
              <w:rPr>
                <w:noProof/>
                <w:webHidden/>
              </w:rPr>
            </w:r>
            <w:r w:rsidR="00724275">
              <w:rPr>
                <w:noProof/>
                <w:webHidden/>
              </w:rPr>
              <w:fldChar w:fldCharType="separate"/>
            </w:r>
            <w:r w:rsidR="00796527">
              <w:rPr>
                <w:noProof/>
                <w:webHidden/>
              </w:rPr>
              <w:t>52</w:t>
            </w:r>
            <w:r w:rsidR="00724275">
              <w:rPr>
                <w:noProof/>
                <w:webHidden/>
              </w:rPr>
              <w:fldChar w:fldCharType="end"/>
            </w:r>
          </w:hyperlink>
        </w:p>
        <w:p w14:paraId="584DB895" w14:textId="56EE8BB4" w:rsidR="00724275" w:rsidRDefault="004C4253">
          <w:pPr>
            <w:pStyle w:val="TOC2"/>
            <w:tabs>
              <w:tab w:val="left" w:pos="660"/>
            </w:tabs>
            <w:rPr>
              <w:rFonts w:eastAsiaTheme="minorEastAsia" w:cstheme="minorBidi"/>
              <w:smallCaps w:val="0"/>
              <w:noProof/>
              <w:sz w:val="22"/>
              <w:szCs w:val="22"/>
              <w:lang w:eastAsia="en-AU"/>
            </w:rPr>
          </w:pPr>
          <w:hyperlink w:anchor="_Toc135390634" w:history="1">
            <w:r w:rsidR="00724275" w:rsidRPr="00CD7585">
              <w:rPr>
                <w:rStyle w:val="Hyperlink"/>
                <w:noProof/>
              </w:rPr>
              <w:t>4.</w:t>
            </w:r>
            <w:r w:rsidR="00724275">
              <w:rPr>
                <w:rFonts w:eastAsiaTheme="minorEastAsia" w:cstheme="minorBidi"/>
                <w:smallCaps w:val="0"/>
                <w:noProof/>
                <w:sz w:val="22"/>
                <w:szCs w:val="22"/>
                <w:lang w:eastAsia="en-AU"/>
              </w:rPr>
              <w:tab/>
            </w:r>
            <w:r w:rsidR="00724275" w:rsidRPr="00CD7585">
              <w:rPr>
                <w:rStyle w:val="Hyperlink"/>
                <w:noProof/>
              </w:rPr>
              <w:t>Planning Permits – Time Limits and Scope Changes</w:t>
            </w:r>
            <w:r w:rsidR="00724275">
              <w:rPr>
                <w:noProof/>
                <w:webHidden/>
              </w:rPr>
              <w:tab/>
            </w:r>
            <w:r w:rsidR="00724275">
              <w:rPr>
                <w:noProof/>
                <w:webHidden/>
              </w:rPr>
              <w:fldChar w:fldCharType="begin"/>
            </w:r>
            <w:r w:rsidR="00724275">
              <w:rPr>
                <w:noProof/>
                <w:webHidden/>
              </w:rPr>
              <w:instrText xml:space="preserve"> PAGEREF _Toc135390634 \h </w:instrText>
            </w:r>
            <w:r w:rsidR="00724275">
              <w:rPr>
                <w:noProof/>
                <w:webHidden/>
              </w:rPr>
            </w:r>
            <w:r w:rsidR="00724275">
              <w:rPr>
                <w:noProof/>
                <w:webHidden/>
              </w:rPr>
              <w:fldChar w:fldCharType="separate"/>
            </w:r>
            <w:r w:rsidR="00796527">
              <w:rPr>
                <w:noProof/>
                <w:webHidden/>
              </w:rPr>
              <w:t>56</w:t>
            </w:r>
            <w:r w:rsidR="00724275">
              <w:rPr>
                <w:noProof/>
                <w:webHidden/>
              </w:rPr>
              <w:fldChar w:fldCharType="end"/>
            </w:r>
          </w:hyperlink>
        </w:p>
        <w:p w14:paraId="38AF0299" w14:textId="76E01B0C" w:rsidR="00724275" w:rsidRDefault="004C4253">
          <w:pPr>
            <w:pStyle w:val="TOC3"/>
            <w:rPr>
              <w:rFonts w:eastAsiaTheme="minorEastAsia" w:cstheme="minorBidi"/>
              <w:i w:val="0"/>
              <w:iCs w:val="0"/>
              <w:noProof/>
              <w:sz w:val="22"/>
              <w:szCs w:val="22"/>
              <w:lang w:eastAsia="en-AU"/>
            </w:rPr>
          </w:pPr>
          <w:hyperlink w:anchor="_Toc135390635"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_Toc135390635 \h </w:instrText>
            </w:r>
            <w:r w:rsidR="00724275">
              <w:rPr>
                <w:noProof/>
                <w:webHidden/>
              </w:rPr>
            </w:r>
            <w:r w:rsidR="00724275">
              <w:rPr>
                <w:noProof/>
                <w:webHidden/>
              </w:rPr>
              <w:fldChar w:fldCharType="separate"/>
            </w:r>
            <w:r w:rsidR="00796527">
              <w:rPr>
                <w:noProof/>
                <w:webHidden/>
              </w:rPr>
              <w:t>56</w:t>
            </w:r>
            <w:r w:rsidR="00724275">
              <w:rPr>
                <w:noProof/>
                <w:webHidden/>
              </w:rPr>
              <w:fldChar w:fldCharType="end"/>
            </w:r>
          </w:hyperlink>
        </w:p>
        <w:p w14:paraId="2D037296" w14:textId="10BA348C" w:rsidR="00724275" w:rsidRDefault="004C4253">
          <w:pPr>
            <w:pStyle w:val="TOC3"/>
            <w:rPr>
              <w:rFonts w:eastAsiaTheme="minorEastAsia" w:cstheme="minorBidi"/>
              <w:i w:val="0"/>
              <w:iCs w:val="0"/>
              <w:noProof/>
              <w:sz w:val="22"/>
              <w:szCs w:val="22"/>
              <w:lang w:eastAsia="en-AU"/>
            </w:rPr>
          </w:pPr>
          <w:hyperlink w:anchor="_Toc135390636" w:history="1">
            <w:r w:rsidR="00724275" w:rsidRPr="00CD7585">
              <w:rPr>
                <w:rStyle w:val="Hyperlink"/>
                <w:noProof/>
              </w:rPr>
              <w:t>Elongated Timeframes</w:t>
            </w:r>
            <w:r w:rsidR="00724275">
              <w:rPr>
                <w:noProof/>
                <w:webHidden/>
              </w:rPr>
              <w:tab/>
            </w:r>
            <w:r w:rsidR="00724275">
              <w:rPr>
                <w:noProof/>
                <w:webHidden/>
              </w:rPr>
              <w:fldChar w:fldCharType="begin"/>
            </w:r>
            <w:r w:rsidR="00724275">
              <w:rPr>
                <w:noProof/>
                <w:webHidden/>
              </w:rPr>
              <w:instrText xml:space="preserve"> PAGEREF _Toc135390636 \h </w:instrText>
            </w:r>
            <w:r w:rsidR="00724275">
              <w:rPr>
                <w:noProof/>
                <w:webHidden/>
              </w:rPr>
            </w:r>
            <w:r w:rsidR="00724275">
              <w:rPr>
                <w:noProof/>
                <w:webHidden/>
              </w:rPr>
              <w:fldChar w:fldCharType="separate"/>
            </w:r>
            <w:r w:rsidR="00796527">
              <w:rPr>
                <w:noProof/>
                <w:webHidden/>
              </w:rPr>
              <w:t>56</w:t>
            </w:r>
            <w:r w:rsidR="00724275">
              <w:rPr>
                <w:noProof/>
                <w:webHidden/>
              </w:rPr>
              <w:fldChar w:fldCharType="end"/>
            </w:r>
          </w:hyperlink>
        </w:p>
        <w:p w14:paraId="784FB782" w14:textId="5B42701D" w:rsidR="00724275" w:rsidRDefault="004C4253">
          <w:pPr>
            <w:pStyle w:val="TOC3"/>
            <w:rPr>
              <w:rFonts w:eastAsiaTheme="minorEastAsia" w:cstheme="minorBidi"/>
              <w:i w:val="0"/>
              <w:iCs w:val="0"/>
              <w:noProof/>
              <w:sz w:val="22"/>
              <w:szCs w:val="22"/>
              <w:lang w:eastAsia="en-AU"/>
            </w:rPr>
          </w:pPr>
          <w:hyperlink w:anchor="_Toc135390637" w:history="1">
            <w:r w:rsidR="00724275" w:rsidRPr="00CD7585">
              <w:rPr>
                <w:rStyle w:val="Hyperlink"/>
                <w:noProof/>
              </w:rPr>
              <w:t>Precedence</w:t>
            </w:r>
            <w:r w:rsidR="00724275">
              <w:rPr>
                <w:noProof/>
                <w:webHidden/>
              </w:rPr>
              <w:tab/>
            </w:r>
            <w:r w:rsidR="00724275">
              <w:rPr>
                <w:noProof/>
                <w:webHidden/>
              </w:rPr>
              <w:fldChar w:fldCharType="begin"/>
            </w:r>
            <w:r w:rsidR="00724275">
              <w:rPr>
                <w:noProof/>
                <w:webHidden/>
              </w:rPr>
              <w:instrText xml:space="preserve"> PAGEREF _Toc135390637 \h </w:instrText>
            </w:r>
            <w:r w:rsidR="00724275">
              <w:rPr>
                <w:noProof/>
                <w:webHidden/>
              </w:rPr>
            </w:r>
            <w:r w:rsidR="00724275">
              <w:rPr>
                <w:noProof/>
                <w:webHidden/>
              </w:rPr>
              <w:fldChar w:fldCharType="separate"/>
            </w:r>
            <w:r w:rsidR="00796527">
              <w:rPr>
                <w:noProof/>
                <w:webHidden/>
              </w:rPr>
              <w:t>58</w:t>
            </w:r>
            <w:r w:rsidR="00724275">
              <w:rPr>
                <w:noProof/>
                <w:webHidden/>
              </w:rPr>
              <w:fldChar w:fldCharType="end"/>
            </w:r>
          </w:hyperlink>
        </w:p>
        <w:p w14:paraId="25400052" w14:textId="43359C50" w:rsidR="00724275" w:rsidRDefault="004C4253">
          <w:pPr>
            <w:pStyle w:val="TOC3"/>
            <w:rPr>
              <w:rFonts w:eastAsiaTheme="minorEastAsia" w:cstheme="minorBidi"/>
              <w:i w:val="0"/>
              <w:iCs w:val="0"/>
              <w:noProof/>
              <w:sz w:val="22"/>
              <w:szCs w:val="22"/>
              <w:lang w:eastAsia="en-AU"/>
            </w:rPr>
          </w:pPr>
          <w:hyperlink w:anchor="_Toc135390638" w:history="1">
            <w:r w:rsidR="00724275" w:rsidRPr="00CD7585">
              <w:rPr>
                <w:rStyle w:val="Hyperlink"/>
                <w:noProof/>
              </w:rPr>
              <w:t>Other Project Infrastructure</w:t>
            </w:r>
            <w:r w:rsidR="00724275">
              <w:rPr>
                <w:noProof/>
                <w:webHidden/>
              </w:rPr>
              <w:tab/>
            </w:r>
            <w:r w:rsidR="00724275">
              <w:rPr>
                <w:noProof/>
                <w:webHidden/>
              </w:rPr>
              <w:fldChar w:fldCharType="begin"/>
            </w:r>
            <w:r w:rsidR="00724275">
              <w:rPr>
                <w:noProof/>
                <w:webHidden/>
              </w:rPr>
              <w:instrText xml:space="preserve"> PAGEREF _Toc135390638 \h </w:instrText>
            </w:r>
            <w:r w:rsidR="00724275">
              <w:rPr>
                <w:noProof/>
                <w:webHidden/>
              </w:rPr>
            </w:r>
            <w:r w:rsidR="00724275">
              <w:rPr>
                <w:noProof/>
                <w:webHidden/>
              </w:rPr>
              <w:fldChar w:fldCharType="separate"/>
            </w:r>
            <w:r w:rsidR="00796527">
              <w:rPr>
                <w:noProof/>
                <w:webHidden/>
              </w:rPr>
              <w:t>58</w:t>
            </w:r>
            <w:r w:rsidR="00724275">
              <w:rPr>
                <w:noProof/>
                <w:webHidden/>
              </w:rPr>
              <w:fldChar w:fldCharType="end"/>
            </w:r>
          </w:hyperlink>
        </w:p>
        <w:p w14:paraId="23591AA4" w14:textId="5F53D410" w:rsidR="00724275" w:rsidRDefault="004C4253">
          <w:pPr>
            <w:pStyle w:val="TOC3"/>
            <w:rPr>
              <w:rFonts w:eastAsiaTheme="minorEastAsia" w:cstheme="minorBidi"/>
              <w:i w:val="0"/>
              <w:iCs w:val="0"/>
              <w:noProof/>
              <w:sz w:val="22"/>
              <w:szCs w:val="22"/>
              <w:lang w:eastAsia="en-AU"/>
            </w:rPr>
          </w:pPr>
          <w:hyperlink w:anchor="_Toc135390639" w:history="1">
            <w:r w:rsidR="00724275" w:rsidRPr="00CD7585">
              <w:rPr>
                <w:rStyle w:val="Hyperlink"/>
                <w:noProof/>
              </w:rPr>
              <w:t>Responsible Authorities</w:t>
            </w:r>
            <w:r w:rsidR="00724275">
              <w:rPr>
                <w:noProof/>
                <w:webHidden/>
              </w:rPr>
              <w:tab/>
            </w:r>
            <w:r w:rsidR="00724275">
              <w:rPr>
                <w:noProof/>
                <w:webHidden/>
              </w:rPr>
              <w:fldChar w:fldCharType="begin"/>
            </w:r>
            <w:r w:rsidR="00724275">
              <w:rPr>
                <w:noProof/>
                <w:webHidden/>
              </w:rPr>
              <w:instrText xml:space="preserve"> PAGEREF _Toc135390639 \h </w:instrText>
            </w:r>
            <w:r w:rsidR="00724275">
              <w:rPr>
                <w:noProof/>
                <w:webHidden/>
              </w:rPr>
            </w:r>
            <w:r w:rsidR="00724275">
              <w:rPr>
                <w:noProof/>
                <w:webHidden/>
              </w:rPr>
              <w:fldChar w:fldCharType="separate"/>
            </w:r>
            <w:r w:rsidR="00796527">
              <w:rPr>
                <w:noProof/>
                <w:webHidden/>
              </w:rPr>
              <w:t>59</w:t>
            </w:r>
            <w:r w:rsidR="00724275">
              <w:rPr>
                <w:noProof/>
                <w:webHidden/>
              </w:rPr>
              <w:fldChar w:fldCharType="end"/>
            </w:r>
          </w:hyperlink>
        </w:p>
        <w:p w14:paraId="2C5FB8AE" w14:textId="1F58C190" w:rsidR="00724275" w:rsidRDefault="004C4253">
          <w:pPr>
            <w:pStyle w:val="TOC2"/>
            <w:tabs>
              <w:tab w:val="left" w:pos="660"/>
            </w:tabs>
            <w:rPr>
              <w:rFonts w:eastAsiaTheme="minorEastAsia" w:cstheme="minorBidi"/>
              <w:smallCaps w:val="0"/>
              <w:noProof/>
              <w:sz w:val="22"/>
              <w:szCs w:val="22"/>
              <w:lang w:eastAsia="en-AU"/>
            </w:rPr>
          </w:pPr>
          <w:hyperlink w:anchor="_Toc135390640" w:history="1">
            <w:r w:rsidR="00724275" w:rsidRPr="00CD7585">
              <w:rPr>
                <w:rStyle w:val="Hyperlink"/>
                <w:noProof/>
              </w:rPr>
              <w:t>5.</w:t>
            </w:r>
            <w:r w:rsidR="00724275">
              <w:rPr>
                <w:rFonts w:eastAsiaTheme="minorEastAsia" w:cstheme="minorBidi"/>
                <w:smallCaps w:val="0"/>
                <w:noProof/>
                <w:sz w:val="22"/>
                <w:szCs w:val="22"/>
                <w:lang w:eastAsia="en-AU"/>
              </w:rPr>
              <w:tab/>
            </w:r>
            <w:r w:rsidR="00724275" w:rsidRPr="00CD7585">
              <w:rPr>
                <w:rStyle w:val="Hyperlink"/>
                <w:noProof/>
              </w:rPr>
              <w:t>Governance and Compliance of Standards and Permit Conditions</w:t>
            </w:r>
            <w:r w:rsidR="00724275">
              <w:rPr>
                <w:noProof/>
                <w:webHidden/>
              </w:rPr>
              <w:tab/>
            </w:r>
            <w:r w:rsidR="00724275">
              <w:rPr>
                <w:noProof/>
                <w:webHidden/>
              </w:rPr>
              <w:fldChar w:fldCharType="begin"/>
            </w:r>
            <w:r w:rsidR="00724275">
              <w:rPr>
                <w:noProof/>
                <w:webHidden/>
              </w:rPr>
              <w:instrText xml:space="preserve"> PAGEREF _Toc135390640 \h </w:instrText>
            </w:r>
            <w:r w:rsidR="00724275">
              <w:rPr>
                <w:noProof/>
                <w:webHidden/>
              </w:rPr>
            </w:r>
            <w:r w:rsidR="00724275">
              <w:rPr>
                <w:noProof/>
                <w:webHidden/>
              </w:rPr>
              <w:fldChar w:fldCharType="separate"/>
            </w:r>
            <w:r w:rsidR="00796527">
              <w:rPr>
                <w:noProof/>
                <w:webHidden/>
              </w:rPr>
              <w:t>62</w:t>
            </w:r>
            <w:r w:rsidR="00724275">
              <w:rPr>
                <w:noProof/>
                <w:webHidden/>
              </w:rPr>
              <w:fldChar w:fldCharType="end"/>
            </w:r>
          </w:hyperlink>
        </w:p>
        <w:p w14:paraId="6F3CC067" w14:textId="2F1BEDA4" w:rsidR="00724275" w:rsidRDefault="004C4253">
          <w:pPr>
            <w:pStyle w:val="TOC3"/>
            <w:rPr>
              <w:rFonts w:eastAsiaTheme="minorEastAsia" w:cstheme="minorBidi"/>
              <w:i w:val="0"/>
              <w:iCs w:val="0"/>
              <w:noProof/>
              <w:sz w:val="22"/>
              <w:szCs w:val="22"/>
              <w:lang w:eastAsia="en-AU"/>
            </w:rPr>
          </w:pPr>
          <w:hyperlink w:anchor="_Toc135390641"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_Toc135390641 \h </w:instrText>
            </w:r>
            <w:r w:rsidR="00724275">
              <w:rPr>
                <w:noProof/>
                <w:webHidden/>
              </w:rPr>
            </w:r>
            <w:r w:rsidR="00724275">
              <w:rPr>
                <w:noProof/>
                <w:webHidden/>
              </w:rPr>
              <w:fldChar w:fldCharType="separate"/>
            </w:r>
            <w:r w:rsidR="00796527">
              <w:rPr>
                <w:noProof/>
                <w:webHidden/>
              </w:rPr>
              <w:t>62</w:t>
            </w:r>
            <w:r w:rsidR="00724275">
              <w:rPr>
                <w:noProof/>
                <w:webHidden/>
              </w:rPr>
              <w:fldChar w:fldCharType="end"/>
            </w:r>
          </w:hyperlink>
        </w:p>
        <w:p w14:paraId="08AE1D6B" w14:textId="7492BF7D" w:rsidR="00724275" w:rsidRDefault="004C4253">
          <w:pPr>
            <w:pStyle w:val="TOC3"/>
            <w:rPr>
              <w:rFonts w:eastAsiaTheme="minorEastAsia" w:cstheme="minorBidi"/>
              <w:i w:val="0"/>
              <w:iCs w:val="0"/>
              <w:noProof/>
              <w:sz w:val="22"/>
              <w:szCs w:val="22"/>
              <w:lang w:eastAsia="en-AU"/>
            </w:rPr>
          </w:pPr>
          <w:hyperlink w:anchor="_Toc135390642" w:history="1">
            <w:r w:rsidR="00724275" w:rsidRPr="00CD7585">
              <w:rPr>
                <w:rStyle w:val="Hyperlink"/>
                <w:noProof/>
              </w:rPr>
              <w:t>Compliance Complaints</w:t>
            </w:r>
            <w:r w:rsidR="00724275">
              <w:rPr>
                <w:noProof/>
                <w:webHidden/>
              </w:rPr>
              <w:tab/>
            </w:r>
            <w:r w:rsidR="00724275">
              <w:rPr>
                <w:noProof/>
                <w:webHidden/>
              </w:rPr>
              <w:fldChar w:fldCharType="begin"/>
            </w:r>
            <w:r w:rsidR="00724275">
              <w:rPr>
                <w:noProof/>
                <w:webHidden/>
              </w:rPr>
              <w:instrText xml:space="preserve"> PAGEREF _Toc135390642 \h </w:instrText>
            </w:r>
            <w:r w:rsidR="00724275">
              <w:rPr>
                <w:noProof/>
                <w:webHidden/>
              </w:rPr>
            </w:r>
            <w:r w:rsidR="00724275">
              <w:rPr>
                <w:noProof/>
                <w:webHidden/>
              </w:rPr>
              <w:fldChar w:fldCharType="separate"/>
            </w:r>
            <w:r w:rsidR="00796527">
              <w:rPr>
                <w:noProof/>
                <w:webHidden/>
              </w:rPr>
              <w:t>62</w:t>
            </w:r>
            <w:r w:rsidR="00724275">
              <w:rPr>
                <w:noProof/>
                <w:webHidden/>
              </w:rPr>
              <w:fldChar w:fldCharType="end"/>
            </w:r>
          </w:hyperlink>
        </w:p>
        <w:p w14:paraId="1AAB37DD" w14:textId="079A61F6" w:rsidR="00724275" w:rsidRDefault="004C4253">
          <w:pPr>
            <w:pStyle w:val="TOC3"/>
            <w:rPr>
              <w:rFonts w:eastAsiaTheme="minorEastAsia" w:cstheme="minorBidi"/>
              <w:i w:val="0"/>
              <w:iCs w:val="0"/>
              <w:noProof/>
              <w:sz w:val="22"/>
              <w:szCs w:val="22"/>
              <w:lang w:eastAsia="en-AU"/>
            </w:rPr>
          </w:pPr>
          <w:hyperlink w:anchor="_Toc135390643" w:history="1">
            <w:r w:rsidR="00724275" w:rsidRPr="00CD7585">
              <w:rPr>
                <w:rStyle w:val="Hyperlink"/>
                <w:noProof/>
              </w:rPr>
              <w:t>Interpretation and Consistency of Standards</w:t>
            </w:r>
            <w:r w:rsidR="00724275">
              <w:rPr>
                <w:noProof/>
                <w:webHidden/>
              </w:rPr>
              <w:tab/>
            </w:r>
            <w:r w:rsidR="00724275">
              <w:rPr>
                <w:noProof/>
                <w:webHidden/>
              </w:rPr>
              <w:fldChar w:fldCharType="begin"/>
            </w:r>
            <w:r w:rsidR="00724275">
              <w:rPr>
                <w:noProof/>
                <w:webHidden/>
              </w:rPr>
              <w:instrText xml:space="preserve"> PAGEREF _Toc135390643 \h </w:instrText>
            </w:r>
            <w:r w:rsidR="00724275">
              <w:rPr>
                <w:noProof/>
                <w:webHidden/>
              </w:rPr>
            </w:r>
            <w:r w:rsidR="00724275">
              <w:rPr>
                <w:noProof/>
                <w:webHidden/>
              </w:rPr>
              <w:fldChar w:fldCharType="separate"/>
            </w:r>
            <w:r w:rsidR="00796527">
              <w:rPr>
                <w:noProof/>
                <w:webHidden/>
              </w:rPr>
              <w:t>62</w:t>
            </w:r>
            <w:r w:rsidR="00724275">
              <w:rPr>
                <w:noProof/>
                <w:webHidden/>
              </w:rPr>
              <w:fldChar w:fldCharType="end"/>
            </w:r>
          </w:hyperlink>
        </w:p>
        <w:p w14:paraId="358AD049" w14:textId="2A9DAF68" w:rsidR="00724275" w:rsidRDefault="004C4253">
          <w:pPr>
            <w:pStyle w:val="TOC3"/>
            <w:rPr>
              <w:rFonts w:eastAsiaTheme="minorEastAsia" w:cstheme="minorBidi"/>
              <w:i w:val="0"/>
              <w:iCs w:val="0"/>
              <w:noProof/>
              <w:sz w:val="22"/>
              <w:szCs w:val="22"/>
              <w:lang w:eastAsia="en-AU"/>
            </w:rPr>
          </w:pPr>
          <w:hyperlink w:anchor="_Toc135390644" w:history="1">
            <w:r w:rsidR="00724275" w:rsidRPr="00CD7585">
              <w:rPr>
                <w:rStyle w:val="Hyperlink"/>
                <w:noProof/>
              </w:rPr>
              <w:t>Noise Limits and Criteria</w:t>
            </w:r>
            <w:r w:rsidR="00724275">
              <w:rPr>
                <w:noProof/>
                <w:webHidden/>
              </w:rPr>
              <w:tab/>
            </w:r>
            <w:r w:rsidR="00724275">
              <w:rPr>
                <w:noProof/>
                <w:webHidden/>
              </w:rPr>
              <w:fldChar w:fldCharType="begin"/>
            </w:r>
            <w:r w:rsidR="00724275">
              <w:rPr>
                <w:noProof/>
                <w:webHidden/>
              </w:rPr>
              <w:instrText xml:space="preserve"> PAGEREF _Toc135390644 \h </w:instrText>
            </w:r>
            <w:r w:rsidR="00724275">
              <w:rPr>
                <w:noProof/>
                <w:webHidden/>
              </w:rPr>
            </w:r>
            <w:r w:rsidR="00724275">
              <w:rPr>
                <w:noProof/>
                <w:webHidden/>
              </w:rPr>
              <w:fldChar w:fldCharType="separate"/>
            </w:r>
            <w:r w:rsidR="00796527">
              <w:rPr>
                <w:noProof/>
                <w:webHidden/>
              </w:rPr>
              <w:t>63</w:t>
            </w:r>
            <w:r w:rsidR="00724275">
              <w:rPr>
                <w:noProof/>
                <w:webHidden/>
              </w:rPr>
              <w:fldChar w:fldCharType="end"/>
            </w:r>
          </w:hyperlink>
        </w:p>
        <w:p w14:paraId="2965406F" w14:textId="1BB8592C" w:rsidR="00724275" w:rsidRDefault="004C4253">
          <w:pPr>
            <w:pStyle w:val="TOC3"/>
            <w:rPr>
              <w:rFonts w:eastAsiaTheme="minorEastAsia" w:cstheme="minorBidi"/>
              <w:i w:val="0"/>
              <w:iCs w:val="0"/>
              <w:noProof/>
              <w:sz w:val="22"/>
              <w:szCs w:val="22"/>
              <w:lang w:eastAsia="en-AU"/>
            </w:rPr>
          </w:pPr>
          <w:hyperlink w:anchor="_Toc135390645" w:history="1">
            <w:r w:rsidR="00724275" w:rsidRPr="00CD7585">
              <w:rPr>
                <w:rStyle w:val="Hyperlink"/>
                <w:noProof/>
              </w:rPr>
              <w:t>Setback Distances</w:t>
            </w:r>
            <w:r w:rsidR="00724275">
              <w:rPr>
                <w:noProof/>
                <w:webHidden/>
              </w:rPr>
              <w:tab/>
            </w:r>
            <w:r w:rsidR="00724275">
              <w:rPr>
                <w:noProof/>
                <w:webHidden/>
              </w:rPr>
              <w:fldChar w:fldCharType="begin"/>
            </w:r>
            <w:r w:rsidR="00724275">
              <w:rPr>
                <w:noProof/>
                <w:webHidden/>
              </w:rPr>
              <w:instrText xml:space="preserve"> PAGEREF _Toc135390645 \h </w:instrText>
            </w:r>
            <w:r w:rsidR="00724275">
              <w:rPr>
                <w:noProof/>
                <w:webHidden/>
              </w:rPr>
            </w:r>
            <w:r w:rsidR="00724275">
              <w:rPr>
                <w:noProof/>
                <w:webHidden/>
              </w:rPr>
              <w:fldChar w:fldCharType="separate"/>
            </w:r>
            <w:r w:rsidR="00796527">
              <w:rPr>
                <w:noProof/>
                <w:webHidden/>
              </w:rPr>
              <w:t>64</w:t>
            </w:r>
            <w:r w:rsidR="00724275">
              <w:rPr>
                <w:noProof/>
                <w:webHidden/>
              </w:rPr>
              <w:fldChar w:fldCharType="end"/>
            </w:r>
          </w:hyperlink>
        </w:p>
        <w:p w14:paraId="2C65B9D8" w14:textId="14D2083B" w:rsidR="00724275" w:rsidRDefault="004C4253">
          <w:pPr>
            <w:pStyle w:val="TOC3"/>
            <w:rPr>
              <w:rFonts w:eastAsiaTheme="minorEastAsia" w:cstheme="minorBidi"/>
              <w:i w:val="0"/>
              <w:iCs w:val="0"/>
              <w:noProof/>
              <w:sz w:val="22"/>
              <w:szCs w:val="22"/>
              <w:lang w:eastAsia="en-AU"/>
            </w:rPr>
          </w:pPr>
          <w:hyperlink w:anchor="_Toc135390646" w:history="1">
            <w:r w:rsidR="00724275" w:rsidRPr="00CD7585">
              <w:rPr>
                <w:rStyle w:val="Hyperlink"/>
                <w:noProof/>
              </w:rPr>
              <w:t>Shadow Flicker</w:t>
            </w:r>
            <w:r w:rsidR="00724275">
              <w:rPr>
                <w:noProof/>
                <w:webHidden/>
              </w:rPr>
              <w:tab/>
            </w:r>
            <w:r w:rsidR="00724275">
              <w:rPr>
                <w:noProof/>
                <w:webHidden/>
              </w:rPr>
              <w:fldChar w:fldCharType="begin"/>
            </w:r>
            <w:r w:rsidR="00724275">
              <w:rPr>
                <w:noProof/>
                <w:webHidden/>
              </w:rPr>
              <w:instrText xml:space="preserve"> PAGEREF _Toc135390646 \h </w:instrText>
            </w:r>
            <w:r w:rsidR="00724275">
              <w:rPr>
                <w:noProof/>
                <w:webHidden/>
              </w:rPr>
            </w:r>
            <w:r w:rsidR="00724275">
              <w:rPr>
                <w:noProof/>
                <w:webHidden/>
              </w:rPr>
              <w:fldChar w:fldCharType="separate"/>
            </w:r>
            <w:r w:rsidR="00796527">
              <w:rPr>
                <w:noProof/>
                <w:webHidden/>
              </w:rPr>
              <w:t>65</w:t>
            </w:r>
            <w:r w:rsidR="00724275">
              <w:rPr>
                <w:noProof/>
                <w:webHidden/>
              </w:rPr>
              <w:fldChar w:fldCharType="end"/>
            </w:r>
          </w:hyperlink>
        </w:p>
        <w:p w14:paraId="55974CF0" w14:textId="041E7407" w:rsidR="00724275" w:rsidRDefault="004C4253">
          <w:pPr>
            <w:pStyle w:val="TOC3"/>
            <w:rPr>
              <w:rFonts w:eastAsiaTheme="minorEastAsia" w:cstheme="minorBidi"/>
              <w:i w:val="0"/>
              <w:iCs w:val="0"/>
              <w:noProof/>
              <w:sz w:val="22"/>
              <w:szCs w:val="22"/>
              <w:lang w:eastAsia="en-AU"/>
            </w:rPr>
          </w:pPr>
          <w:hyperlink w:anchor="_Toc135390647" w:history="1">
            <w:r w:rsidR="00724275" w:rsidRPr="00CD7585">
              <w:rPr>
                <w:rStyle w:val="Hyperlink"/>
                <w:noProof/>
              </w:rPr>
              <w:t>Guidelines for Solar Farms</w:t>
            </w:r>
            <w:r w:rsidR="00724275">
              <w:rPr>
                <w:noProof/>
                <w:webHidden/>
              </w:rPr>
              <w:tab/>
            </w:r>
            <w:r w:rsidR="00724275">
              <w:rPr>
                <w:noProof/>
                <w:webHidden/>
              </w:rPr>
              <w:fldChar w:fldCharType="begin"/>
            </w:r>
            <w:r w:rsidR="00724275">
              <w:rPr>
                <w:noProof/>
                <w:webHidden/>
              </w:rPr>
              <w:instrText xml:space="preserve"> PAGEREF _Toc135390647 \h </w:instrText>
            </w:r>
            <w:r w:rsidR="00724275">
              <w:rPr>
                <w:noProof/>
                <w:webHidden/>
              </w:rPr>
            </w:r>
            <w:r w:rsidR="00724275">
              <w:rPr>
                <w:noProof/>
                <w:webHidden/>
              </w:rPr>
              <w:fldChar w:fldCharType="separate"/>
            </w:r>
            <w:r w:rsidR="00796527">
              <w:rPr>
                <w:noProof/>
                <w:webHidden/>
              </w:rPr>
              <w:t>66</w:t>
            </w:r>
            <w:r w:rsidR="00724275">
              <w:rPr>
                <w:noProof/>
                <w:webHidden/>
              </w:rPr>
              <w:fldChar w:fldCharType="end"/>
            </w:r>
          </w:hyperlink>
        </w:p>
        <w:p w14:paraId="286F793E" w14:textId="3F414CA8" w:rsidR="00724275" w:rsidRDefault="004C4253">
          <w:pPr>
            <w:pStyle w:val="TOC3"/>
            <w:rPr>
              <w:rFonts w:eastAsiaTheme="minorEastAsia" w:cstheme="minorBidi"/>
              <w:i w:val="0"/>
              <w:iCs w:val="0"/>
              <w:noProof/>
              <w:sz w:val="22"/>
              <w:szCs w:val="22"/>
              <w:lang w:eastAsia="en-AU"/>
            </w:rPr>
          </w:pPr>
          <w:hyperlink w:anchor="_Toc135390648" w:history="1">
            <w:r w:rsidR="00724275" w:rsidRPr="00CD7585">
              <w:rPr>
                <w:rStyle w:val="Hyperlink"/>
                <w:noProof/>
              </w:rPr>
              <w:t>Harmonisation of Standards</w:t>
            </w:r>
            <w:r w:rsidR="00724275">
              <w:rPr>
                <w:noProof/>
                <w:webHidden/>
              </w:rPr>
              <w:tab/>
            </w:r>
            <w:r w:rsidR="00724275">
              <w:rPr>
                <w:noProof/>
                <w:webHidden/>
              </w:rPr>
              <w:fldChar w:fldCharType="begin"/>
            </w:r>
            <w:r w:rsidR="00724275">
              <w:rPr>
                <w:noProof/>
                <w:webHidden/>
              </w:rPr>
              <w:instrText xml:space="preserve"> PAGEREF _Toc135390648 \h </w:instrText>
            </w:r>
            <w:r w:rsidR="00724275">
              <w:rPr>
                <w:noProof/>
                <w:webHidden/>
              </w:rPr>
            </w:r>
            <w:r w:rsidR="00724275">
              <w:rPr>
                <w:noProof/>
                <w:webHidden/>
              </w:rPr>
              <w:fldChar w:fldCharType="separate"/>
            </w:r>
            <w:r w:rsidR="00796527">
              <w:rPr>
                <w:noProof/>
                <w:webHidden/>
              </w:rPr>
              <w:t>66</w:t>
            </w:r>
            <w:r w:rsidR="00724275">
              <w:rPr>
                <w:noProof/>
                <w:webHidden/>
              </w:rPr>
              <w:fldChar w:fldCharType="end"/>
            </w:r>
          </w:hyperlink>
        </w:p>
        <w:p w14:paraId="578B0222" w14:textId="3259BEA1" w:rsidR="00724275" w:rsidRDefault="004C4253">
          <w:pPr>
            <w:pStyle w:val="TOC3"/>
            <w:rPr>
              <w:rFonts w:eastAsiaTheme="minorEastAsia" w:cstheme="minorBidi"/>
              <w:i w:val="0"/>
              <w:iCs w:val="0"/>
              <w:noProof/>
              <w:sz w:val="22"/>
              <w:szCs w:val="22"/>
              <w:lang w:eastAsia="en-AU"/>
            </w:rPr>
          </w:pPr>
          <w:hyperlink w:anchor="_Toc135390649" w:history="1">
            <w:r w:rsidR="00724275" w:rsidRPr="00CD7585">
              <w:rPr>
                <w:rStyle w:val="Hyperlink"/>
                <w:noProof/>
              </w:rPr>
              <w:t>Large-scale Transmission (new build)</w:t>
            </w:r>
            <w:r w:rsidR="00724275">
              <w:rPr>
                <w:noProof/>
                <w:webHidden/>
              </w:rPr>
              <w:tab/>
            </w:r>
            <w:r w:rsidR="00724275">
              <w:rPr>
                <w:noProof/>
                <w:webHidden/>
              </w:rPr>
              <w:fldChar w:fldCharType="begin"/>
            </w:r>
            <w:r w:rsidR="00724275">
              <w:rPr>
                <w:noProof/>
                <w:webHidden/>
              </w:rPr>
              <w:instrText xml:space="preserve"> PAGEREF _Toc135390649 \h </w:instrText>
            </w:r>
            <w:r w:rsidR="00724275">
              <w:rPr>
                <w:noProof/>
                <w:webHidden/>
              </w:rPr>
            </w:r>
            <w:r w:rsidR="00724275">
              <w:rPr>
                <w:noProof/>
                <w:webHidden/>
              </w:rPr>
              <w:fldChar w:fldCharType="separate"/>
            </w:r>
            <w:r w:rsidR="00796527">
              <w:rPr>
                <w:noProof/>
                <w:webHidden/>
              </w:rPr>
              <w:t>67</w:t>
            </w:r>
            <w:r w:rsidR="00724275">
              <w:rPr>
                <w:noProof/>
                <w:webHidden/>
              </w:rPr>
              <w:fldChar w:fldCharType="end"/>
            </w:r>
          </w:hyperlink>
        </w:p>
        <w:p w14:paraId="0ADDBE8D" w14:textId="006BE7AD" w:rsidR="00724275" w:rsidRDefault="004C4253">
          <w:pPr>
            <w:pStyle w:val="TOC3"/>
            <w:rPr>
              <w:rFonts w:eastAsiaTheme="minorEastAsia" w:cstheme="minorBidi"/>
              <w:i w:val="0"/>
              <w:iCs w:val="0"/>
              <w:noProof/>
              <w:sz w:val="22"/>
              <w:szCs w:val="22"/>
              <w:lang w:eastAsia="en-AU"/>
            </w:rPr>
          </w:pPr>
          <w:hyperlink w:anchor="_Toc135390650" w:history="1">
            <w:r w:rsidR="00724275" w:rsidRPr="00CD7585">
              <w:rPr>
                <w:rStyle w:val="Hyperlink"/>
                <w:noProof/>
              </w:rPr>
              <w:t>Deemed Compliance</w:t>
            </w:r>
            <w:r w:rsidR="00724275">
              <w:rPr>
                <w:noProof/>
                <w:webHidden/>
              </w:rPr>
              <w:tab/>
            </w:r>
            <w:r w:rsidR="00724275">
              <w:rPr>
                <w:noProof/>
                <w:webHidden/>
              </w:rPr>
              <w:fldChar w:fldCharType="begin"/>
            </w:r>
            <w:r w:rsidR="00724275">
              <w:rPr>
                <w:noProof/>
                <w:webHidden/>
              </w:rPr>
              <w:instrText xml:space="preserve"> PAGEREF _Toc135390650 \h </w:instrText>
            </w:r>
            <w:r w:rsidR="00724275">
              <w:rPr>
                <w:noProof/>
                <w:webHidden/>
              </w:rPr>
            </w:r>
            <w:r w:rsidR="00724275">
              <w:rPr>
                <w:noProof/>
                <w:webHidden/>
              </w:rPr>
              <w:fldChar w:fldCharType="separate"/>
            </w:r>
            <w:r w:rsidR="00796527">
              <w:rPr>
                <w:noProof/>
                <w:webHidden/>
              </w:rPr>
              <w:t>67</w:t>
            </w:r>
            <w:r w:rsidR="00724275">
              <w:rPr>
                <w:noProof/>
                <w:webHidden/>
              </w:rPr>
              <w:fldChar w:fldCharType="end"/>
            </w:r>
          </w:hyperlink>
        </w:p>
        <w:p w14:paraId="77E3E5C9" w14:textId="089B1E0F" w:rsidR="00724275" w:rsidRDefault="004C4253">
          <w:pPr>
            <w:pStyle w:val="TOC2"/>
            <w:tabs>
              <w:tab w:val="left" w:pos="660"/>
            </w:tabs>
            <w:rPr>
              <w:rFonts w:eastAsiaTheme="minorEastAsia" w:cstheme="minorBidi"/>
              <w:smallCaps w:val="0"/>
              <w:noProof/>
              <w:sz w:val="22"/>
              <w:szCs w:val="22"/>
              <w:lang w:eastAsia="en-AU"/>
            </w:rPr>
          </w:pPr>
          <w:hyperlink w:anchor="_Toc135390651" w:history="1">
            <w:r w:rsidR="00724275" w:rsidRPr="00CD7585">
              <w:rPr>
                <w:rStyle w:val="Hyperlink"/>
                <w:noProof/>
              </w:rPr>
              <w:t>6.</w:t>
            </w:r>
            <w:r w:rsidR="00724275">
              <w:rPr>
                <w:rFonts w:eastAsiaTheme="minorEastAsia" w:cstheme="minorBidi"/>
                <w:smallCaps w:val="0"/>
                <w:noProof/>
                <w:sz w:val="22"/>
                <w:szCs w:val="22"/>
                <w:lang w:eastAsia="en-AU"/>
              </w:rPr>
              <w:tab/>
            </w:r>
            <w:r w:rsidR="00724275" w:rsidRPr="00CD7585">
              <w:rPr>
                <w:rStyle w:val="Hyperlink"/>
                <w:noProof/>
              </w:rPr>
              <w:t>Use and Selection of Experts</w:t>
            </w:r>
            <w:r w:rsidR="00724275">
              <w:rPr>
                <w:noProof/>
                <w:webHidden/>
              </w:rPr>
              <w:tab/>
            </w:r>
            <w:r w:rsidR="00724275">
              <w:rPr>
                <w:noProof/>
                <w:webHidden/>
              </w:rPr>
              <w:fldChar w:fldCharType="begin"/>
            </w:r>
            <w:r w:rsidR="00724275">
              <w:rPr>
                <w:noProof/>
                <w:webHidden/>
              </w:rPr>
              <w:instrText xml:space="preserve"> PAGEREF _Toc135390651 \h </w:instrText>
            </w:r>
            <w:r w:rsidR="00724275">
              <w:rPr>
                <w:noProof/>
                <w:webHidden/>
              </w:rPr>
            </w:r>
            <w:r w:rsidR="00724275">
              <w:rPr>
                <w:noProof/>
                <w:webHidden/>
              </w:rPr>
              <w:fldChar w:fldCharType="separate"/>
            </w:r>
            <w:r w:rsidR="00796527">
              <w:rPr>
                <w:noProof/>
                <w:webHidden/>
              </w:rPr>
              <w:t>73</w:t>
            </w:r>
            <w:r w:rsidR="00724275">
              <w:rPr>
                <w:noProof/>
                <w:webHidden/>
              </w:rPr>
              <w:fldChar w:fldCharType="end"/>
            </w:r>
          </w:hyperlink>
        </w:p>
        <w:p w14:paraId="7CF3438E" w14:textId="4DF9CA9C" w:rsidR="00724275" w:rsidRDefault="004C4253">
          <w:pPr>
            <w:pStyle w:val="TOC3"/>
            <w:rPr>
              <w:rFonts w:eastAsiaTheme="minorEastAsia" w:cstheme="minorBidi"/>
              <w:i w:val="0"/>
              <w:iCs w:val="0"/>
              <w:noProof/>
              <w:sz w:val="22"/>
              <w:szCs w:val="22"/>
              <w:lang w:eastAsia="en-AU"/>
            </w:rPr>
          </w:pPr>
          <w:hyperlink w:anchor="_Toc135390652" w:history="1">
            <w:r w:rsidR="00724275" w:rsidRPr="00CD7585">
              <w:rPr>
                <w:rStyle w:val="Hyperlink"/>
                <w:noProof/>
              </w:rPr>
              <w:t>Background</w:t>
            </w:r>
            <w:r w:rsidR="00724275">
              <w:rPr>
                <w:noProof/>
                <w:webHidden/>
              </w:rPr>
              <w:tab/>
            </w:r>
            <w:r w:rsidR="00724275">
              <w:rPr>
                <w:noProof/>
                <w:webHidden/>
              </w:rPr>
              <w:fldChar w:fldCharType="begin"/>
            </w:r>
            <w:r w:rsidR="00724275">
              <w:rPr>
                <w:noProof/>
                <w:webHidden/>
              </w:rPr>
              <w:instrText xml:space="preserve"> PAGEREF _Toc135390652 \h </w:instrText>
            </w:r>
            <w:r w:rsidR="00724275">
              <w:rPr>
                <w:noProof/>
                <w:webHidden/>
              </w:rPr>
            </w:r>
            <w:r w:rsidR="00724275">
              <w:rPr>
                <w:noProof/>
                <w:webHidden/>
              </w:rPr>
              <w:fldChar w:fldCharType="separate"/>
            </w:r>
            <w:r w:rsidR="00796527">
              <w:rPr>
                <w:noProof/>
                <w:webHidden/>
              </w:rPr>
              <w:t>73</w:t>
            </w:r>
            <w:r w:rsidR="00724275">
              <w:rPr>
                <w:noProof/>
                <w:webHidden/>
              </w:rPr>
              <w:fldChar w:fldCharType="end"/>
            </w:r>
          </w:hyperlink>
        </w:p>
        <w:p w14:paraId="1B73A263" w14:textId="30D3C303" w:rsidR="00724275" w:rsidRDefault="004C4253">
          <w:pPr>
            <w:pStyle w:val="TOC3"/>
            <w:rPr>
              <w:rFonts w:eastAsiaTheme="minorEastAsia" w:cstheme="minorBidi"/>
              <w:i w:val="0"/>
              <w:iCs w:val="0"/>
              <w:noProof/>
              <w:sz w:val="22"/>
              <w:szCs w:val="22"/>
              <w:lang w:eastAsia="en-AU"/>
            </w:rPr>
          </w:pPr>
          <w:hyperlink w:anchor="_Toc135390653" w:history="1">
            <w:r w:rsidR="00724275" w:rsidRPr="00CD7585">
              <w:rPr>
                <w:rStyle w:val="Hyperlink"/>
                <w:noProof/>
              </w:rPr>
              <w:t>Process and conflicts</w:t>
            </w:r>
            <w:r w:rsidR="00724275">
              <w:rPr>
                <w:noProof/>
                <w:webHidden/>
              </w:rPr>
              <w:tab/>
            </w:r>
            <w:r w:rsidR="00724275">
              <w:rPr>
                <w:noProof/>
                <w:webHidden/>
              </w:rPr>
              <w:fldChar w:fldCharType="begin"/>
            </w:r>
            <w:r w:rsidR="00724275">
              <w:rPr>
                <w:noProof/>
                <w:webHidden/>
              </w:rPr>
              <w:instrText xml:space="preserve"> PAGEREF _Toc135390653 \h </w:instrText>
            </w:r>
            <w:r w:rsidR="00724275">
              <w:rPr>
                <w:noProof/>
                <w:webHidden/>
              </w:rPr>
            </w:r>
            <w:r w:rsidR="00724275">
              <w:rPr>
                <w:noProof/>
                <w:webHidden/>
              </w:rPr>
              <w:fldChar w:fldCharType="separate"/>
            </w:r>
            <w:r w:rsidR="00796527">
              <w:rPr>
                <w:noProof/>
                <w:webHidden/>
              </w:rPr>
              <w:t>73</w:t>
            </w:r>
            <w:r w:rsidR="00724275">
              <w:rPr>
                <w:noProof/>
                <w:webHidden/>
              </w:rPr>
              <w:fldChar w:fldCharType="end"/>
            </w:r>
          </w:hyperlink>
        </w:p>
        <w:p w14:paraId="3E2976EC" w14:textId="1320A349" w:rsidR="00724275" w:rsidRDefault="004C4253">
          <w:pPr>
            <w:pStyle w:val="TOC3"/>
            <w:rPr>
              <w:rFonts w:eastAsiaTheme="minorEastAsia" w:cstheme="minorBidi"/>
              <w:i w:val="0"/>
              <w:iCs w:val="0"/>
              <w:noProof/>
              <w:sz w:val="22"/>
              <w:szCs w:val="22"/>
              <w:lang w:eastAsia="en-AU"/>
            </w:rPr>
          </w:pPr>
          <w:hyperlink w:anchor="_Toc135390654" w:history="1">
            <w:r w:rsidR="00724275" w:rsidRPr="00CD7585">
              <w:rPr>
                <w:rStyle w:val="Hyperlink"/>
                <w:noProof/>
              </w:rPr>
              <w:t>Best practices</w:t>
            </w:r>
            <w:r w:rsidR="00724275">
              <w:rPr>
                <w:noProof/>
                <w:webHidden/>
              </w:rPr>
              <w:tab/>
            </w:r>
            <w:r w:rsidR="00724275">
              <w:rPr>
                <w:noProof/>
                <w:webHidden/>
              </w:rPr>
              <w:fldChar w:fldCharType="begin"/>
            </w:r>
            <w:r w:rsidR="00724275">
              <w:rPr>
                <w:noProof/>
                <w:webHidden/>
              </w:rPr>
              <w:instrText xml:space="preserve"> PAGEREF _Toc135390654 \h </w:instrText>
            </w:r>
            <w:r w:rsidR="00724275">
              <w:rPr>
                <w:noProof/>
                <w:webHidden/>
              </w:rPr>
            </w:r>
            <w:r w:rsidR="00724275">
              <w:rPr>
                <w:noProof/>
                <w:webHidden/>
              </w:rPr>
              <w:fldChar w:fldCharType="separate"/>
            </w:r>
            <w:r w:rsidR="00796527">
              <w:rPr>
                <w:noProof/>
                <w:webHidden/>
              </w:rPr>
              <w:t>74</w:t>
            </w:r>
            <w:r w:rsidR="00724275">
              <w:rPr>
                <w:noProof/>
                <w:webHidden/>
              </w:rPr>
              <w:fldChar w:fldCharType="end"/>
            </w:r>
          </w:hyperlink>
        </w:p>
        <w:p w14:paraId="57C41619" w14:textId="2F48766E" w:rsidR="00724275" w:rsidRDefault="004C4253">
          <w:pPr>
            <w:pStyle w:val="TOC2"/>
            <w:tabs>
              <w:tab w:val="left" w:pos="660"/>
            </w:tabs>
            <w:rPr>
              <w:rFonts w:eastAsiaTheme="minorEastAsia" w:cstheme="minorBidi"/>
              <w:smallCaps w:val="0"/>
              <w:noProof/>
              <w:sz w:val="22"/>
              <w:szCs w:val="22"/>
              <w:lang w:eastAsia="en-AU"/>
            </w:rPr>
          </w:pPr>
          <w:hyperlink w:anchor="_Toc135390655" w:history="1">
            <w:r w:rsidR="00724275" w:rsidRPr="00CD7585">
              <w:rPr>
                <w:rStyle w:val="Hyperlink"/>
                <w:noProof/>
              </w:rPr>
              <w:t>7.</w:t>
            </w:r>
            <w:r w:rsidR="00724275">
              <w:rPr>
                <w:rFonts w:eastAsiaTheme="minorEastAsia" w:cstheme="minorBidi"/>
                <w:smallCaps w:val="0"/>
                <w:noProof/>
                <w:sz w:val="22"/>
                <w:szCs w:val="22"/>
                <w:lang w:eastAsia="en-AU"/>
              </w:rPr>
              <w:tab/>
            </w:r>
            <w:r w:rsidR="00724275" w:rsidRPr="00CD7585">
              <w:rPr>
                <w:rStyle w:val="Hyperlink"/>
                <w:noProof/>
              </w:rPr>
              <w:t>Complaint Handling and Emergency Procedures</w:t>
            </w:r>
            <w:r w:rsidR="00724275">
              <w:rPr>
                <w:noProof/>
                <w:webHidden/>
              </w:rPr>
              <w:tab/>
            </w:r>
            <w:r w:rsidR="00724275">
              <w:rPr>
                <w:noProof/>
                <w:webHidden/>
              </w:rPr>
              <w:fldChar w:fldCharType="begin"/>
            </w:r>
            <w:r w:rsidR="00724275">
              <w:rPr>
                <w:noProof/>
                <w:webHidden/>
              </w:rPr>
              <w:instrText xml:space="preserve"> PAGEREF _Toc135390655 \h </w:instrText>
            </w:r>
            <w:r w:rsidR="00724275">
              <w:rPr>
                <w:noProof/>
                <w:webHidden/>
              </w:rPr>
            </w:r>
            <w:r w:rsidR="00724275">
              <w:rPr>
                <w:noProof/>
                <w:webHidden/>
              </w:rPr>
              <w:fldChar w:fldCharType="separate"/>
            </w:r>
            <w:r w:rsidR="00796527">
              <w:rPr>
                <w:noProof/>
                <w:webHidden/>
              </w:rPr>
              <w:t>76</w:t>
            </w:r>
            <w:r w:rsidR="00724275">
              <w:rPr>
                <w:noProof/>
                <w:webHidden/>
              </w:rPr>
              <w:fldChar w:fldCharType="end"/>
            </w:r>
          </w:hyperlink>
        </w:p>
        <w:p w14:paraId="1890992C" w14:textId="771B20A9" w:rsidR="00724275" w:rsidRDefault="004C4253">
          <w:pPr>
            <w:pStyle w:val="TOC3"/>
            <w:rPr>
              <w:rFonts w:eastAsiaTheme="minorEastAsia" w:cstheme="minorBidi"/>
              <w:i w:val="0"/>
              <w:iCs w:val="0"/>
              <w:noProof/>
              <w:sz w:val="22"/>
              <w:szCs w:val="22"/>
              <w:lang w:eastAsia="en-AU"/>
            </w:rPr>
          </w:pPr>
          <w:hyperlink w:anchor="_Toc135390656" w:history="1">
            <w:r w:rsidR="00724275" w:rsidRPr="00CD7585">
              <w:rPr>
                <w:rStyle w:val="Hyperlink"/>
                <w:noProof/>
              </w:rPr>
              <w:t>Complaint handling</w:t>
            </w:r>
            <w:r w:rsidR="00724275">
              <w:rPr>
                <w:noProof/>
                <w:webHidden/>
              </w:rPr>
              <w:tab/>
            </w:r>
            <w:r w:rsidR="00724275">
              <w:rPr>
                <w:noProof/>
                <w:webHidden/>
              </w:rPr>
              <w:fldChar w:fldCharType="begin"/>
            </w:r>
            <w:r w:rsidR="00724275">
              <w:rPr>
                <w:noProof/>
                <w:webHidden/>
              </w:rPr>
              <w:instrText xml:space="preserve"> PAGEREF _Toc135390656 \h </w:instrText>
            </w:r>
            <w:r w:rsidR="00724275">
              <w:rPr>
                <w:noProof/>
                <w:webHidden/>
              </w:rPr>
            </w:r>
            <w:r w:rsidR="00724275">
              <w:rPr>
                <w:noProof/>
                <w:webHidden/>
              </w:rPr>
              <w:fldChar w:fldCharType="separate"/>
            </w:r>
            <w:r w:rsidR="00796527">
              <w:rPr>
                <w:noProof/>
                <w:webHidden/>
              </w:rPr>
              <w:t>76</w:t>
            </w:r>
            <w:r w:rsidR="00724275">
              <w:rPr>
                <w:noProof/>
                <w:webHidden/>
              </w:rPr>
              <w:fldChar w:fldCharType="end"/>
            </w:r>
          </w:hyperlink>
        </w:p>
        <w:p w14:paraId="7E50E986" w14:textId="129BCE5A" w:rsidR="00724275" w:rsidRDefault="004C4253">
          <w:pPr>
            <w:pStyle w:val="TOC3"/>
            <w:rPr>
              <w:rFonts w:eastAsiaTheme="minorEastAsia" w:cstheme="minorBidi"/>
              <w:i w:val="0"/>
              <w:iCs w:val="0"/>
              <w:noProof/>
              <w:sz w:val="22"/>
              <w:szCs w:val="22"/>
              <w:lang w:eastAsia="en-AU"/>
            </w:rPr>
          </w:pPr>
          <w:hyperlink w:anchor="_Toc135390657" w:history="1">
            <w:r w:rsidR="00724275" w:rsidRPr="00CD7585">
              <w:rPr>
                <w:rStyle w:val="Hyperlink"/>
                <w:noProof/>
              </w:rPr>
              <w:t>Noise considerations</w:t>
            </w:r>
            <w:r w:rsidR="00724275">
              <w:rPr>
                <w:noProof/>
                <w:webHidden/>
              </w:rPr>
              <w:tab/>
            </w:r>
            <w:r w:rsidR="00724275">
              <w:rPr>
                <w:noProof/>
                <w:webHidden/>
              </w:rPr>
              <w:fldChar w:fldCharType="begin"/>
            </w:r>
            <w:r w:rsidR="00724275">
              <w:rPr>
                <w:noProof/>
                <w:webHidden/>
              </w:rPr>
              <w:instrText xml:space="preserve"> PAGEREF _Toc135390657 \h </w:instrText>
            </w:r>
            <w:r w:rsidR="00724275">
              <w:rPr>
                <w:noProof/>
                <w:webHidden/>
              </w:rPr>
            </w:r>
            <w:r w:rsidR="00724275">
              <w:rPr>
                <w:noProof/>
                <w:webHidden/>
              </w:rPr>
              <w:fldChar w:fldCharType="separate"/>
            </w:r>
            <w:r w:rsidR="00796527">
              <w:rPr>
                <w:noProof/>
                <w:webHidden/>
              </w:rPr>
              <w:t>77</w:t>
            </w:r>
            <w:r w:rsidR="00724275">
              <w:rPr>
                <w:noProof/>
                <w:webHidden/>
              </w:rPr>
              <w:fldChar w:fldCharType="end"/>
            </w:r>
          </w:hyperlink>
        </w:p>
        <w:p w14:paraId="011BB0E5" w14:textId="2B2782E9" w:rsidR="00724275" w:rsidRDefault="004C4253">
          <w:pPr>
            <w:pStyle w:val="TOC3"/>
            <w:rPr>
              <w:rFonts w:eastAsiaTheme="minorEastAsia" w:cstheme="minorBidi"/>
              <w:i w:val="0"/>
              <w:iCs w:val="0"/>
              <w:noProof/>
              <w:sz w:val="22"/>
              <w:szCs w:val="22"/>
              <w:lang w:eastAsia="en-AU"/>
            </w:rPr>
          </w:pPr>
          <w:hyperlink w:anchor="_Toc135390658" w:history="1">
            <w:r w:rsidR="00724275" w:rsidRPr="00CD7585">
              <w:rPr>
                <w:rStyle w:val="Hyperlink"/>
                <w:noProof/>
              </w:rPr>
              <w:t>Permit requirements and complaint avenues</w:t>
            </w:r>
            <w:r w:rsidR="00724275">
              <w:rPr>
                <w:noProof/>
                <w:webHidden/>
              </w:rPr>
              <w:tab/>
            </w:r>
            <w:r w:rsidR="00724275">
              <w:rPr>
                <w:noProof/>
                <w:webHidden/>
              </w:rPr>
              <w:fldChar w:fldCharType="begin"/>
            </w:r>
            <w:r w:rsidR="00724275">
              <w:rPr>
                <w:noProof/>
                <w:webHidden/>
              </w:rPr>
              <w:instrText xml:space="preserve"> PAGEREF _Toc135390658 \h </w:instrText>
            </w:r>
            <w:r w:rsidR="00724275">
              <w:rPr>
                <w:noProof/>
                <w:webHidden/>
              </w:rPr>
            </w:r>
            <w:r w:rsidR="00724275">
              <w:rPr>
                <w:noProof/>
                <w:webHidden/>
              </w:rPr>
              <w:fldChar w:fldCharType="separate"/>
            </w:r>
            <w:r w:rsidR="00796527">
              <w:rPr>
                <w:noProof/>
                <w:webHidden/>
              </w:rPr>
              <w:t>77</w:t>
            </w:r>
            <w:r w:rsidR="00724275">
              <w:rPr>
                <w:noProof/>
                <w:webHidden/>
              </w:rPr>
              <w:fldChar w:fldCharType="end"/>
            </w:r>
          </w:hyperlink>
        </w:p>
        <w:p w14:paraId="1E5DF45F" w14:textId="19BF58B1" w:rsidR="00724275" w:rsidRDefault="004C4253">
          <w:pPr>
            <w:pStyle w:val="TOC3"/>
            <w:rPr>
              <w:rFonts w:eastAsiaTheme="minorEastAsia" w:cstheme="minorBidi"/>
              <w:i w:val="0"/>
              <w:iCs w:val="0"/>
              <w:noProof/>
              <w:sz w:val="22"/>
              <w:szCs w:val="22"/>
              <w:lang w:eastAsia="en-AU"/>
            </w:rPr>
          </w:pPr>
          <w:hyperlink w:anchor="_Toc135390659" w:history="1">
            <w:r w:rsidR="00724275" w:rsidRPr="00CD7585">
              <w:rPr>
                <w:rStyle w:val="Hyperlink"/>
                <w:noProof/>
              </w:rPr>
              <w:t>Emergency procedures</w:t>
            </w:r>
            <w:r w:rsidR="00724275">
              <w:rPr>
                <w:noProof/>
                <w:webHidden/>
              </w:rPr>
              <w:tab/>
            </w:r>
            <w:r w:rsidR="00724275">
              <w:rPr>
                <w:noProof/>
                <w:webHidden/>
              </w:rPr>
              <w:fldChar w:fldCharType="begin"/>
            </w:r>
            <w:r w:rsidR="00724275">
              <w:rPr>
                <w:noProof/>
                <w:webHidden/>
              </w:rPr>
              <w:instrText xml:space="preserve"> PAGEREF _Toc135390659 \h </w:instrText>
            </w:r>
            <w:r w:rsidR="00724275">
              <w:rPr>
                <w:noProof/>
                <w:webHidden/>
              </w:rPr>
            </w:r>
            <w:r w:rsidR="00724275">
              <w:rPr>
                <w:noProof/>
                <w:webHidden/>
              </w:rPr>
              <w:fldChar w:fldCharType="separate"/>
            </w:r>
            <w:r w:rsidR="00796527">
              <w:rPr>
                <w:noProof/>
                <w:webHidden/>
              </w:rPr>
              <w:t>78</w:t>
            </w:r>
            <w:r w:rsidR="00724275">
              <w:rPr>
                <w:noProof/>
                <w:webHidden/>
              </w:rPr>
              <w:fldChar w:fldCharType="end"/>
            </w:r>
          </w:hyperlink>
        </w:p>
        <w:p w14:paraId="34B74A13" w14:textId="71058F14" w:rsidR="00724275" w:rsidRPr="00724275" w:rsidRDefault="004C4253" w:rsidP="00724275">
          <w:pPr>
            <w:pStyle w:val="TOC2"/>
            <w:tabs>
              <w:tab w:val="left" w:pos="660"/>
            </w:tabs>
            <w:rPr>
              <w:rFonts w:eastAsiaTheme="minorEastAsia" w:cstheme="minorBidi"/>
              <w:smallCaps w:val="0"/>
              <w:noProof/>
              <w:sz w:val="22"/>
              <w:szCs w:val="22"/>
              <w:lang w:eastAsia="en-AU"/>
            </w:rPr>
          </w:pPr>
          <w:hyperlink w:anchor="_Toc135390660" w:history="1">
            <w:r w:rsidR="00724275" w:rsidRPr="00CD7585">
              <w:rPr>
                <w:rStyle w:val="Hyperlink"/>
                <w:noProof/>
              </w:rPr>
              <w:t>8.</w:t>
            </w:r>
            <w:r w:rsidR="00724275">
              <w:rPr>
                <w:rFonts w:eastAsiaTheme="minorEastAsia" w:cstheme="minorBidi"/>
                <w:smallCaps w:val="0"/>
                <w:noProof/>
                <w:sz w:val="22"/>
                <w:szCs w:val="22"/>
                <w:lang w:eastAsia="en-AU"/>
              </w:rPr>
              <w:tab/>
            </w:r>
            <w:r w:rsidR="00724275" w:rsidRPr="00CD7585">
              <w:rPr>
                <w:rStyle w:val="Hyperlink"/>
                <w:noProof/>
              </w:rPr>
              <w:t>Site Selection</w:t>
            </w:r>
            <w:r w:rsidR="00724275">
              <w:rPr>
                <w:noProof/>
                <w:webHidden/>
              </w:rPr>
              <w:tab/>
            </w:r>
            <w:r w:rsidR="00724275">
              <w:rPr>
                <w:noProof/>
                <w:webHidden/>
              </w:rPr>
              <w:fldChar w:fldCharType="begin"/>
            </w:r>
            <w:r w:rsidR="00724275">
              <w:rPr>
                <w:noProof/>
                <w:webHidden/>
              </w:rPr>
              <w:instrText xml:space="preserve"> PAGEREF _Toc135390660 \h </w:instrText>
            </w:r>
            <w:r w:rsidR="00724275">
              <w:rPr>
                <w:noProof/>
                <w:webHidden/>
              </w:rPr>
            </w:r>
            <w:r w:rsidR="00724275">
              <w:rPr>
                <w:noProof/>
                <w:webHidden/>
              </w:rPr>
              <w:fldChar w:fldCharType="separate"/>
            </w:r>
            <w:r w:rsidR="00796527">
              <w:rPr>
                <w:noProof/>
                <w:webHidden/>
              </w:rPr>
              <w:t>81</w:t>
            </w:r>
            <w:r w:rsidR="00724275">
              <w:rPr>
                <w:noProof/>
                <w:webHidden/>
              </w:rPr>
              <w:fldChar w:fldCharType="end"/>
            </w:r>
          </w:hyperlink>
        </w:p>
        <w:p w14:paraId="76A19646" w14:textId="57D2C1AF" w:rsidR="00724275" w:rsidRDefault="004C4253">
          <w:pPr>
            <w:pStyle w:val="TOC3"/>
            <w:rPr>
              <w:rFonts w:eastAsiaTheme="minorEastAsia" w:cstheme="minorBidi"/>
              <w:i w:val="0"/>
              <w:iCs w:val="0"/>
              <w:noProof/>
              <w:sz w:val="22"/>
              <w:szCs w:val="22"/>
              <w:lang w:eastAsia="en-AU"/>
            </w:rPr>
          </w:pPr>
          <w:hyperlink w:anchor="_Toc135390662" w:history="1">
            <w:r w:rsidR="00724275" w:rsidRPr="00CD7585">
              <w:rPr>
                <w:rStyle w:val="Hyperlink"/>
                <w:noProof/>
              </w:rPr>
              <w:t>Site impacts</w:t>
            </w:r>
            <w:r w:rsidR="00724275">
              <w:rPr>
                <w:noProof/>
                <w:webHidden/>
              </w:rPr>
              <w:tab/>
            </w:r>
            <w:r w:rsidR="00724275">
              <w:rPr>
                <w:noProof/>
                <w:webHidden/>
              </w:rPr>
              <w:fldChar w:fldCharType="begin"/>
            </w:r>
            <w:r w:rsidR="00724275">
              <w:rPr>
                <w:noProof/>
                <w:webHidden/>
              </w:rPr>
              <w:instrText xml:space="preserve"> PAGEREF _Toc135390662 \h </w:instrText>
            </w:r>
            <w:r w:rsidR="00724275">
              <w:rPr>
                <w:noProof/>
                <w:webHidden/>
              </w:rPr>
            </w:r>
            <w:r w:rsidR="00724275">
              <w:rPr>
                <w:noProof/>
                <w:webHidden/>
              </w:rPr>
              <w:fldChar w:fldCharType="separate"/>
            </w:r>
            <w:r w:rsidR="00796527">
              <w:rPr>
                <w:noProof/>
                <w:webHidden/>
              </w:rPr>
              <w:t>81</w:t>
            </w:r>
            <w:r w:rsidR="00724275">
              <w:rPr>
                <w:noProof/>
                <w:webHidden/>
              </w:rPr>
              <w:fldChar w:fldCharType="end"/>
            </w:r>
          </w:hyperlink>
        </w:p>
        <w:p w14:paraId="300EFC0C" w14:textId="557DF17C" w:rsidR="00724275" w:rsidRDefault="004C4253">
          <w:pPr>
            <w:pStyle w:val="TOC3"/>
            <w:rPr>
              <w:rFonts w:eastAsiaTheme="minorEastAsia" w:cstheme="minorBidi"/>
              <w:i w:val="0"/>
              <w:iCs w:val="0"/>
              <w:noProof/>
              <w:sz w:val="22"/>
              <w:szCs w:val="22"/>
              <w:lang w:eastAsia="en-AU"/>
            </w:rPr>
          </w:pPr>
          <w:hyperlink w:anchor="_Toc135390663" w:history="1">
            <w:r w:rsidR="00724275" w:rsidRPr="00CD7585">
              <w:rPr>
                <w:rStyle w:val="Hyperlink"/>
                <w:noProof/>
              </w:rPr>
              <w:t>Optimising site locations</w:t>
            </w:r>
            <w:r w:rsidR="00724275">
              <w:rPr>
                <w:noProof/>
                <w:webHidden/>
              </w:rPr>
              <w:tab/>
            </w:r>
            <w:r w:rsidR="00724275">
              <w:rPr>
                <w:noProof/>
                <w:webHidden/>
              </w:rPr>
              <w:fldChar w:fldCharType="begin"/>
            </w:r>
            <w:r w:rsidR="00724275">
              <w:rPr>
                <w:noProof/>
                <w:webHidden/>
              </w:rPr>
              <w:instrText xml:space="preserve"> PAGEREF _Toc135390663 \h </w:instrText>
            </w:r>
            <w:r w:rsidR="00724275">
              <w:rPr>
                <w:noProof/>
                <w:webHidden/>
              </w:rPr>
            </w:r>
            <w:r w:rsidR="00724275">
              <w:rPr>
                <w:noProof/>
                <w:webHidden/>
              </w:rPr>
              <w:fldChar w:fldCharType="separate"/>
            </w:r>
            <w:r w:rsidR="00796527">
              <w:rPr>
                <w:noProof/>
                <w:webHidden/>
              </w:rPr>
              <w:t>82</w:t>
            </w:r>
            <w:r w:rsidR="00724275">
              <w:rPr>
                <w:noProof/>
                <w:webHidden/>
              </w:rPr>
              <w:fldChar w:fldCharType="end"/>
            </w:r>
          </w:hyperlink>
        </w:p>
        <w:p w14:paraId="49E816ED" w14:textId="090ACD29" w:rsidR="00724275" w:rsidRDefault="004C4253">
          <w:pPr>
            <w:pStyle w:val="TOC2"/>
            <w:tabs>
              <w:tab w:val="left" w:pos="660"/>
            </w:tabs>
            <w:rPr>
              <w:rFonts w:eastAsiaTheme="minorEastAsia" w:cstheme="minorBidi"/>
              <w:smallCaps w:val="0"/>
              <w:noProof/>
              <w:sz w:val="22"/>
              <w:szCs w:val="22"/>
              <w:lang w:eastAsia="en-AU"/>
            </w:rPr>
          </w:pPr>
          <w:hyperlink w:anchor="_Toc135390664" w:history="1">
            <w:r w:rsidR="00724275" w:rsidRPr="00CD7585">
              <w:rPr>
                <w:rStyle w:val="Hyperlink"/>
                <w:noProof/>
              </w:rPr>
              <w:t>9.</w:t>
            </w:r>
            <w:r w:rsidR="00724275">
              <w:rPr>
                <w:rFonts w:eastAsiaTheme="minorEastAsia" w:cstheme="minorBidi"/>
                <w:smallCaps w:val="0"/>
                <w:noProof/>
                <w:sz w:val="22"/>
                <w:szCs w:val="22"/>
                <w:lang w:eastAsia="en-AU"/>
              </w:rPr>
              <w:tab/>
            </w:r>
            <w:r w:rsidR="00724275" w:rsidRPr="00CD7585">
              <w:rPr>
                <w:rStyle w:val="Hyperlink"/>
                <w:noProof/>
              </w:rPr>
              <w:t>Health and Safety Matters</w:t>
            </w:r>
            <w:r w:rsidR="00724275">
              <w:rPr>
                <w:noProof/>
                <w:webHidden/>
              </w:rPr>
              <w:tab/>
            </w:r>
            <w:r w:rsidR="00724275">
              <w:rPr>
                <w:noProof/>
                <w:webHidden/>
              </w:rPr>
              <w:fldChar w:fldCharType="begin"/>
            </w:r>
            <w:r w:rsidR="00724275">
              <w:rPr>
                <w:noProof/>
                <w:webHidden/>
              </w:rPr>
              <w:instrText xml:space="preserve"> PAGEREF _Toc135390664 \h </w:instrText>
            </w:r>
            <w:r w:rsidR="00724275">
              <w:rPr>
                <w:noProof/>
                <w:webHidden/>
              </w:rPr>
            </w:r>
            <w:r w:rsidR="00724275">
              <w:rPr>
                <w:noProof/>
                <w:webHidden/>
              </w:rPr>
              <w:fldChar w:fldCharType="separate"/>
            </w:r>
            <w:r w:rsidR="00796527">
              <w:rPr>
                <w:noProof/>
                <w:webHidden/>
              </w:rPr>
              <w:t>85</w:t>
            </w:r>
            <w:r w:rsidR="00724275">
              <w:rPr>
                <w:noProof/>
                <w:webHidden/>
              </w:rPr>
              <w:fldChar w:fldCharType="end"/>
            </w:r>
          </w:hyperlink>
        </w:p>
        <w:p w14:paraId="67C44F46" w14:textId="40D21276" w:rsidR="00724275" w:rsidRDefault="004C4253">
          <w:pPr>
            <w:pStyle w:val="TOC3"/>
            <w:rPr>
              <w:rFonts w:eastAsiaTheme="minorEastAsia" w:cstheme="minorBidi"/>
              <w:i w:val="0"/>
              <w:iCs w:val="0"/>
              <w:noProof/>
              <w:sz w:val="22"/>
              <w:szCs w:val="22"/>
              <w:lang w:eastAsia="en-AU"/>
            </w:rPr>
          </w:pPr>
          <w:hyperlink w:anchor="_Toc135390665" w:history="1">
            <w:r w:rsidR="00724275" w:rsidRPr="00CD7585">
              <w:rPr>
                <w:rStyle w:val="Hyperlink"/>
                <w:noProof/>
              </w:rPr>
              <w:t>Wind Farms and Health</w:t>
            </w:r>
            <w:r w:rsidR="00724275">
              <w:rPr>
                <w:noProof/>
                <w:webHidden/>
              </w:rPr>
              <w:tab/>
            </w:r>
            <w:r w:rsidR="00724275">
              <w:rPr>
                <w:noProof/>
                <w:webHidden/>
              </w:rPr>
              <w:fldChar w:fldCharType="begin"/>
            </w:r>
            <w:r w:rsidR="00724275">
              <w:rPr>
                <w:noProof/>
                <w:webHidden/>
              </w:rPr>
              <w:instrText xml:space="preserve"> PAGEREF _Toc135390665 \h </w:instrText>
            </w:r>
            <w:r w:rsidR="00724275">
              <w:rPr>
                <w:noProof/>
                <w:webHidden/>
              </w:rPr>
            </w:r>
            <w:r w:rsidR="00724275">
              <w:rPr>
                <w:noProof/>
                <w:webHidden/>
              </w:rPr>
              <w:fldChar w:fldCharType="separate"/>
            </w:r>
            <w:r w:rsidR="00796527">
              <w:rPr>
                <w:noProof/>
                <w:webHidden/>
              </w:rPr>
              <w:t>85</w:t>
            </w:r>
            <w:r w:rsidR="00724275">
              <w:rPr>
                <w:noProof/>
                <w:webHidden/>
              </w:rPr>
              <w:fldChar w:fldCharType="end"/>
            </w:r>
          </w:hyperlink>
        </w:p>
        <w:p w14:paraId="71220DB6" w14:textId="698C65B2" w:rsidR="00724275" w:rsidRDefault="004C4253">
          <w:pPr>
            <w:pStyle w:val="TOC3"/>
            <w:rPr>
              <w:rFonts w:eastAsiaTheme="minorEastAsia" w:cstheme="minorBidi"/>
              <w:i w:val="0"/>
              <w:iCs w:val="0"/>
              <w:noProof/>
              <w:sz w:val="22"/>
              <w:szCs w:val="22"/>
              <w:lang w:eastAsia="en-AU"/>
            </w:rPr>
          </w:pPr>
          <w:hyperlink w:anchor="_Toc135390666" w:history="1">
            <w:r w:rsidR="00724275" w:rsidRPr="00CD7585">
              <w:rPr>
                <w:rStyle w:val="Hyperlink"/>
                <w:noProof/>
              </w:rPr>
              <w:t>Safety</w:t>
            </w:r>
            <w:r w:rsidR="00724275">
              <w:rPr>
                <w:noProof/>
                <w:webHidden/>
              </w:rPr>
              <w:tab/>
            </w:r>
            <w:r w:rsidR="00724275">
              <w:rPr>
                <w:noProof/>
                <w:webHidden/>
              </w:rPr>
              <w:fldChar w:fldCharType="begin"/>
            </w:r>
            <w:r w:rsidR="00724275">
              <w:rPr>
                <w:noProof/>
                <w:webHidden/>
              </w:rPr>
              <w:instrText xml:space="preserve"> PAGEREF _Toc135390666 \h </w:instrText>
            </w:r>
            <w:r w:rsidR="00724275">
              <w:rPr>
                <w:noProof/>
                <w:webHidden/>
              </w:rPr>
            </w:r>
            <w:r w:rsidR="00724275">
              <w:rPr>
                <w:noProof/>
                <w:webHidden/>
              </w:rPr>
              <w:fldChar w:fldCharType="separate"/>
            </w:r>
            <w:r w:rsidR="00796527">
              <w:rPr>
                <w:noProof/>
                <w:webHidden/>
              </w:rPr>
              <w:t>87</w:t>
            </w:r>
            <w:r w:rsidR="00724275">
              <w:rPr>
                <w:noProof/>
                <w:webHidden/>
              </w:rPr>
              <w:fldChar w:fldCharType="end"/>
            </w:r>
          </w:hyperlink>
        </w:p>
        <w:p w14:paraId="1E459506" w14:textId="3C95A333" w:rsidR="00724275" w:rsidRPr="00724275" w:rsidRDefault="004C4253" w:rsidP="00724275">
          <w:pPr>
            <w:pStyle w:val="TOC1"/>
            <w:rPr>
              <w:rFonts w:eastAsiaTheme="minorEastAsia" w:cstheme="minorBidi"/>
              <w:b w:val="0"/>
              <w:bCs w:val="0"/>
              <w:caps w:val="0"/>
              <w:noProof/>
              <w:sz w:val="22"/>
              <w:szCs w:val="22"/>
              <w:lang w:eastAsia="en-AU"/>
            </w:rPr>
          </w:pPr>
          <w:hyperlink w:anchor="_Toc135390667" w:history="1">
            <w:r w:rsidR="00724275" w:rsidRPr="00CD7585">
              <w:rPr>
                <w:rStyle w:val="Hyperlink"/>
                <w:noProof/>
              </w:rPr>
              <w:t>Appendix B – TERMS OF REFERENCE 2021-25</w:t>
            </w:r>
            <w:r w:rsidR="00724275">
              <w:rPr>
                <w:noProof/>
                <w:webHidden/>
              </w:rPr>
              <w:tab/>
            </w:r>
            <w:r w:rsidR="00724275">
              <w:rPr>
                <w:noProof/>
                <w:webHidden/>
              </w:rPr>
              <w:fldChar w:fldCharType="begin"/>
            </w:r>
            <w:r w:rsidR="00724275">
              <w:rPr>
                <w:noProof/>
                <w:webHidden/>
              </w:rPr>
              <w:instrText xml:space="preserve"> PAGEREF _Toc135390667 \h </w:instrText>
            </w:r>
            <w:r w:rsidR="00724275">
              <w:rPr>
                <w:noProof/>
                <w:webHidden/>
              </w:rPr>
            </w:r>
            <w:r w:rsidR="00724275">
              <w:rPr>
                <w:noProof/>
                <w:webHidden/>
              </w:rPr>
              <w:fldChar w:fldCharType="separate"/>
            </w:r>
            <w:r w:rsidR="00796527">
              <w:rPr>
                <w:noProof/>
                <w:webHidden/>
              </w:rPr>
              <w:t>90</w:t>
            </w:r>
            <w:r w:rsidR="00724275">
              <w:rPr>
                <w:noProof/>
                <w:webHidden/>
              </w:rPr>
              <w:fldChar w:fldCharType="end"/>
            </w:r>
          </w:hyperlink>
        </w:p>
        <w:p w14:paraId="6E72C046" w14:textId="254B1ADB" w:rsidR="00724275" w:rsidRDefault="004C4253">
          <w:pPr>
            <w:pStyle w:val="TOC1"/>
            <w:rPr>
              <w:rFonts w:eastAsiaTheme="minorEastAsia" w:cstheme="minorBidi"/>
              <w:b w:val="0"/>
              <w:bCs w:val="0"/>
              <w:caps w:val="0"/>
              <w:noProof/>
              <w:sz w:val="22"/>
              <w:szCs w:val="22"/>
              <w:lang w:eastAsia="en-AU"/>
            </w:rPr>
          </w:pPr>
          <w:hyperlink w:anchor="_Toc135390669" w:history="1">
            <w:r w:rsidR="00724275" w:rsidRPr="00CD7585">
              <w:rPr>
                <w:rStyle w:val="Hyperlink"/>
                <w:noProof/>
              </w:rPr>
              <w:t>appendix c: Submission to AEMO’s draft 2022 integrated system plan</w:t>
            </w:r>
            <w:r w:rsidR="00724275">
              <w:rPr>
                <w:noProof/>
                <w:webHidden/>
              </w:rPr>
              <w:tab/>
            </w:r>
            <w:r w:rsidR="00724275">
              <w:rPr>
                <w:noProof/>
                <w:webHidden/>
              </w:rPr>
              <w:fldChar w:fldCharType="begin"/>
            </w:r>
            <w:r w:rsidR="00724275">
              <w:rPr>
                <w:noProof/>
                <w:webHidden/>
              </w:rPr>
              <w:instrText xml:space="preserve"> PAGEREF _Toc135390669 \h </w:instrText>
            </w:r>
            <w:r w:rsidR="00724275">
              <w:rPr>
                <w:noProof/>
                <w:webHidden/>
              </w:rPr>
            </w:r>
            <w:r w:rsidR="00724275">
              <w:rPr>
                <w:noProof/>
                <w:webHidden/>
              </w:rPr>
              <w:fldChar w:fldCharType="separate"/>
            </w:r>
            <w:r w:rsidR="00796527">
              <w:rPr>
                <w:noProof/>
                <w:webHidden/>
              </w:rPr>
              <w:t>91</w:t>
            </w:r>
            <w:r w:rsidR="00724275">
              <w:rPr>
                <w:noProof/>
                <w:webHidden/>
              </w:rPr>
              <w:fldChar w:fldCharType="end"/>
            </w:r>
          </w:hyperlink>
        </w:p>
        <w:p w14:paraId="43472701" w14:textId="5EB80C55" w:rsidR="00724275" w:rsidRDefault="004C4253">
          <w:pPr>
            <w:pStyle w:val="TOC1"/>
            <w:rPr>
              <w:rFonts w:eastAsiaTheme="minorEastAsia" w:cstheme="minorBidi"/>
              <w:b w:val="0"/>
              <w:bCs w:val="0"/>
              <w:caps w:val="0"/>
              <w:noProof/>
              <w:sz w:val="22"/>
              <w:szCs w:val="22"/>
              <w:lang w:eastAsia="en-AU"/>
            </w:rPr>
          </w:pPr>
          <w:hyperlink w:anchor="_Toc135390670" w:history="1">
            <w:r w:rsidR="00724275" w:rsidRPr="00CD7585">
              <w:rPr>
                <w:rStyle w:val="Hyperlink"/>
                <w:noProof/>
              </w:rPr>
              <w:t>APPENDIX D: Glossary</w:t>
            </w:r>
            <w:r w:rsidR="00724275">
              <w:rPr>
                <w:noProof/>
                <w:webHidden/>
              </w:rPr>
              <w:tab/>
            </w:r>
            <w:r w:rsidR="00724275">
              <w:rPr>
                <w:noProof/>
                <w:webHidden/>
              </w:rPr>
              <w:fldChar w:fldCharType="begin"/>
            </w:r>
            <w:r w:rsidR="00724275">
              <w:rPr>
                <w:noProof/>
                <w:webHidden/>
              </w:rPr>
              <w:instrText xml:space="preserve"> PAGEREF _Toc135390670 \h </w:instrText>
            </w:r>
            <w:r w:rsidR="00724275">
              <w:rPr>
                <w:noProof/>
                <w:webHidden/>
              </w:rPr>
            </w:r>
            <w:r w:rsidR="00724275">
              <w:rPr>
                <w:noProof/>
                <w:webHidden/>
              </w:rPr>
              <w:fldChar w:fldCharType="separate"/>
            </w:r>
            <w:r w:rsidR="00796527">
              <w:rPr>
                <w:noProof/>
                <w:webHidden/>
              </w:rPr>
              <w:t>96</w:t>
            </w:r>
            <w:r w:rsidR="00724275">
              <w:rPr>
                <w:noProof/>
                <w:webHidden/>
              </w:rPr>
              <w:fldChar w:fldCharType="end"/>
            </w:r>
          </w:hyperlink>
        </w:p>
        <w:p w14:paraId="7FD0EAB4" w14:textId="1BB028A8" w:rsidR="00304241" w:rsidRPr="007064D8" w:rsidRDefault="00304241" w:rsidP="00304241">
          <w:pPr>
            <w:tabs>
              <w:tab w:val="center" w:pos="5233"/>
            </w:tabs>
            <w:spacing w:after="0"/>
            <w:rPr>
              <w:sz w:val="2"/>
              <w:szCs w:val="2"/>
            </w:rPr>
          </w:pPr>
          <w:r>
            <w:rPr>
              <w:rFonts w:asciiTheme="minorHAnsi" w:hAnsiTheme="minorHAnsi"/>
              <w:b/>
              <w:bCs/>
              <w:caps/>
              <w:sz w:val="20"/>
              <w:szCs w:val="20"/>
            </w:rPr>
            <w:fldChar w:fldCharType="end"/>
          </w:r>
        </w:p>
      </w:sdtContent>
    </w:sdt>
    <w:p w14:paraId="0CC8F1A2" w14:textId="77777777" w:rsidR="00304241" w:rsidRPr="00DD2D46" w:rsidRDefault="00304241" w:rsidP="00DD2D46">
      <w:pPr>
        <w:tabs>
          <w:tab w:val="left" w:pos="3615"/>
          <w:tab w:val="left" w:pos="4545"/>
        </w:tabs>
        <w:spacing w:after="0"/>
        <w:rPr>
          <w:sz w:val="2"/>
          <w:szCs w:val="2"/>
        </w:rPr>
      </w:pPr>
      <w:r>
        <w:tab/>
      </w:r>
      <w:r>
        <w:tab/>
      </w:r>
    </w:p>
    <w:p w14:paraId="43A215C0" w14:textId="77777777" w:rsidR="00304241" w:rsidRDefault="00304241" w:rsidP="00304241">
      <w:pPr>
        <w:tabs>
          <w:tab w:val="left" w:pos="6000"/>
        </w:tabs>
        <w:rPr>
          <w:sz w:val="2"/>
          <w:szCs w:val="2"/>
        </w:rPr>
      </w:pPr>
    </w:p>
    <w:p w14:paraId="253A0B81" w14:textId="77777777" w:rsidR="00304241" w:rsidRDefault="00304241" w:rsidP="00304241">
      <w:pPr>
        <w:rPr>
          <w:sz w:val="2"/>
          <w:szCs w:val="2"/>
        </w:rPr>
        <w:sectPr w:rsidR="00304241" w:rsidSect="00326042">
          <w:headerReference w:type="even" r:id="rId25"/>
          <w:headerReference w:type="default" r:id="rId26"/>
          <w:headerReference w:type="first" r:id="rId27"/>
          <w:footerReference w:type="first" r:id="rId28"/>
          <w:pgSz w:w="11906" w:h="16838"/>
          <w:pgMar w:top="720" w:right="720" w:bottom="720" w:left="720" w:header="425" w:footer="425" w:gutter="0"/>
          <w:pgNumType w:start="1"/>
          <w:cols w:space="708"/>
          <w:titlePg/>
          <w:docGrid w:linePitch="360"/>
        </w:sectPr>
      </w:pPr>
    </w:p>
    <w:p w14:paraId="3ED80E62" w14:textId="77777777" w:rsidR="00304241" w:rsidRPr="002D7001" w:rsidRDefault="00304241" w:rsidP="002D7001">
      <w:pPr>
        <w:pStyle w:val="Heading1"/>
      </w:pPr>
      <w:bookmarkStart w:id="6" w:name="_Toc135390568"/>
      <w:r w:rsidRPr="002D7001">
        <w:lastRenderedPageBreak/>
        <w:t>Commissioner’s review</w:t>
      </w:r>
      <w:bookmarkEnd w:id="6"/>
    </w:p>
    <w:p w14:paraId="01AC9A20" w14:textId="77777777" w:rsidR="00304241" w:rsidRPr="00FB707C" w:rsidRDefault="00304241" w:rsidP="002D7001">
      <w:pPr>
        <w:pStyle w:val="Heading2"/>
      </w:pPr>
      <w:bookmarkStart w:id="7" w:name="_Toc131502677"/>
      <w:bookmarkStart w:id="8" w:name="_Toc135390569"/>
      <w:r w:rsidRPr="00FB707C">
        <w:t>Introduction</w:t>
      </w:r>
      <w:bookmarkEnd w:id="7"/>
      <w:bookmarkEnd w:id="8"/>
    </w:p>
    <w:p w14:paraId="55A16CE7" w14:textId="11022F19" w:rsidR="00304241" w:rsidRDefault="00304241" w:rsidP="00304241">
      <w:pPr>
        <w:spacing w:line="264" w:lineRule="auto"/>
        <w:rPr>
          <w:rFonts w:cs="Arial"/>
        </w:rPr>
      </w:pPr>
      <w:r>
        <w:rPr>
          <w:rFonts w:cs="Arial"/>
        </w:rPr>
        <w:t>T</w:t>
      </w:r>
      <w:r w:rsidRPr="00F47E6D">
        <w:rPr>
          <w:rFonts w:cs="Arial"/>
        </w:rPr>
        <w:t xml:space="preserve">he Office of </w:t>
      </w:r>
      <w:r>
        <w:rPr>
          <w:rFonts w:cs="Arial"/>
        </w:rPr>
        <w:t>the Australian Energy Infrastructure</w:t>
      </w:r>
      <w:r w:rsidRPr="00F47E6D">
        <w:rPr>
          <w:rFonts w:cs="Arial"/>
        </w:rPr>
        <w:t xml:space="preserve"> Commissioner</w:t>
      </w:r>
      <w:r>
        <w:rPr>
          <w:rFonts w:cs="Arial"/>
        </w:rPr>
        <w:t xml:space="preserve"> is pleased to deliver the Commissioner’s</w:t>
      </w:r>
      <w:r w:rsidRPr="00F47E6D">
        <w:rPr>
          <w:rFonts w:cs="Arial"/>
        </w:rPr>
        <w:t xml:space="preserve"> </w:t>
      </w:r>
      <w:r w:rsidR="00FD5D8B">
        <w:rPr>
          <w:rFonts w:cs="Arial"/>
        </w:rPr>
        <w:t xml:space="preserve">seventh </w:t>
      </w:r>
      <w:r>
        <w:rPr>
          <w:rFonts w:cs="Arial"/>
        </w:rPr>
        <w:t>annual report to the Australian Parliament</w:t>
      </w:r>
      <w:r w:rsidR="00BB3910">
        <w:rPr>
          <w:rFonts w:cs="Arial"/>
        </w:rPr>
        <w:t>. The 202</w:t>
      </w:r>
      <w:r w:rsidR="005A0D06">
        <w:rPr>
          <w:rFonts w:cs="Arial"/>
        </w:rPr>
        <w:t>2</w:t>
      </w:r>
      <w:r w:rsidR="00311766">
        <w:rPr>
          <w:rFonts w:cs="Arial"/>
        </w:rPr>
        <w:t xml:space="preserve"> </w:t>
      </w:r>
      <w:r w:rsidR="00FA5C53">
        <w:rPr>
          <w:rFonts w:cs="Arial"/>
        </w:rPr>
        <w:t xml:space="preserve">annual </w:t>
      </w:r>
      <w:r w:rsidR="00311766">
        <w:rPr>
          <w:rFonts w:cs="Arial"/>
        </w:rPr>
        <w:t xml:space="preserve">report </w:t>
      </w:r>
      <w:r w:rsidR="00B3258F">
        <w:rPr>
          <w:rFonts w:cs="Arial"/>
        </w:rPr>
        <w:t xml:space="preserve">is </w:t>
      </w:r>
      <w:r>
        <w:rPr>
          <w:rFonts w:cs="Arial"/>
        </w:rPr>
        <w:t xml:space="preserve">for the </w:t>
      </w:r>
      <w:r w:rsidRPr="00F47E6D">
        <w:rPr>
          <w:rFonts w:cs="Arial"/>
        </w:rPr>
        <w:t xml:space="preserve">period </w:t>
      </w:r>
      <w:r>
        <w:rPr>
          <w:rFonts w:cs="Arial"/>
        </w:rPr>
        <w:t>1 January 202</w:t>
      </w:r>
      <w:r w:rsidR="005A0D06">
        <w:rPr>
          <w:rFonts w:cs="Arial"/>
        </w:rPr>
        <w:t>2</w:t>
      </w:r>
      <w:r>
        <w:rPr>
          <w:rFonts w:cs="Arial"/>
        </w:rPr>
        <w:t xml:space="preserve"> </w:t>
      </w:r>
      <w:r w:rsidRPr="00F47E6D">
        <w:rPr>
          <w:rFonts w:cs="Arial"/>
        </w:rPr>
        <w:t xml:space="preserve">to </w:t>
      </w:r>
      <w:r>
        <w:rPr>
          <w:rFonts w:cs="Arial"/>
        </w:rPr>
        <w:t>31 December 202</w:t>
      </w:r>
      <w:r w:rsidR="005A0D06">
        <w:rPr>
          <w:rFonts w:cs="Arial"/>
        </w:rPr>
        <w:t>2</w:t>
      </w:r>
      <w:r w:rsidRPr="00F47E6D">
        <w:rPr>
          <w:rFonts w:cs="Arial"/>
        </w:rPr>
        <w:t>.</w:t>
      </w:r>
    </w:p>
    <w:p w14:paraId="2CDBCB5D" w14:textId="7C7DEEF8" w:rsidR="00304241" w:rsidRDefault="00304241" w:rsidP="00304241">
      <w:pPr>
        <w:spacing w:line="264" w:lineRule="auto"/>
        <w:rPr>
          <w:rFonts w:cs="Arial"/>
        </w:rPr>
      </w:pPr>
      <w:r>
        <w:rPr>
          <w:rFonts w:cs="Arial"/>
        </w:rPr>
        <w:t>The Commissioner</w:t>
      </w:r>
      <w:r w:rsidR="00936B7D">
        <w:rPr>
          <w:rFonts w:cs="Arial"/>
        </w:rPr>
        <w:t>’s role</w:t>
      </w:r>
      <w:r>
        <w:rPr>
          <w:rFonts w:cs="Arial"/>
        </w:rPr>
        <w:t xml:space="preserve"> is independent and </w:t>
      </w:r>
      <w:r w:rsidR="00FE4F09">
        <w:rPr>
          <w:rFonts w:cs="Arial"/>
        </w:rPr>
        <w:t xml:space="preserve">currently </w:t>
      </w:r>
      <w:r w:rsidRPr="00E57E67">
        <w:rPr>
          <w:rFonts w:cs="Arial"/>
        </w:rPr>
        <w:t xml:space="preserve">reports to the Minister for </w:t>
      </w:r>
      <w:r w:rsidR="004735AD">
        <w:rPr>
          <w:rFonts w:cs="Arial"/>
        </w:rPr>
        <w:t>Climate Change and Energy</w:t>
      </w:r>
      <w:r w:rsidRPr="00E57E67">
        <w:rPr>
          <w:rFonts w:cs="Arial"/>
        </w:rPr>
        <w:t>.</w:t>
      </w:r>
      <w:r>
        <w:rPr>
          <w:rFonts w:cs="Arial"/>
        </w:rPr>
        <w:t xml:space="preserve"> </w:t>
      </w:r>
    </w:p>
    <w:p w14:paraId="0715796B" w14:textId="77777777" w:rsidR="00304241" w:rsidRPr="00F8465C" w:rsidRDefault="00304241" w:rsidP="00304241">
      <w:pPr>
        <w:spacing w:line="264" w:lineRule="auto"/>
        <w:rPr>
          <w:rFonts w:cs="Arial"/>
        </w:rPr>
      </w:pPr>
      <w:r>
        <w:rPr>
          <w:rFonts w:cs="Arial"/>
        </w:rPr>
        <w:t xml:space="preserve">Our </w:t>
      </w:r>
      <w:r w:rsidRPr="008530B9">
        <w:rPr>
          <w:rFonts w:cs="Arial"/>
        </w:rPr>
        <w:t>key roles are to:</w:t>
      </w:r>
    </w:p>
    <w:p w14:paraId="5DDFAE0C" w14:textId="7BC573EA" w:rsidR="00304241" w:rsidRPr="00396011" w:rsidRDefault="00304241" w:rsidP="00304241">
      <w:pPr>
        <w:numPr>
          <w:ilvl w:val="0"/>
          <w:numId w:val="7"/>
        </w:numPr>
        <w:shd w:val="clear" w:color="auto" w:fill="FFFFFF"/>
        <w:spacing w:line="264" w:lineRule="auto"/>
        <w:ind w:left="714" w:hanging="357"/>
        <w:rPr>
          <w:rFonts w:eastAsia="Times New Roman" w:cs="Arial"/>
          <w:color w:val="000000"/>
          <w:lang w:val="en" w:eastAsia="en-AU"/>
        </w:rPr>
      </w:pPr>
      <w:r>
        <w:rPr>
          <w:rFonts w:eastAsia="Times New Roman" w:cs="Arial"/>
          <w:color w:val="000000"/>
          <w:lang w:val="en" w:eastAsia="en-AU"/>
        </w:rPr>
        <w:t>f</w:t>
      </w:r>
      <w:r w:rsidRPr="00396011">
        <w:rPr>
          <w:rFonts w:eastAsia="Times New Roman" w:cs="Arial"/>
          <w:color w:val="000000"/>
          <w:lang w:val="en" w:eastAsia="en-AU"/>
        </w:rPr>
        <w:t>acilitate the referral and resolution of complaints received from concerned residents about proposed or operating wind farms, large-s</w:t>
      </w:r>
      <w:r>
        <w:rPr>
          <w:rFonts w:eastAsia="Times New Roman" w:cs="Arial"/>
          <w:color w:val="000000"/>
          <w:lang w:val="en" w:eastAsia="en-AU"/>
        </w:rPr>
        <w:t xml:space="preserve">cale solar farms (5 MW or more), </w:t>
      </w:r>
      <w:r w:rsidRPr="00396011">
        <w:rPr>
          <w:rFonts w:eastAsia="Times New Roman" w:cs="Arial"/>
          <w:color w:val="000000"/>
          <w:lang w:val="en" w:eastAsia="en-AU"/>
        </w:rPr>
        <w:t>energy storage facilities such as large-scale batteries (1 MW or more)</w:t>
      </w:r>
      <w:r>
        <w:rPr>
          <w:rFonts w:eastAsia="Times New Roman" w:cs="Arial"/>
          <w:color w:val="000000"/>
          <w:lang w:val="en" w:eastAsia="en-AU"/>
        </w:rPr>
        <w:t xml:space="preserve"> and new</w:t>
      </w:r>
      <w:r w:rsidR="00C35027">
        <w:rPr>
          <w:rFonts w:eastAsia="Times New Roman" w:cs="Arial"/>
          <w:color w:val="000000"/>
          <w:lang w:val="en" w:eastAsia="en-AU"/>
        </w:rPr>
        <w:t>,</w:t>
      </w:r>
      <w:r>
        <w:rPr>
          <w:rFonts w:eastAsia="Times New Roman" w:cs="Arial"/>
          <w:color w:val="000000"/>
          <w:lang w:val="en" w:eastAsia="en-AU"/>
        </w:rPr>
        <w:t xml:space="preserve"> major</w:t>
      </w:r>
      <w:r w:rsidR="00CC54CC">
        <w:rPr>
          <w:rFonts w:eastAsia="Times New Roman" w:cs="Arial"/>
          <w:color w:val="000000"/>
          <w:lang w:val="en" w:eastAsia="en-AU"/>
        </w:rPr>
        <w:t>, lo</w:t>
      </w:r>
      <w:r w:rsidR="00024BDF">
        <w:rPr>
          <w:rFonts w:eastAsia="Times New Roman" w:cs="Arial"/>
          <w:color w:val="000000"/>
          <w:lang w:val="en" w:eastAsia="en-AU"/>
        </w:rPr>
        <w:t>ng-distance</w:t>
      </w:r>
      <w:r>
        <w:rPr>
          <w:rFonts w:eastAsia="Times New Roman" w:cs="Arial"/>
          <w:color w:val="000000"/>
          <w:lang w:val="en" w:eastAsia="en-AU"/>
        </w:rPr>
        <w:t xml:space="preserve"> transmission projects.</w:t>
      </w:r>
    </w:p>
    <w:p w14:paraId="6924FAB1" w14:textId="6C2BC79F" w:rsidR="00304241" w:rsidRPr="00396011" w:rsidRDefault="00304241" w:rsidP="00304241">
      <w:pPr>
        <w:numPr>
          <w:ilvl w:val="0"/>
          <w:numId w:val="7"/>
        </w:numPr>
        <w:shd w:val="clear" w:color="auto" w:fill="FFFFFF"/>
        <w:spacing w:line="264" w:lineRule="auto"/>
        <w:ind w:left="714" w:hanging="357"/>
        <w:rPr>
          <w:rFonts w:eastAsia="Times New Roman" w:cs="Arial"/>
          <w:color w:val="000000"/>
          <w:lang w:val="en" w:eastAsia="en-AU"/>
        </w:rPr>
      </w:pPr>
      <w:r>
        <w:rPr>
          <w:rFonts w:eastAsia="Times New Roman" w:cs="Arial"/>
          <w:color w:val="000000"/>
          <w:lang w:val="en" w:eastAsia="en-AU"/>
        </w:rPr>
        <w:t>p</w:t>
      </w:r>
      <w:r w:rsidRPr="00396011">
        <w:rPr>
          <w:rFonts w:eastAsia="Times New Roman" w:cs="Arial"/>
          <w:color w:val="000000"/>
          <w:lang w:val="en" w:eastAsia="en-AU"/>
        </w:rPr>
        <w:t xml:space="preserve">rovide </w:t>
      </w:r>
      <w:r>
        <w:rPr>
          <w:rFonts w:eastAsia="Times New Roman" w:cs="Arial"/>
          <w:color w:val="000000"/>
          <w:lang w:val="en" w:eastAsia="en-AU"/>
        </w:rPr>
        <w:t xml:space="preserve">and promote </w:t>
      </w:r>
      <w:r w:rsidRPr="00396011">
        <w:rPr>
          <w:rFonts w:eastAsia="Times New Roman" w:cs="Arial"/>
          <w:color w:val="000000"/>
          <w:lang w:val="en" w:eastAsia="en-AU"/>
        </w:rPr>
        <w:t>greater transparency on information related to wind farms, large-scale solar farms</w:t>
      </w:r>
      <w:r>
        <w:rPr>
          <w:rFonts w:eastAsia="Times New Roman" w:cs="Arial"/>
          <w:color w:val="000000"/>
          <w:lang w:val="en" w:eastAsia="en-AU"/>
        </w:rPr>
        <w:t>, energy storage and new major transmission projects in Australia</w:t>
      </w:r>
      <w:r w:rsidR="00A61AA4">
        <w:rPr>
          <w:rFonts w:eastAsia="Times New Roman" w:cs="Arial"/>
          <w:color w:val="000000"/>
          <w:lang w:val="en" w:eastAsia="en-AU"/>
        </w:rPr>
        <w:t>.</w:t>
      </w:r>
    </w:p>
    <w:p w14:paraId="4AB24D90" w14:textId="004BAAD4" w:rsidR="00304241" w:rsidRPr="00396011" w:rsidRDefault="00304241" w:rsidP="00304241">
      <w:pPr>
        <w:numPr>
          <w:ilvl w:val="0"/>
          <w:numId w:val="7"/>
        </w:numPr>
        <w:shd w:val="clear" w:color="auto" w:fill="FFFFFF"/>
        <w:spacing w:line="264" w:lineRule="auto"/>
        <w:ind w:left="714" w:hanging="357"/>
        <w:rPr>
          <w:rFonts w:eastAsia="Times New Roman" w:cs="Arial"/>
          <w:color w:val="000000"/>
          <w:lang w:val="en" w:eastAsia="en-AU"/>
        </w:rPr>
      </w:pPr>
      <w:r>
        <w:rPr>
          <w:rFonts w:eastAsia="Times New Roman" w:cs="Arial"/>
          <w:color w:val="000000"/>
          <w:lang w:val="en" w:eastAsia="en-AU"/>
        </w:rPr>
        <w:t>i</w:t>
      </w:r>
      <w:r w:rsidRPr="00396011">
        <w:rPr>
          <w:rFonts w:eastAsia="Times New Roman" w:cs="Arial"/>
          <w:color w:val="000000"/>
          <w:lang w:val="en" w:eastAsia="en-AU"/>
        </w:rPr>
        <w:t>dentify and promot</w:t>
      </w:r>
      <w:r>
        <w:rPr>
          <w:rFonts w:eastAsia="Times New Roman" w:cs="Arial"/>
          <w:color w:val="000000"/>
          <w:lang w:val="en" w:eastAsia="en-AU"/>
        </w:rPr>
        <w:t>e</w:t>
      </w:r>
      <w:r w:rsidRPr="00396011">
        <w:rPr>
          <w:rFonts w:eastAsia="Times New Roman" w:cs="Arial"/>
          <w:color w:val="000000"/>
          <w:lang w:val="en" w:eastAsia="en-AU"/>
        </w:rPr>
        <w:t xml:space="preserve"> best practices related to the planning, development</w:t>
      </w:r>
      <w:r w:rsidR="00A2120B">
        <w:rPr>
          <w:rFonts w:eastAsia="Times New Roman" w:cs="Arial"/>
          <w:color w:val="000000"/>
          <w:lang w:val="en" w:eastAsia="en-AU"/>
        </w:rPr>
        <w:t>, construction</w:t>
      </w:r>
      <w:r w:rsidRPr="00396011">
        <w:rPr>
          <w:rFonts w:eastAsia="Times New Roman" w:cs="Arial"/>
          <w:color w:val="000000"/>
          <w:lang w:val="en" w:eastAsia="en-AU"/>
        </w:rPr>
        <w:t xml:space="preserve"> and operation of </w:t>
      </w:r>
      <w:r>
        <w:rPr>
          <w:rFonts w:eastAsia="Times New Roman" w:cs="Arial"/>
          <w:color w:val="000000"/>
          <w:lang w:val="en" w:eastAsia="en-AU"/>
        </w:rPr>
        <w:t xml:space="preserve">renewable </w:t>
      </w:r>
      <w:r w:rsidRPr="00396011">
        <w:rPr>
          <w:rFonts w:eastAsia="Times New Roman" w:cs="Arial"/>
          <w:color w:val="000000"/>
          <w:lang w:val="en" w:eastAsia="en-AU"/>
        </w:rPr>
        <w:t xml:space="preserve">energy </w:t>
      </w:r>
      <w:r>
        <w:rPr>
          <w:rFonts w:eastAsia="Times New Roman" w:cs="Arial"/>
          <w:color w:val="000000"/>
          <w:lang w:val="en" w:eastAsia="en-AU"/>
        </w:rPr>
        <w:t xml:space="preserve">and major transmission </w:t>
      </w:r>
      <w:r w:rsidRPr="00396011">
        <w:rPr>
          <w:rFonts w:eastAsia="Times New Roman" w:cs="Arial"/>
          <w:color w:val="000000"/>
          <w:lang w:val="en" w:eastAsia="en-AU"/>
        </w:rPr>
        <w:t xml:space="preserve">projects, including </w:t>
      </w:r>
      <w:r w:rsidR="004D3F94">
        <w:rPr>
          <w:rFonts w:eastAsia="Times New Roman" w:cs="Arial"/>
          <w:color w:val="000000"/>
          <w:lang w:val="en" w:eastAsia="en-AU"/>
        </w:rPr>
        <w:t xml:space="preserve">guidelines, planning </w:t>
      </w:r>
      <w:r w:rsidRPr="00396011">
        <w:rPr>
          <w:rFonts w:eastAsia="Times New Roman" w:cs="Arial"/>
          <w:color w:val="000000"/>
          <w:lang w:val="en" w:eastAsia="en-AU"/>
        </w:rPr>
        <w:t>standards and compliance, complaint handling procedures</w:t>
      </w:r>
      <w:r w:rsidR="00BF0B71">
        <w:rPr>
          <w:rFonts w:eastAsia="Times New Roman" w:cs="Arial"/>
          <w:color w:val="000000"/>
          <w:lang w:val="en" w:eastAsia="en-AU"/>
        </w:rPr>
        <w:t xml:space="preserve">, landholder and </w:t>
      </w:r>
      <w:r w:rsidR="00A61AA4">
        <w:t xml:space="preserve">neighbour </w:t>
      </w:r>
      <w:r w:rsidR="00BF0B71">
        <w:rPr>
          <w:rFonts w:eastAsia="Times New Roman" w:cs="Arial"/>
          <w:color w:val="000000"/>
          <w:lang w:val="en" w:eastAsia="en-AU"/>
        </w:rPr>
        <w:t>relatio</w:t>
      </w:r>
      <w:r w:rsidR="000C3E31">
        <w:rPr>
          <w:rFonts w:eastAsia="Times New Roman" w:cs="Arial"/>
          <w:color w:val="000000"/>
          <w:lang w:val="en" w:eastAsia="en-AU"/>
        </w:rPr>
        <w:t>nships</w:t>
      </w:r>
      <w:r w:rsidR="00B7618C">
        <w:rPr>
          <w:rFonts w:eastAsia="Times New Roman" w:cs="Arial"/>
          <w:color w:val="000000"/>
          <w:lang w:val="en" w:eastAsia="en-AU"/>
        </w:rPr>
        <w:t>,</w:t>
      </w:r>
      <w:r w:rsidR="000C3E31">
        <w:rPr>
          <w:rFonts w:eastAsia="Times New Roman" w:cs="Arial"/>
          <w:color w:val="000000"/>
          <w:lang w:val="en" w:eastAsia="en-AU"/>
        </w:rPr>
        <w:t xml:space="preserve"> </w:t>
      </w:r>
      <w:r w:rsidR="005A6A5D">
        <w:rPr>
          <w:rFonts w:eastAsia="Times New Roman" w:cs="Arial"/>
          <w:color w:val="000000"/>
          <w:lang w:val="en" w:eastAsia="en-AU"/>
        </w:rPr>
        <w:t>a</w:t>
      </w:r>
      <w:r w:rsidR="00EF5BDB">
        <w:rPr>
          <w:rFonts w:eastAsia="Times New Roman" w:cs="Arial"/>
          <w:color w:val="000000"/>
          <w:lang w:val="en" w:eastAsia="en-AU"/>
        </w:rPr>
        <w:t>nd</w:t>
      </w:r>
      <w:r w:rsidR="000C3E31">
        <w:rPr>
          <w:rFonts w:eastAsia="Times New Roman" w:cs="Arial"/>
          <w:color w:val="000000"/>
          <w:lang w:val="en" w:eastAsia="en-AU"/>
        </w:rPr>
        <w:t xml:space="preserve"> </w:t>
      </w:r>
      <w:r w:rsidRPr="00396011">
        <w:rPr>
          <w:rFonts w:eastAsia="Times New Roman" w:cs="Arial"/>
          <w:color w:val="000000"/>
          <w:lang w:val="en" w:eastAsia="en-AU"/>
        </w:rPr>
        <w:t xml:space="preserve">community </w:t>
      </w:r>
      <w:r w:rsidR="00E82161">
        <w:rPr>
          <w:rFonts w:eastAsia="Times New Roman" w:cs="Arial"/>
          <w:color w:val="000000"/>
          <w:lang w:val="en" w:eastAsia="en-AU"/>
        </w:rPr>
        <w:t xml:space="preserve">and landholder </w:t>
      </w:r>
      <w:r w:rsidRPr="00396011">
        <w:rPr>
          <w:rFonts w:eastAsia="Times New Roman" w:cs="Arial"/>
          <w:color w:val="000000"/>
          <w:lang w:val="en" w:eastAsia="en-AU"/>
        </w:rPr>
        <w:t>engagement.</w:t>
      </w:r>
    </w:p>
    <w:p w14:paraId="3556716B" w14:textId="042A462C" w:rsidR="00304241" w:rsidRDefault="00304241" w:rsidP="00304241">
      <w:pPr>
        <w:spacing w:line="264" w:lineRule="auto"/>
        <w:rPr>
          <w:rFonts w:cs="Arial"/>
        </w:rPr>
      </w:pPr>
      <w:r>
        <w:rPr>
          <w:rFonts w:cs="Arial"/>
        </w:rPr>
        <w:t xml:space="preserve">There are no formal powers associated with the Commissioner’s role. The Commissioner relies on effective relationships </w:t>
      </w:r>
      <w:r w:rsidR="00B960CC">
        <w:rPr>
          <w:rFonts w:cs="Arial"/>
        </w:rPr>
        <w:t xml:space="preserve">with </w:t>
      </w:r>
      <w:r>
        <w:rPr>
          <w:rFonts w:cs="Arial"/>
        </w:rPr>
        <w:t xml:space="preserve">and the co-operation of a wide array of stakeholders to </w:t>
      </w:r>
      <w:r w:rsidR="00E44B9C">
        <w:rPr>
          <w:rFonts w:cs="Arial"/>
        </w:rPr>
        <w:t>succeed in the role.</w:t>
      </w:r>
    </w:p>
    <w:p w14:paraId="5049E31F" w14:textId="4DCC82AF" w:rsidR="00304241" w:rsidRPr="002D7001" w:rsidRDefault="00304241" w:rsidP="002D7001">
      <w:pPr>
        <w:pStyle w:val="Heading2"/>
      </w:pPr>
      <w:bookmarkStart w:id="9" w:name="_Toc135390570"/>
      <w:r w:rsidRPr="002D7001">
        <w:t xml:space="preserve">The </w:t>
      </w:r>
      <w:r w:rsidR="00264A69" w:rsidRPr="002D7001">
        <w:t>Y</w:t>
      </w:r>
      <w:r w:rsidRPr="002D7001">
        <w:t xml:space="preserve">ear in </w:t>
      </w:r>
      <w:r w:rsidR="00264A69" w:rsidRPr="002D7001">
        <w:t>R</w:t>
      </w:r>
      <w:r w:rsidRPr="002D7001">
        <w:t>eview</w:t>
      </w:r>
      <w:bookmarkEnd w:id="9"/>
    </w:p>
    <w:p w14:paraId="76FB3647" w14:textId="7535E5AF" w:rsidR="00252B26" w:rsidRDefault="00252B26" w:rsidP="00304241">
      <w:pPr>
        <w:spacing w:line="264" w:lineRule="auto"/>
        <w:rPr>
          <w:rFonts w:cs="Arial"/>
        </w:rPr>
      </w:pPr>
      <w:r w:rsidRPr="00252B26">
        <w:rPr>
          <w:rFonts w:cs="Arial"/>
        </w:rPr>
        <w:t xml:space="preserve">2022 was another challenging </w:t>
      </w:r>
      <w:r w:rsidR="00593814">
        <w:rPr>
          <w:rFonts w:cs="Arial"/>
        </w:rPr>
        <w:t>period</w:t>
      </w:r>
      <w:r w:rsidRPr="00252B26">
        <w:rPr>
          <w:rFonts w:cs="Arial"/>
        </w:rPr>
        <w:t xml:space="preserve">, with the </w:t>
      </w:r>
      <w:r w:rsidR="00EB4CF0">
        <w:rPr>
          <w:rFonts w:cs="Arial"/>
        </w:rPr>
        <w:t xml:space="preserve">ongoing </w:t>
      </w:r>
      <w:r w:rsidRPr="00252B26">
        <w:rPr>
          <w:rFonts w:cs="Arial"/>
        </w:rPr>
        <w:t xml:space="preserve">impacts of the COVID-19 pandemic </w:t>
      </w:r>
      <w:r w:rsidR="00F9528D">
        <w:rPr>
          <w:rFonts w:cs="Arial"/>
        </w:rPr>
        <w:t xml:space="preserve">still </w:t>
      </w:r>
      <w:r w:rsidR="00EB4CF0">
        <w:rPr>
          <w:rFonts w:cs="Arial"/>
        </w:rPr>
        <w:t>posing</w:t>
      </w:r>
      <w:r w:rsidR="006D209C">
        <w:rPr>
          <w:rFonts w:cs="Arial"/>
        </w:rPr>
        <w:t xml:space="preserve"> some degree of </w:t>
      </w:r>
      <w:r w:rsidRPr="00252B26">
        <w:rPr>
          <w:rFonts w:cs="Arial"/>
        </w:rPr>
        <w:t xml:space="preserve">constraints </w:t>
      </w:r>
      <w:r w:rsidR="005B74DF">
        <w:rPr>
          <w:rFonts w:cs="Arial"/>
        </w:rPr>
        <w:t>as we commen</w:t>
      </w:r>
      <w:r w:rsidR="00720EAD">
        <w:rPr>
          <w:rFonts w:cs="Arial"/>
        </w:rPr>
        <w:t>c</w:t>
      </w:r>
      <w:r w:rsidR="005B74DF">
        <w:rPr>
          <w:rFonts w:cs="Arial"/>
        </w:rPr>
        <w:t>ed the year.</w:t>
      </w:r>
      <w:r w:rsidRPr="00252B26">
        <w:rPr>
          <w:rFonts w:cs="Arial"/>
        </w:rPr>
        <w:t xml:space="preserve"> As with 2020 and 2021, our Office continued to operate ‘business as usual’</w:t>
      </w:r>
      <w:r w:rsidR="00A61AA4">
        <w:rPr>
          <w:rFonts w:cs="Arial"/>
        </w:rPr>
        <w:t>,</w:t>
      </w:r>
      <w:r w:rsidRPr="00252B26">
        <w:rPr>
          <w:rFonts w:cs="Arial"/>
        </w:rPr>
        <w:t xml:space="preserve"> working remotely and effectively throughout the pandemic restrictions. </w:t>
      </w:r>
      <w:r w:rsidR="00BE6B34">
        <w:rPr>
          <w:rFonts w:cs="Arial"/>
        </w:rPr>
        <w:t xml:space="preserve">The </w:t>
      </w:r>
      <w:r w:rsidR="008711FB">
        <w:rPr>
          <w:rFonts w:cs="Arial"/>
        </w:rPr>
        <w:t>perman</w:t>
      </w:r>
      <w:r w:rsidR="00D94D96">
        <w:rPr>
          <w:rFonts w:cs="Arial"/>
        </w:rPr>
        <w:t xml:space="preserve">ent </w:t>
      </w:r>
      <w:r w:rsidRPr="00252B26">
        <w:rPr>
          <w:rFonts w:cs="Arial"/>
        </w:rPr>
        <w:t>lifting of lockdowns and other travel restrictions</w:t>
      </w:r>
      <w:r w:rsidR="00BE6B34">
        <w:rPr>
          <w:rFonts w:cs="Arial"/>
        </w:rPr>
        <w:t xml:space="preserve"> provided the Commissioner with the</w:t>
      </w:r>
      <w:r w:rsidRPr="00252B26">
        <w:rPr>
          <w:rFonts w:cs="Arial"/>
        </w:rPr>
        <w:t xml:space="preserve"> opportunity to re-commence </w:t>
      </w:r>
      <w:r w:rsidR="006D69F9">
        <w:rPr>
          <w:rFonts w:cs="Arial"/>
        </w:rPr>
        <w:t>‘i</w:t>
      </w:r>
      <w:r w:rsidR="00D94D96">
        <w:rPr>
          <w:rFonts w:cs="Arial"/>
        </w:rPr>
        <w:t>n-person</w:t>
      </w:r>
      <w:r w:rsidR="006D69F9">
        <w:rPr>
          <w:rFonts w:cs="Arial"/>
        </w:rPr>
        <w:t>’</w:t>
      </w:r>
      <w:r w:rsidR="00D94D96">
        <w:rPr>
          <w:rFonts w:cs="Arial"/>
        </w:rPr>
        <w:t xml:space="preserve"> </w:t>
      </w:r>
      <w:r w:rsidR="00CA0EEE">
        <w:rPr>
          <w:rFonts w:cs="Arial"/>
        </w:rPr>
        <w:t>briefings</w:t>
      </w:r>
      <w:r w:rsidR="00D94D96">
        <w:rPr>
          <w:rFonts w:cs="Arial"/>
        </w:rPr>
        <w:t xml:space="preserve"> </w:t>
      </w:r>
      <w:r w:rsidR="006A51DF">
        <w:rPr>
          <w:rFonts w:cs="Arial"/>
        </w:rPr>
        <w:t xml:space="preserve">as well as </w:t>
      </w:r>
      <w:r w:rsidRPr="00252B26">
        <w:rPr>
          <w:rFonts w:cs="Arial"/>
        </w:rPr>
        <w:t>visits to project locations and affected communities</w:t>
      </w:r>
      <w:r w:rsidR="006A51DF">
        <w:rPr>
          <w:rFonts w:cs="Arial"/>
        </w:rPr>
        <w:t>. We</w:t>
      </w:r>
      <w:r w:rsidR="00EB4CF0">
        <w:rPr>
          <w:rFonts w:cs="Arial"/>
        </w:rPr>
        <w:t xml:space="preserve"> anticipate continuing </w:t>
      </w:r>
      <w:r w:rsidR="00026DAE">
        <w:rPr>
          <w:rFonts w:cs="Arial"/>
        </w:rPr>
        <w:t>and increasing</w:t>
      </w:r>
      <w:r w:rsidR="00CA0EEE">
        <w:rPr>
          <w:rFonts w:cs="Arial"/>
        </w:rPr>
        <w:t xml:space="preserve"> </w:t>
      </w:r>
      <w:r w:rsidR="00C82C02">
        <w:rPr>
          <w:rFonts w:cs="Arial"/>
        </w:rPr>
        <w:t xml:space="preserve">our </w:t>
      </w:r>
      <w:r w:rsidR="00CA0EEE">
        <w:rPr>
          <w:rFonts w:cs="Arial"/>
        </w:rPr>
        <w:t xml:space="preserve">site </w:t>
      </w:r>
      <w:r w:rsidRPr="00252B26">
        <w:rPr>
          <w:rFonts w:cs="Arial"/>
        </w:rPr>
        <w:t>visit</w:t>
      </w:r>
      <w:r w:rsidR="00C82C02">
        <w:rPr>
          <w:rFonts w:cs="Arial"/>
        </w:rPr>
        <w:t xml:space="preserve"> program</w:t>
      </w:r>
      <w:r w:rsidRPr="00252B26">
        <w:rPr>
          <w:rFonts w:cs="Arial"/>
        </w:rPr>
        <w:t xml:space="preserve"> in 2023.</w:t>
      </w:r>
    </w:p>
    <w:p w14:paraId="1BA34BF7" w14:textId="07759722" w:rsidR="002338B8" w:rsidRDefault="00BE6B34" w:rsidP="00430EC9">
      <w:pPr>
        <w:spacing w:line="264" w:lineRule="auto"/>
      </w:pPr>
      <w:r>
        <w:t xml:space="preserve">The energy </w:t>
      </w:r>
      <w:r w:rsidR="005F4016">
        <w:t xml:space="preserve">source </w:t>
      </w:r>
      <w:r>
        <w:t>transition</w:t>
      </w:r>
      <w:r w:rsidR="007761D2">
        <w:t>, from fossil fuels to renewables</w:t>
      </w:r>
      <w:r w:rsidR="005F4016">
        <w:t>,</w:t>
      </w:r>
      <w:r>
        <w:t xml:space="preserve"> increasingly demands new transmission deployments in parallel with the development of new generation capacity. </w:t>
      </w:r>
      <w:r w:rsidR="00ED5E26">
        <w:t xml:space="preserve">Industry continues to experience challenges </w:t>
      </w:r>
      <w:r>
        <w:t xml:space="preserve">in </w:t>
      </w:r>
      <w:r w:rsidR="00ED5E26">
        <w:t xml:space="preserve">the development of the </w:t>
      </w:r>
      <w:r w:rsidR="009B77AC">
        <w:t xml:space="preserve">transmission </w:t>
      </w:r>
      <w:r w:rsidR="00ED5E26">
        <w:t xml:space="preserve">infrastructure </w:t>
      </w:r>
      <w:r w:rsidR="00720EAD">
        <w:t>that is</w:t>
      </w:r>
      <w:r w:rsidR="005F486B">
        <w:t xml:space="preserve"> ess</w:t>
      </w:r>
      <w:r w:rsidR="00ED5E26">
        <w:t xml:space="preserve">ential </w:t>
      </w:r>
      <w:r w:rsidR="00855F2B">
        <w:t>for</w:t>
      </w:r>
      <w:r w:rsidR="00716443">
        <w:t xml:space="preserve"> our</w:t>
      </w:r>
      <w:r w:rsidR="00EB4CF0">
        <w:t xml:space="preserve"> </w:t>
      </w:r>
      <w:r w:rsidR="00716443">
        <w:t xml:space="preserve">ability </w:t>
      </w:r>
      <w:r w:rsidR="00EB4CF0">
        <w:t xml:space="preserve">to </w:t>
      </w:r>
      <w:r w:rsidR="00855F2B">
        <w:t xml:space="preserve">reliably </w:t>
      </w:r>
      <w:r w:rsidR="00EB4CF0">
        <w:t>transmit</w:t>
      </w:r>
      <w:r w:rsidR="009729C0">
        <w:t xml:space="preserve"> </w:t>
      </w:r>
      <w:r w:rsidR="00806C4C">
        <w:t xml:space="preserve">power from </w:t>
      </w:r>
      <w:r w:rsidR="00E34711">
        <w:t xml:space="preserve">renewable energy </w:t>
      </w:r>
      <w:r w:rsidR="00855F2B">
        <w:t xml:space="preserve">generation </w:t>
      </w:r>
      <w:r w:rsidR="00E34711">
        <w:t>project</w:t>
      </w:r>
      <w:r>
        <w:t>s</w:t>
      </w:r>
      <w:r w:rsidR="00753C4B">
        <w:t xml:space="preserve"> to consumers</w:t>
      </w:r>
      <w:r>
        <w:t xml:space="preserve">. </w:t>
      </w:r>
    </w:p>
    <w:p w14:paraId="799A6B00" w14:textId="5616148E" w:rsidR="005A32A2" w:rsidRDefault="005E13FE" w:rsidP="00430EC9">
      <w:pPr>
        <w:spacing w:line="264" w:lineRule="auto"/>
        <w:rPr>
          <w:rStyle w:val="gmail-s1"/>
          <w:rFonts w:cs="Arial"/>
        </w:rPr>
      </w:pPr>
      <w:r>
        <w:t>A number of long</w:t>
      </w:r>
      <w:r w:rsidR="00B21D91">
        <w:t>-</w:t>
      </w:r>
      <w:r>
        <w:t>distance, g</w:t>
      </w:r>
      <w:r w:rsidR="00BE6B34">
        <w:t>reen-field transmission projects</w:t>
      </w:r>
      <w:r w:rsidR="00A6406B">
        <w:t xml:space="preserve"> </w:t>
      </w:r>
      <w:r w:rsidR="00DE54A0">
        <w:t xml:space="preserve">continue to </w:t>
      </w:r>
      <w:r w:rsidR="00A625D0">
        <w:t>experienc</w:t>
      </w:r>
      <w:r w:rsidR="00F01A6F">
        <w:t>e</w:t>
      </w:r>
      <w:r w:rsidR="00156170">
        <w:t xml:space="preserve"> </w:t>
      </w:r>
      <w:r w:rsidR="00BE6B34">
        <w:t xml:space="preserve">ongoing </w:t>
      </w:r>
      <w:r w:rsidR="00813B42">
        <w:t>challenge</w:t>
      </w:r>
      <w:r w:rsidR="008275AF">
        <w:t>s</w:t>
      </w:r>
      <w:r w:rsidR="00813B42">
        <w:t xml:space="preserve"> </w:t>
      </w:r>
      <w:r w:rsidR="00BE6B34">
        <w:t xml:space="preserve">as </w:t>
      </w:r>
      <w:r w:rsidR="00C0786E">
        <w:t>proponents attempt to</w:t>
      </w:r>
      <w:r w:rsidR="00BE6B34">
        <w:t xml:space="preserve"> engage with host </w:t>
      </w:r>
      <w:r w:rsidR="00813B42">
        <w:t xml:space="preserve">landholders, </w:t>
      </w:r>
      <w:r w:rsidR="00133A74">
        <w:t>neighbours</w:t>
      </w:r>
      <w:r w:rsidR="00813B42">
        <w:t xml:space="preserve"> and</w:t>
      </w:r>
      <w:r w:rsidR="00133A74">
        <w:t xml:space="preserve"> the broader community</w:t>
      </w:r>
      <w:r w:rsidR="00E73991">
        <w:t xml:space="preserve">. </w:t>
      </w:r>
      <w:r w:rsidR="00BE6B34">
        <w:t xml:space="preserve">The route selection and easement acquisition </w:t>
      </w:r>
      <w:r w:rsidR="00716443">
        <w:t>process</w:t>
      </w:r>
      <w:r w:rsidR="00ED5E26">
        <w:t xml:space="preserve"> also</w:t>
      </w:r>
      <w:r w:rsidR="00716443">
        <w:t xml:space="preserve"> </w:t>
      </w:r>
      <w:r w:rsidR="006E499A">
        <w:t>pose</w:t>
      </w:r>
      <w:r w:rsidR="00ED5E26">
        <w:t xml:space="preserve"> a </w:t>
      </w:r>
      <w:r w:rsidR="00BE6B34">
        <w:t>challenge for these projects</w:t>
      </w:r>
      <w:r w:rsidR="00534244">
        <w:t>, with industry and regulators</w:t>
      </w:r>
      <w:r w:rsidR="000B06D6">
        <w:t xml:space="preserve"> often having to develop </w:t>
      </w:r>
      <w:r w:rsidR="00720817">
        <w:t>collateral, agreements through to legislation</w:t>
      </w:r>
      <w:r w:rsidR="00A62B88">
        <w:t xml:space="preserve"> from a blank page, often due to the fact w</w:t>
      </w:r>
      <w:r w:rsidR="008A08E1">
        <w:t>e</w:t>
      </w:r>
      <w:r w:rsidR="00A62B88">
        <w:t xml:space="preserve"> haven</w:t>
      </w:r>
      <w:r w:rsidR="008A08E1">
        <w:t>’t developed transmission projects at this scale for decades</w:t>
      </w:r>
      <w:r w:rsidR="00BE6B34">
        <w:t>.</w:t>
      </w:r>
      <w:r w:rsidR="00430EC9">
        <w:t xml:space="preserve"> </w:t>
      </w:r>
      <w:r w:rsidR="00441231">
        <w:rPr>
          <w:rStyle w:val="gmail-s1"/>
          <w:rFonts w:cs="Arial"/>
        </w:rPr>
        <w:t xml:space="preserve"> </w:t>
      </w:r>
    </w:p>
    <w:p w14:paraId="4EF29987" w14:textId="60DF017A" w:rsidR="00A87C7C" w:rsidRDefault="005A32A2" w:rsidP="00304241">
      <w:pPr>
        <w:pStyle w:val="gmail-p1"/>
        <w:spacing w:before="0" w:beforeAutospacing="0" w:after="200" w:afterAutospacing="0" w:line="264" w:lineRule="auto"/>
        <w:rPr>
          <w:rStyle w:val="gmail-s1"/>
          <w:rFonts w:ascii="Arial" w:hAnsi="Arial" w:cs="Arial"/>
          <w:sz w:val="22"/>
          <w:szCs w:val="22"/>
        </w:rPr>
      </w:pPr>
      <w:r>
        <w:rPr>
          <w:rStyle w:val="gmail-s1"/>
          <w:rFonts w:ascii="Arial" w:hAnsi="Arial" w:cs="Arial"/>
          <w:sz w:val="22"/>
          <w:szCs w:val="22"/>
        </w:rPr>
        <w:t xml:space="preserve">Since the expansion of our role in March 2021, our office has received a </w:t>
      </w:r>
      <w:r w:rsidRPr="00DC6D3D">
        <w:rPr>
          <w:rStyle w:val="gmail-s1"/>
          <w:rFonts w:ascii="Arial" w:hAnsi="Arial" w:cs="Arial"/>
          <w:sz w:val="22"/>
          <w:szCs w:val="22"/>
        </w:rPr>
        <w:t>total of 155 cases related</w:t>
      </w:r>
      <w:r>
        <w:rPr>
          <w:rStyle w:val="gmail-s1"/>
          <w:rFonts w:ascii="Arial" w:hAnsi="Arial" w:cs="Arial"/>
          <w:sz w:val="22"/>
          <w:szCs w:val="22"/>
        </w:rPr>
        <w:t xml:space="preserve"> to major transmission projects.</w:t>
      </w:r>
      <w:r w:rsidR="00304241" w:rsidRPr="006F3C79">
        <w:rPr>
          <w:rStyle w:val="gmail-s1"/>
          <w:rFonts w:ascii="Arial" w:hAnsi="Arial" w:cs="Arial"/>
          <w:sz w:val="22"/>
          <w:szCs w:val="22"/>
        </w:rPr>
        <w:t xml:space="preserve"> </w:t>
      </w:r>
      <w:r>
        <w:rPr>
          <w:rStyle w:val="gmail-s1"/>
          <w:rFonts w:ascii="Arial" w:hAnsi="Arial" w:cs="Arial"/>
          <w:sz w:val="22"/>
          <w:szCs w:val="22"/>
        </w:rPr>
        <w:t xml:space="preserve">We received 111 </w:t>
      </w:r>
      <w:r w:rsidR="00EB03CE">
        <w:rPr>
          <w:rStyle w:val="gmail-s1"/>
          <w:rFonts w:ascii="Arial" w:hAnsi="Arial" w:cs="Arial"/>
          <w:sz w:val="22"/>
          <w:szCs w:val="22"/>
        </w:rPr>
        <w:t xml:space="preserve">new </w:t>
      </w:r>
      <w:r>
        <w:rPr>
          <w:rStyle w:val="gmail-s1"/>
          <w:rFonts w:ascii="Arial" w:hAnsi="Arial" w:cs="Arial"/>
          <w:sz w:val="22"/>
          <w:szCs w:val="22"/>
        </w:rPr>
        <w:t>cases in 2021 and 44 new cases between 1 January 2022 and 31 December</w:t>
      </w:r>
      <w:r w:rsidR="00F40718">
        <w:rPr>
          <w:rStyle w:val="gmail-s1"/>
          <w:rFonts w:ascii="Arial" w:hAnsi="Arial" w:cs="Arial"/>
          <w:sz w:val="22"/>
          <w:szCs w:val="22"/>
        </w:rPr>
        <w:t xml:space="preserve"> 2022</w:t>
      </w:r>
      <w:r>
        <w:rPr>
          <w:rStyle w:val="gmail-s1"/>
          <w:rFonts w:ascii="Arial" w:hAnsi="Arial" w:cs="Arial"/>
          <w:sz w:val="22"/>
          <w:szCs w:val="22"/>
        </w:rPr>
        <w:t xml:space="preserve">. The reduction in new </w:t>
      </w:r>
      <w:r w:rsidR="00DE7509">
        <w:rPr>
          <w:rStyle w:val="gmail-s1"/>
          <w:rFonts w:ascii="Arial" w:hAnsi="Arial" w:cs="Arial"/>
          <w:sz w:val="22"/>
          <w:szCs w:val="22"/>
        </w:rPr>
        <w:t>cases</w:t>
      </w:r>
      <w:r>
        <w:rPr>
          <w:rStyle w:val="gmail-s1"/>
          <w:rFonts w:ascii="Arial" w:hAnsi="Arial" w:cs="Arial"/>
          <w:sz w:val="22"/>
          <w:szCs w:val="22"/>
        </w:rPr>
        <w:t xml:space="preserve"> regarding transmission projects in 2022 is </w:t>
      </w:r>
      <w:r w:rsidR="00B11FA2">
        <w:rPr>
          <w:rStyle w:val="gmail-s1"/>
          <w:rFonts w:ascii="Arial" w:hAnsi="Arial" w:cs="Arial"/>
          <w:sz w:val="22"/>
          <w:szCs w:val="22"/>
        </w:rPr>
        <w:t xml:space="preserve">encouraging </w:t>
      </w:r>
      <w:r w:rsidR="00B277CC">
        <w:rPr>
          <w:rStyle w:val="gmail-s1"/>
          <w:rFonts w:ascii="Arial" w:hAnsi="Arial" w:cs="Arial"/>
          <w:sz w:val="22"/>
          <w:szCs w:val="22"/>
        </w:rPr>
        <w:t>and reflect</w:t>
      </w:r>
      <w:r w:rsidR="00720EAD">
        <w:rPr>
          <w:rStyle w:val="gmail-s1"/>
          <w:rFonts w:ascii="Arial" w:hAnsi="Arial" w:cs="Arial"/>
          <w:sz w:val="22"/>
          <w:szCs w:val="22"/>
        </w:rPr>
        <w:t>s</w:t>
      </w:r>
      <w:r w:rsidR="00B277CC">
        <w:rPr>
          <w:rStyle w:val="gmail-s1"/>
          <w:rFonts w:ascii="Arial" w:hAnsi="Arial" w:cs="Arial"/>
          <w:sz w:val="22"/>
          <w:szCs w:val="22"/>
        </w:rPr>
        <w:t xml:space="preserve"> better engagement by industry with </w:t>
      </w:r>
      <w:r w:rsidR="00AD4EFD">
        <w:rPr>
          <w:rStyle w:val="gmail-s1"/>
          <w:rFonts w:ascii="Arial" w:hAnsi="Arial" w:cs="Arial"/>
          <w:sz w:val="22"/>
          <w:szCs w:val="22"/>
        </w:rPr>
        <w:t>community members and their improved</w:t>
      </w:r>
      <w:r w:rsidR="00B6193F">
        <w:rPr>
          <w:rStyle w:val="gmail-s1"/>
          <w:rFonts w:ascii="Arial" w:hAnsi="Arial" w:cs="Arial"/>
          <w:sz w:val="22"/>
          <w:szCs w:val="22"/>
        </w:rPr>
        <w:t xml:space="preserve"> cap</w:t>
      </w:r>
      <w:r w:rsidR="00AD4EFD">
        <w:rPr>
          <w:rStyle w:val="gmail-s1"/>
          <w:rFonts w:ascii="Arial" w:hAnsi="Arial" w:cs="Arial"/>
          <w:sz w:val="22"/>
          <w:szCs w:val="22"/>
        </w:rPr>
        <w:t>ability to directly</w:t>
      </w:r>
      <w:r w:rsidR="00B6193F">
        <w:rPr>
          <w:rStyle w:val="gmail-s1"/>
          <w:rFonts w:ascii="Arial" w:hAnsi="Arial" w:cs="Arial"/>
          <w:sz w:val="22"/>
          <w:szCs w:val="22"/>
        </w:rPr>
        <w:t xml:space="preserve"> rec</w:t>
      </w:r>
      <w:r w:rsidR="00F64D71">
        <w:rPr>
          <w:rStyle w:val="gmail-s1"/>
          <w:rFonts w:ascii="Arial" w:hAnsi="Arial" w:cs="Arial"/>
          <w:sz w:val="22"/>
          <w:szCs w:val="22"/>
        </w:rPr>
        <w:t>eive and resolve issues and complaints.</w:t>
      </w:r>
      <w:r w:rsidR="00476893">
        <w:rPr>
          <w:rStyle w:val="gmail-s1"/>
          <w:rFonts w:ascii="Arial" w:hAnsi="Arial" w:cs="Arial"/>
          <w:sz w:val="22"/>
          <w:szCs w:val="22"/>
        </w:rPr>
        <w:t xml:space="preserve"> </w:t>
      </w:r>
      <w:r w:rsidR="00737F39">
        <w:rPr>
          <w:rStyle w:val="gmail-s1"/>
          <w:rFonts w:ascii="Arial" w:hAnsi="Arial" w:cs="Arial"/>
          <w:sz w:val="22"/>
          <w:szCs w:val="22"/>
        </w:rPr>
        <w:t>But</w:t>
      </w:r>
      <w:r w:rsidR="00476893">
        <w:rPr>
          <w:rStyle w:val="gmail-s1"/>
          <w:rFonts w:ascii="Arial" w:hAnsi="Arial" w:cs="Arial"/>
          <w:sz w:val="22"/>
          <w:szCs w:val="22"/>
        </w:rPr>
        <w:t xml:space="preserve"> it is a long journey ahead</w:t>
      </w:r>
      <w:r w:rsidR="00B07E6C">
        <w:rPr>
          <w:rStyle w:val="gmail-s1"/>
          <w:rFonts w:ascii="Arial" w:hAnsi="Arial" w:cs="Arial"/>
          <w:sz w:val="22"/>
          <w:szCs w:val="22"/>
        </w:rPr>
        <w:t xml:space="preserve"> for that </w:t>
      </w:r>
      <w:r w:rsidR="00A87C7C">
        <w:rPr>
          <w:rStyle w:val="gmail-s1"/>
          <w:rFonts w:ascii="Arial" w:hAnsi="Arial" w:cs="Arial"/>
          <w:sz w:val="22"/>
          <w:szCs w:val="22"/>
        </w:rPr>
        <w:t>jurisdiction</w:t>
      </w:r>
      <w:r>
        <w:rPr>
          <w:rStyle w:val="gmail-s1"/>
          <w:rFonts w:ascii="Arial" w:hAnsi="Arial" w:cs="Arial"/>
          <w:sz w:val="22"/>
          <w:szCs w:val="22"/>
        </w:rPr>
        <w:t>.</w:t>
      </w:r>
    </w:p>
    <w:p w14:paraId="6CFBC151" w14:textId="07C6B3B2" w:rsidR="001E713C" w:rsidRDefault="001E713C" w:rsidP="00304241">
      <w:pPr>
        <w:pStyle w:val="gmail-p1"/>
        <w:spacing w:before="0" w:beforeAutospacing="0" w:after="200" w:afterAutospacing="0" w:line="264" w:lineRule="auto"/>
        <w:rPr>
          <w:rStyle w:val="gmail-s1"/>
          <w:rFonts w:ascii="Arial" w:hAnsi="Arial" w:cs="Arial"/>
          <w:sz w:val="22"/>
          <w:szCs w:val="22"/>
        </w:rPr>
      </w:pPr>
      <w:r>
        <w:rPr>
          <w:rStyle w:val="gmail-s1"/>
          <w:rFonts w:ascii="Arial" w:hAnsi="Arial" w:cs="Arial"/>
          <w:sz w:val="22"/>
          <w:szCs w:val="22"/>
        </w:rPr>
        <w:t xml:space="preserve">Also, in 2022, cases other than </w:t>
      </w:r>
      <w:r w:rsidR="003B2B06">
        <w:rPr>
          <w:rStyle w:val="gmail-s1"/>
          <w:rFonts w:ascii="Arial" w:hAnsi="Arial" w:cs="Arial"/>
          <w:sz w:val="22"/>
          <w:szCs w:val="22"/>
        </w:rPr>
        <w:t xml:space="preserve">transmission, dropped to an all time low of just 43 </w:t>
      </w:r>
      <w:r w:rsidR="00737F39">
        <w:rPr>
          <w:rStyle w:val="gmail-s1"/>
          <w:rFonts w:ascii="Arial" w:hAnsi="Arial" w:cs="Arial"/>
          <w:sz w:val="22"/>
          <w:szCs w:val="22"/>
        </w:rPr>
        <w:t>cases. Prior</w:t>
      </w:r>
      <w:r w:rsidR="00011191">
        <w:rPr>
          <w:rStyle w:val="gmail-s1"/>
          <w:rFonts w:ascii="Arial" w:hAnsi="Arial" w:cs="Arial"/>
          <w:sz w:val="22"/>
          <w:szCs w:val="22"/>
        </w:rPr>
        <w:t xml:space="preserve"> to 2022, the next lowest year for non-tran</w:t>
      </w:r>
      <w:r w:rsidR="003A454D">
        <w:rPr>
          <w:rStyle w:val="gmail-s1"/>
          <w:rFonts w:ascii="Arial" w:hAnsi="Arial" w:cs="Arial"/>
          <w:sz w:val="22"/>
          <w:szCs w:val="22"/>
        </w:rPr>
        <w:t>s</w:t>
      </w:r>
      <w:r w:rsidR="00011191">
        <w:rPr>
          <w:rStyle w:val="gmail-s1"/>
          <w:rFonts w:ascii="Arial" w:hAnsi="Arial" w:cs="Arial"/>
          <w:sz w:val="22"/>
          <w:szCs w:val="22"/>
        </w:rPr>
        <w:t>mission case</w:t>
      </w:r>
      <w:r w:rsidR="003A454D">
        <w:rPr>
          <w:rStyle w:val="gmail-s1"/>
          <w:rFonts w:ascii="Arial" w:hAnsi="Arial" w:cs="Arial"/>
          <w:sz w:val="22"/>
          <w:szCs w:val="22"/>
        </w:rPr>
        <w:t>s was 72 cases in 2017.All of those cases</w:t>
      </w:r>
      <w:r w:rsidR="00F178CE">
        <w:rPr>
          <w:rStyle w:val="gmail-s1"/>
          <w:rFonts w:ascii="Arial" w:hAnsi="Arial" w:cs="Arial"/>
          <w:sz w:val="22"/>
          <w:szCs w:val="22"/>
        </w:rPr>
        <w:t xml:space="preserve"> were about wind farms.</w:t>
      </w:r>
    </w:p>
    <w:p w14:paraId="61BF3738" w14:textId="0C914807" w:rsidR="00304241" w:rsidRDefault="00512F3A" w:rsidP="00304241">
      <w:pPr>
        <w:pStyle w:val="gmail-p1"/>
        <w:spacing w:before="0" w:beforeAutospacing="0" w:after="200" w:afterAutospacing="0" w:line="264" w:lineRule="auto"/>
        <w:rPr>
          <w:rStyle w:val="gmail-s1"/>
          <w:rFonts w:ascii="Arial" w:hAnsi="Arial" w:cs="Arial"/>
          <w:sz w:val="22"/>
          <w:szCs w:val="22"/>
        </w:rPr>
      </w:pPr>
      <w:r>
        <w:rPr>
          <w:rStyle w:val="gmail-s1"/>
          <w:rFonts w:ascii="Arial" w:hAnsi="Arial" w:cs="Arial"/>
          <w:sz w:val="22"/>
          <w:szCs w:val="22"/>
        </w:rPr>
        <w:lastRenderedPageBreak/>
        <w:t xml:space="preserve">We have </w:t>
      </w:r>
      <w:r w:rsidR="00DE7509">
        <w:rPr>
          <w:rStyle w:val="gmail-s1"/>
          <w:rFonts w:ascii="Arial" w:hAnsi="Arial" w:cs="Arial"/>
          <w:sz w:val="22"/>
          <w:szCs w:val="22"/>
        </w:rPr>
        <w:t>met</w:t>
      </w:r>
      <w:r w:rsidR="00304241" w:rsidRPr="00D23DA7">
        <w:rPr>
          <w:rStyle w:val="gmail-s1"/>
          <w:rFonts w:ascii="Arial" w:hAnsi="Arial" w:cs="Arial"/>
          <w:sz w:val="22"/>
          <w:szCs w:val="22"/>
        </w:rPr>
        <w:t xml:space="preserve"> with various community, industry and government stakeholders</w:t>
      </w:r>
      <w:r w:rsidR="00DE7509">
        <w:rPr>
          <w:rStyle w:val="gmail-s1"/>
          <w:rFonts w:ascii="Arial" w:hAnsi="Arial" w:cs="Arial"/>
          <w:sz w:val="22"/>
          <w:szCs w:val="22"/>
        </w:rPr>
        <w:t xml:space="preserve"> regarding large scale transmission projects</w:t>
      </w:r>
      <w:r w:rsidR="009B1A22">
        <w:rPr>
          <w:rStyle w:val="gmail-s1"/>
          <w:rFonts w:ascii="Arial" w:hAnsi="Arial" w:cs="Arial"/>
          <w:sz w:val="22"/>
          <w:szCs w:val="22"/>
        </w:rPr>
        <w:t xml:space="preserve">, including </w:t>
      </w:r>
      <w:r w:rsidR="00095CF2">
        <w:rPr>
          <w:rStyle w:val="gmail-s1"/>
          <w:rFonts w:ascii="Arial" w:hAnsi="Arial" w:cs="Arial"/>
          <w:sz w:val="22"/>
          <w:szCs w:val="22"/>
        </w:rPr>
        <w:t xml:space="preserve">site visits to affected communities </w:t>
      </w:r>
      <w:r w:rsidR="00095CF2" w:rsidRPr="00DC6D3D">
        <w:rPr>
          <w:rStyle w:val="gmail-s1"/>
          <w:rFonts w:ascii="Arial" w:hAnsi="Arial" w:cs="Arial"/>
          <w:sz w:val="22"/>
          <w:szCs w:val="22"/>
        </w:rPr>
        <w:t xml:space="preserve">along </w:t>
      </w:r>
      <w:r w:rsidR="005039C3">
        <w:rPr>
          <w:rStyle w:val="gmail-s1"/>
          <w:rFonts w:ascii="Arial" w:hAnsi="Arial" w:cs="Arial"/>
          <w:sz w:val="22"/>
          <w:szCs w:val="22"/>
        </w:rPr>
        <w:t>proposed</w:t>
      </w:r>
      <w:r w:rsidR="00375DCA">
        <w:rPr>
          <w:rStyle w:val="gmail-s1"/>
          <w:rFonts w:ascii="Arial" w:hAnsi="Arial" w:cs="Arial"/>
          <w:sz w:val="22"/>
          <w:szCs w:val="22"/>
        </w:rPr>
        <w:t xml:space="preserve"> routes for Hu</w:t>
      </w:r>
      <w:r w:rsidR="008C2452">
        <w:rPr>
          <w:rStyle w:val="gmail-s1"/>
          <w:rFonts w:ascii="Arial" w:hAnsi="Arial" w:cs="Arial"/>
          <w:sz w:val="22"/>
          <w:szCs w:val="22"/>
        </w:rPr>
        <w:t>me</w:t>
      </w:r>
      <w:r w:rsidR="00EA0761">
        <w:rPr>
          <w:rStyle w:val="gmail-s1"/>
          <w:rFonts w:ascii="Arial" w:hAnsi="Arial" w:cs="Arial"/>
          <w:sz w:val="22"/>
          <w:szCs w:val="22"/>
        </w:rPr>
        <w:t>L</w:t>
      </w:r>
      <w:r w:rsidR="008C2452">
        <w:rPr>
          <w:rStyle w:val="gmail-s1"/>
          <w:rFonts w:ascii="Arial" w:hAnsi="Arial" w:cs="Arial"/>
          <w:sz w:val="22"/>
          <w:szCs w:val="22"/>
        </w:rPr>
        <w:t xml:space="preserve">ink </w:t>
      </w:r>
      <w:r w:rsidR="00375DCA">
        <w:rPr>
          <w:rStyle w:val="gmail-s1"/>
          <w:rFonts w:ascii="Arial" w:hAnsi="Arial" w:cs="Arial"/>
          <w:sz w:val="22"/>
          <w:szCs w:val="22"/>
        </w:rPr>
        <w:t xml:space="preserve">in NSW </w:t>
      </w:r>
      <w:r w:rsidR="00430EC9">
        <w:rPr>
          <w:rStyle w:val="gmail-s1"/>
          <w:rFonts w:ascii="Arial" w:hAnsi="Arial" w:cs="Arial"/>
          <w:sz w:val="22"/>
          <w:szCs w:val="22"/>
        </w:rPr>
        <w:t xml:space="preserve">and </w:t>
      </w:r>
      <w:r w:rsidR="007A7C40">
        <w:rPr>
          <w:rStyle w:val="gmail-s1"/>
          <w:rFonts w:ascii="Arial" w:hAnsi="Arial" w:cs="Arial"/>
          <w:sz w:val="22"/>
          <w:szCs w:val="22"/>
        </w:rPr>
        <w:t xml:space="preserve">the </w:t>
      </w:r>
      <w:r w:rsidR="00430EC9">
        <w:rPr>
          <w:rStyle w:val="gmail-s1"/>
          <w:rFonts w:ascii="Arial" w:hAnsi="Arial" w:cs="Arial"/>
          <w:sz w:val="22"/>
          <w:szCs w:val="22"/>
        </w:rPr>
        <w:t>West</w:t>
      </w:r>
      <w:r w:rsidR="00EA0761">
        <w:rPr>
          <w:rStyle w:val="gmail-s1"/>
          <w:rFonts w:ascii="Arial" w:hAnsi="Arial" w:cs="Arial"/>
          <w:sz w:val="22"/>
          <w:szCs w:val="22"/>
        </w:rPr>
        <w:t>ern Renewables Link</w:t>
      </w:r>
      <w:r w:rsidR="005039C3">
        <w:rPr>
          <w:rStyle w:val="gmail-s1"/>
          <w:rFonts w:ascii="Arial" w:hAnsi="Arial" w:cs="Arial"/>
          <w:sz w:val="22"/>
          <w:szCs w:val="22"/>
        </w:rPr>
        <w:t xml:space="preserve"> in</w:t>
      </w:r>
      <w:r w:rsidR="00430EC9">
        <w:rPr>
          <w:rStyle w:val="gmail-s1"/>
          <w:rFonts w:ascii="Arial" w:hAnsi="Arial" w:cs="Arial"/>
          <w:sz w:val="22"/>
          <w:szCs w:val="22"/>
        </w:rPr>
        <w:t xml:space="preserve"> Victoria</w:t>
      </w:r>
      <w:r w:rsidR="00304241" w:rsidRPr="00DC6D3D">
        <w:rPr>
          <w:rStyle w:val="gmail-s1"/>
          <w:rFonts w:ascii="Arial" w:hAnsi="Arial" w:cs="Arial"/>
          <w:sz w:val="22"/>
          <w:szCs w:val="22"/>
        </w:rPr>
        <w:t>.</w:t>
      </w:r>
      <w:r w:rsidR="005A32A2" w:rsidRPr="00DC6D3D">
        <w:rPr>
          <w:rStyle w:val="gmail-s1"/>
          <w:rFonts w:ascii="Arial" w:hAnsi="Arial" w:cs="Arial"/>
          <w:sz w:val="22"/>
          <w:szCs w:val="22"/>
        </w:rPr>
        <w:t xml:space="preserve"> </w:t>
      </w:r>
      <w:r w:rsidR="0073707F">
        <w:rPr>
          <w:rStyle w:val="gmail-s1"/>
          <w:rFonts w:ascii="Arial" w:hAnsi="Arial" w:cs="Arial"/>
          <w:sz w:val="22"/>
          <w:szCs w:val="22"/>
        </w:rPr>
        <w:t xml:space="preserve">The opportunity </w:t>
      </w:r>
      <w:r w:rsidR="00331A6D">
        <w:rPr>
          <w:rStyle w:val="gmail-s1"/>
          <w:rFonts w:ascii="Arial" w:hAnsi="Arial" w:cs="Arial"/>
          <w:sz w:val="22"/>
          <w:szCs w:val="22"/>
        </w:rPr>
        <w:t xml:space="preserve">for us </w:t>
      </w:r>
      <w:r w:rsidR="0073707F">
        <w:rPr>
          <w:rStyle w:val="gmail-s1"/>
          <w:rFonts w:ascii="Arial" w:hAnsi="Arial" w:cs="Arial"/>
          <w:sz w:val="22"/>
          <w:szCs w:val="22"/>
        </w:rPr>
        <w:t>to both engage with landholders and community members as w</w:t>
      </w:r>
      <w:r w:rsidR="00AA2B14">
        <w:rPr>
          <w:rStyle w:val="gmail-s1"/>
          <w:rFonts w:ascii="Arial" w:hAnsi="Arial" w:cs="Arial"/>
          <w:sz w:val="22"/>
          <w:szCs w:val="22"/>
        </w:rPr>
        <w:t>e</w:t>
      </w:r>
      <w:r w:rsidR="0073707F">
        <w:rPr>
          <w:rStyle w:val="gmail-s1"/>
          <w:rFonts w:ascii="Arial" w:hAnsi="Arial" w:cs="Arial"/>
          <w:sz w:val="22"/>
          <w:szCs w:val="22"/>
        </w:rPr>
        <w:t>ll as observe</w:t>
      </w:r>
      <w:r w:rsidR="00AA2B14">
        <w:rPr>
          <w:rStyle w:val="gmail-s1"/>
          <w:rFonts w:ascii="Arial" w:hAnsi="Arial" w:cs="Arial"/>
          <w:sz w:val="22"/>
          <w:szCs w:val="22"/>
        </w:rPr>
        <w:t xml:space="preserve"> the interactions between </w:t>
      </w:r>
      <w:r w:rsidR="00C3700B">
        <w:rPr>
          <w:rStyle w:val="gmail-s1"/>
          <w:rFonts w:ascii="Arial" w:hAnsi="Arial" w:cs="Arial"/>
          <w:sz w:val="22"/>
          <w:szCs w:val="22"/>
        </w:rPr>
        <w:t>the developers</w:t>
      </w:r>
      <w:r w:rsidR="00537257">
        <w:rPr>
          <w:rStyle w:val="gmail-s1"/>
          <w:rFonts w:ascii="Arial" w:hAnsi="Arial" w:cs="Arial"/>
          <w:sz w:val="22"/>
          <w:szCs w:val="22"/>
        </w:rPr>
        <w:t xml:space="preserve"> and those stakeholders</w:t>
      </w:r>
      <w:r w:rsidR="008766BE">
        <w:rPr>
          <w:rStyle w:val="gmail-s1"/>
          <w:rFonts w:ascii="Arial" w:hAnsi="Arial" w:cs="Arial"/>
          <w:sz w:val="22"/>
          <w:szCs w:val="22"/>
        </w:rPr>
        <w:t xml:space="preserve"> have resulted in </w:t>
      </w:r>
      <w:r w:rsidR="00DD5CF8">
        <w:rPr>
          <w:rStyle w:val="gmail-s1"/>
          <w:rFonts w:ascii="Arial" w:hAnsi="Arial" w:cs="Arial"/>
          <w:sz w:val="22"/>
          <w:szCs w:val="22"/>
        </w:rPr>
        <w:t>many recommendations being made</w:t>
      </w:r>
      <w:r w:rsidR="00106D3C">
        <w:rPr>
          <w:rStyle w:val="gmail-s1"/>
          <w:rFonts w:ascii="Arial" w:hAnsi="Arial" w:cs="Arial"/>
          <w:sz w:val="22"/>
          <w:szCs w:val="22"/>
        </w:rPr>
        <w:t xml:space="preserve"> by our Office that have now been adopted </w:t>
      </w:r>
      <w:r w:rsidR="003C5A76">
        <w:rPr>
          <w:rStyle w:val="gmail-s1"/>
          <w:rFonts w:ascii="Arial" w:hAnsi="Arial" w:cs="Arial"/>
          <w:sz w:val="22"/>
          <w:szCs w:val="22"/>
        </w:rPr>
        <w:t>by industry and government – or are in the process of bei</w:t>
      </w:r>
      <w:r w:rsidR="005F5C28">
        <w:rPr>
          <w:rStyle w:val="gmail-s1"/>
          <w:rFonts w:ascii="Arial" w:hAnsi="Arial" w:cs="Arial"/>
          <w:sz w:val="22"/>
          <w:szCs w:val="22"/>
        </w:rPr>
        <w:t>ng implemented.</w:t>
      </w:r>
      <w:r w:rsidR="006F2640">
        <w:rPr>
          <w:rStyle w:val="gmail-s1"/>
          <w:rFonts w:ascii="Arial" w:hAnsi="Arial" w:cs="Arial"/>
          <w:sz w:val="22"/>
          <w:szCs w:val="22"/>
        </w:rPr>
        <w:t xml:space="preserve"> </w:t>
      </w:r>
      <w:r w:rsidR="005F5C28">
        <w:rPr>
          <w:rStyle w:val="gmail-s1"/>
          <w:rFonts w:ascii="Arial" w:hAnsi="Arial" w:cs="Arial"/>
          <w:sz w:val="22"/>
          <w:szCs w:val="22"/>
        </w:rPr>
        <w:t xml:space="preserve">Appendix A </w:t>
      </w:r>
      <w:r w:rsidR="008454E5">
        <w:rPr>
          <w:rStyle w:val="gmail-s1"/>
          <w:rFonts w:ascii="Arial" w:hAnsi="Arial" w:cs="Arial"/>
          <w:sz w:val="22"/>
          <w:szCs w:val="22"/>
        </w:rPr>
        <w:t>o</w:t>
      </w:r>
      <w:r w:rsidR="005F5C28">
        <w:rPr>
          <w:rStyle w:val="gmail-s1"/>
          <w:rFonts w:ascii="Arial" w:hAnsi="Arial" w:cs="Arial"/>
          <w:sz w:val="22"/>
          <w:szCs w:val="22"/>
        </w:rPr>
        <w:t>f this report</w:t>
      </w:r>
      <w:r w:rsidR="008454E5">
        <w:rPr>
          <w:rStyle w:val="gmail-s1"/>
          <w:rFonts w:ascii="Arial" w:hAnsi="Arial" w:cs="Arial"/>
          <w:sz w:val="22"/>
          <w:szCs w:val="22"/>
        </w:rPr>
        <w:t xml:space="preserve"> </w:t>
      </w:r>
      <w:r w:rsidR="000B3F8B">
        <w:rPr>
          <w:rStyle w:val="gmail-s1"/>
          <w:rFonts w:ascii="Arial" w:hAnsi="Arial" w:cs="Arial"/>
          <w:sz w:val="22"/>
          <w:szCs w:val="22"/>
        </w:rPr>
        <w:t xml:space="preserve">contains </w:t>
      </w:r>
      <w:r w:rsidR="008454E5">
        <w:rPr>
          <w:rStyle w:val="gmail-s1"/>
          <w:rFonts w:ascii="Arial" w:hAnsi="Arial" w:cs="Arial"/>
          <w:sz w:val="22"/>
          <w:szCs w:val="22"/>
        </w:rPr>
        <w:t xml:space="preserve">our more detailed observations and recommendations. </w:t>
      </w:r>
      <w:r w:rsidR="00E62B38" w:rsidRPr="00DC6D3D">
        <w:rPr>
          <w:rStyle w:val="gmail-s1"/>
          <w:rFonts w:ascii="Arial" w:hAnsi="Arial" w:cs="Arial"/>
          <w:sz w:val="22"/>
          <w:szCs w:val="22"/>
        </w:rPr>
        <w:t>Our involvement</w:t>
      </w:r>
      <w:r w:rsidR="00F4039D" w:rsidRPr="00DC6D3D">
        <w:rPr>
          <w:rStyle w:val="gmail-s1"/>
          <w:rFonts w:ascii="Arial" w:hAnsi="Arial" w:cs="Arial"/>
          <w:sz w:val="22"/>
          <w:szCs w:val="22"/>
        </w:rPr>
        <w:t xml:space="preserve"> in transmission</w:t>
      </w:r>
      <w:r w:rsidR="00F4039D">
        <w:rPr>
          <w:rStyle w:val="gmail-s1"/>
          <w:rFonts w:ascii="Arial" w:hAnsi="Arial" w:cs="Arial"/>
          <w:sz w:val="22"/>
          <w:szCs w:val="22"/>
        </w:rPr>
        <w:t xml:space="preserve"> </w:t>
      </w:r>
      <w:r w:rsidR="00435AE9">
        <w:rPr>
          <w:rStyle w:val="gmail-s1"/>
          <w:rFonts w:ascii="Arial" w:hAnsi="Arial" w:cs="Arial"/>
          <w:sz w:val="22"/>
          <w:szCs w:val="22"/>
        </w:rPr>
        <w:t xml:space="preserve">matters and insights </w:t>
      </w:r>
      <w:r w:rsidR="009F54C5">
        <w:rPr>
          <w:rStyle w:val="gmail-s1"/>
          <w:rFonts w:ascii="Arial" w:hAnsi="Arial" w:cs="Arial"/>
          <w:sz w:val="22"/>
          <w:szCs w:val="22"/>
        </w:rPr>
        <w:t xml:space="preserve">so far </w:t>
      </w:r>
      <w:r w:rsidR="00F4039D">
        <w:rPr>
          <w:rStyle w:val="gmail-s1"/>
          <w:rFonts w:ascii="Arial" w:hAnsi="Arial" w:cs="Arial"/>
          <w:sz w:val="22"/>
          <w:szCs w:val="22"/>
        </w:rPr>
        <w:t>ha</w:t>
      </w:r>
      <w:r w:rsidR="00435AE9">
        <w:rPr>
          <w:rStyle w:val="gmail-s1"/>
          <w:rFonts w:ascii="Arial" w:hAnsi="Arial" w:cs="Arial"/>
          <w:sz w:val="22"/>
          <w:szCs w:val="22"/>
        </w:rPr>
        <w:t xml:space="preserve">ve </w:t>
      </w:r>
      <w:r w:rsidR="00F4039D">
        <w:rPr>
          <w:rStyle w:val="gmail-s1"/>
          <w:rFonts w:ascii="Arial" w:hAnsi="Arial" w:cs="Arial"/>
          <w:sz w:val="22"/>
          <w:szCs w:val="22"/>
        </w:rPr>
        <w:t>been welcomed</w:t>
      </w:r>
      <w:r w:rsidR="009C3970">
        <w:rPr>
          <w:rStyle w:val="gmail-s1"/>
          <w:rFonts w:ascii="Arial" w:hAnsi="Arial" w:cs="Arial"/>
          <w:sz w:val="22"/>
          <w:szCs w:val="22"/>
        </w:rPr>
        <w:t xml:space="preserve"> by </w:t>
      </w:r>
      <w:r w:rsidR="0082399C">
        <w:rPr>
          <w:rStyle w:val="gmail-s1"/>
          <w:rFonts w:ascii="Arial" w:hAnsi="Arial" w:cs="Arial"/>
          <w:sz w:val="22"/>
          <w:szCs w:val="22"/>
        </w:rPr>
        <w:t xml:space="preserve">our </w:t>
      </w:r>
      <w:r w:rsidR="009C3970">
        <w:rPr>
          <w:rStyle w:val="gmail-s1"/>
          <w:rFonts w:ascii="Arial" w:hAnsi="Arial" w:cs="Arial"/>
          <w:sz w:val="22"/>
          <w:szCs w:val="22"/>
        </w:rPr>
        <w:t>stakeholders</w:t>
      </w:r>
      <w:r w:rsidR="00B4712B">
        <w:rPr>
          <w:rStyle w:val="gmail-s1"/>
          <w:rFonts w:ascii="Arial" w:hAnsi="Arial" w:cs="Arial"/>
          <w:sz w:val="22"/>
          <w:szCs w:val="22"/>
        </w:rPr>
        <w:t xml:space="preserve"> and we are now heavily engaged</w:t>
      </w:r>
      <w:r w:rsidR="000004F8">
        <w:rPr>
          <w:rStyle w:val="gmail-s1"/>
          <w:rFonts w:ascii="Arial" w:hAnsi="Arial" w:cs="Arial"/>
          <w:sz w:val="22"/>
          <w:szCs w:val="22"/>
        </w:rPr>
        <w:t xml:space="preserve"> in assisting to overs</w:t>
      </w:r>
      <w:r w:rsidR="000B3F8B">
        <w:rPr>
          <w:rStyle w:val="gmail-s1"/>
          <w:rFonts w:ascii="Arial" w:hAnsi="Arial" w:cs="Arial"/>
          <w:sz w:val="22"/>
          <w:szCs w:val="22"/>
        </w:rPr>
        <w:t>ee</w:t>
      </w:r>
      <w:r w:rsidR="000004F8">
        <w:rPr>
          <w:rStyle w:val="gmail-s1"/>
          <w:rFonts w:ascii="Arial" w:hAnsi="Arial" w:cs="Arial"/>
          <w:sz w:val="22"/>
          <w:szCs w:val="22"/>
        </w:rPr>
        <w:t xml:space="preserve"> and guide many related programs and projects</w:t>
      </w:r>
      <w:r w:rsidR="009C3970">
        <w:rPr>
          <w:rStyle w:val="gmail-s1"/>
          <w:rFonts w:ascii="Arial" w:hAnsi="Arial" w:cs="Arial"/>
          <w:sz w:val="22"/>
          <w:szCs w:val="22"/>
        </w:rPr>
        <w:t>.</w:t>
      </w:r>
    </w:p>
    <w:p w14:paraId="0EA81BA2" w14:textId="3760E1A8" w:rsidR="00304241" w:rsidRPr="00D23DA7" w:rsidRDefault="00304241" w:rsidP="00304241">
      <w:pPr>
        <w:pStyle w:val="gmail-p1"/>
        <w:spacing w:before="0" w:beforeAutospacing="0" w:after="200" w:afterAutospacing="0" w:line="264" w:lineRule="auto"/>
        <w:rPr>
          <w:rStyle w:val="gmail-s1"/>
          <w:rFonts w:ascii="Arial" w:hAnsi="Arial" w:cs="Arial"/>
          <w:sz w:val="22"/>
          <w:szCs w:val="22"/>
        </w:rPr>
      </w:pPr>
      <w:r w:rsidRPr="00A01ED0">
        <w:rPr>
          <w:rStyle w:val="gmail-s1"/>
          <w:rFonts w:ascii="Arial" w:hAnsi="Arial" w:cs="Arial"/>
          <w:sz w:val="22"/>
          <w:szCs w:val="22"/>
        </w:rPr>
        <w:t xml:space="preserve">As </w:t>
      </w:r>
      <w:r w:rsidR="00B67EF0">
        <w:rPr>
          <w:rStyle w:val="gmail-s1"/>
          <w:rFonts w:ascii="Arial" w:hAnsi="Arial" w:cs="Arial"/>
          <w:sz w:val="22"/>
          <w:szCs w:val="22"/>
        </w:rPr>
        <w:t>at</w:t>
      </w:r>
      <w:r w:rsidR="007303BC">
        <w:rPr>
          <w:rStyle w:val="gmail-s1"/>
          <w:rFonts w:ascii="Arial" w:hAnsi="Arial" w:cs="Arial"/>
          <w:sz w:val="22"/>
          <w:szCs w:val="22"/>
        </w:rPr>
        <w:t xml:space="preserve"> </w:t>
      </w:r>
      <w:r w:rsidRPr="00A01ED0">
        <w:rPr>
          <w:rStyle w:val="gmail-s1"/>
          <w:rFonts w:ascii="Arial" w:hAnsi="Arial" w:cs="Arial"/>
          <w:sz w:val="22"/>
          <w:szCs w:val="22"/>
        </w:rPr>
        <w:t>31</w:t>
      </w:r>
      <w:r w:rsidR="0063739E">
        <w:rPr>
          <w:rStyle w:val="gmail-s1"/>
          <w:rFonts w:ascii="Arial" w:hAnsi="Arial" w:cs="Arial"/>
          <w:sz w:val="22"/>
          <w:szCs w:val="22"/>
        </w:rPr>
        <w:t xml:space="preserve"> </w:t>
      </w:r>
      <w:r w:rsidRPr="00A01ED0">
        <w:rPr>
          <w:rStyle w:val="gmail-s1"/>
          <w:rFonts w:ascii="Arial" w:hAnsi="Arial" w:cs="Arial"/>
          <w:sz w:val="22"/>
          <w:szCs w:val="22"/>
        </w:rPr>
        <w:t>December 202</w:t>
      </w:r>
      <w:r w:rsidR="003365AB">
        <w:rPr>
          <w:rStyle w:val="gmail-s1"/>
          <w:rFonts w:ascii="Arial" w:hAnsi="Arial" w:cs="Arial"/>
          <w:sz w:val="22"/>
          <w:szCs w:val="22"/>
        </w:rPr>
        <w:t>2</w:t>
      </w:r>
      <w:r w:rsidRPr="00A01ED0">
        <w:rPr>
          <w:rStyle w:val="gmail-s1"/>
          <w:rFonts w:ascii="Arial" w:hAnsi="Arial" w:cs="Arial"/>
          <w:sz w:val="22"/>
          <w:szCs w:val="22"/>
        </w:rPr>
        <w:t>, t</w:t>
      </w:r>
      <w:r w:rsidRPr="00A01ED0">
        <w:rPr>
          <w:rFonts w:ascii="Arial" w:eastAsia="Times New Roman" w:hAnsi="Arial" w:cs="Arial"/>
          <w:sz w:val="22"/>
          <w:szCs w:val="22"/>
        </w:rPr>
        <w:t>he Office ha</w:t>
      </w:r>
      <w:r w:rsidR="007303BC">
        <w:rPr>
          <w:rFonts w:ascii="Arial" w:eastAsia="Times New Roman" w:hAnsi="Arial" w:cs="Arial"/>
          <w:sz w:val="22"/>
          <w:szCs w:val="22"/>
        </w:rPr>
        <w:t>d</w:t>
      </w:r>
      <w:r w:rsidRPr="00A01ED0">
        <w:rPr>
          <w:rFonts w:ascii="Arial" w:eastAsia="Times New Roman" w:hAnsi="Arial" w:cs="Arial"/>
          <w:sz w:val="22"/>
          <w:szCs w:val="22"/>
        </w:rPr>
        <w:t xml:space="preserve"> </w:t>
      </w:r>
      <w:r w:rsidRPr="00A01ED0">
        <w:rPr>
          <w:rFonts w:ascii="Arial" w:hAnsi="Arial" w:cs="Arial"/>
          <w:sz w:val="22"/>
          <w:szCs w:val="22"/>
        </w:rPr>
        <w:t xml:space="preserve">received a total of </w:t>
      </w:r>
      <w:r w:rsidR="003365AB">
        <w:rPr>
          <w:rFonts w:ascii="Arial" w:hAnsi="Arial" w:cs="Arial"/>
          <w:sz w:val="22"/>
          <w:szCs w:val="22"/>
        </w:rPr>
        <w:t>824</w:t>
      </w:r>
      <w:r w:rsidRPr="00A01ED0">
        <w:rPr>
          <w:rFonts w:ascii="Arial" w:hAnsi="Arial" w:cs="Arial"/>
          <w:sz w:val="22"/>
          <w:szCs w:val="22"/>
        </w:rPr>
        <w:t xml:space="preserve"> </w:t>
      </w:r>
      <w:r>
        <w:rPr>
          <w:rFonts w:ascii="Arial" w:hAnsi="Arial" w:cs="Arial"/>
          <w:sz w:val="22"/>
          <w:szCs w:val="22"/>
        </w:rPr>
        <w:t>cases</w:t>
      </w:r>
      <w:r w:rsidRPr="00A01ED0">
        <w:rPr>
          <w:rFonts w:ascii="Arial" w:hAnsi="Arial" w:cs="Arial"/>
          <w:sz w:val="22"/>
          <w:szCs w:val="22"/>
        </w:rPr>
        <w:t xml:space="preserve"> since commencing</w:t>
      </w:r>
      <w:r w:rsidR="00C42D85">
        <w:rPr>
          <w:rFonts w:ascii="Arial" w:hAnsi="Arial" w:cs="Arial"/>
          <w:sz w:val="22"/>
          <w:szCs w:val="22"/>
        </w:rPr>
        <w:t xml:space="preserve"> operations </w:t>
      </w:r>
      <w:r w:rsidRPr="00A01ED0">
        <w:rPr>
          <w:rFonts w:ascii="Arial" w:hAnsi="Arial" w:cs="Arial"/>
          <w:sz w:val="22"/>
          <w:szCs w:val="22"/>
        </w:rPr>
        <w:t>in November 2015.</w:t>
      </w:r>
      <w:r>
        <w:rPr>
          <w:rFonts w:ascii="Arial" w:hAnsi="Arial" w:cs="Arial"/>
          <w:sz w:val="22"/>
          <w:szCs w:val="22"/>
        </w:rPr>
        <w:t xml:space="preserve"> </w:t>
      </w:r>
      <w:r w:rsidR="00BF681E">
        <w:rPr>
          <w:rStyle w:val="gmail-s1"/>
          <w:rFonts w:ascii="Arial" w:hAnsi="Arial" w:cs="Arial"/>
          <w:sz w:val="22"/>
          <w:szCs w:val="22"/>
        </w:rPr>
        <w:t>Most</w:t>
      </w:r>
      <w:r>
        <w:rPr>
          <w:rStyle w:val="gmail-s1"/>
          <w:rFonts w:ascii="Arial" w:hAnsi="Arial" w:cs="Arial"/>
          <w:sz w:val="22"/>
          <w:szCs w:val="22"/>
        </w:rPr>
        <w:t xml:space="preserve"> cases </w:t>
      </w:r>
      <w:r w:rsidR="00A63DCF">
        <w:rPr>
          <w:rStyle w:val="gmail-s1"/>
          <w:rFonts w:ascii="Arial" w:hAnsi="Arial" w:cs="Arial"/>
          <w:sz w:val="22"/>
          <w:szCs w:val="22"/>
        </w:rPr>
        <w:t>we receive</w:t>
      </w:r>
      <w:r w:rsidR="001B5F85">
        <w:rPr>
          <w:rStyle w:val="gmail-s1"/>
          <w:rFonts w:ascii="Arial" w:hAnsi="Arial" w:cs="Arial"/>
          <w:sz w:val="22"/>
          <w:szCs w:val="22"/>
        </w:rPr>
        <w:t>d</w:t>
      </w:r>
      <w:r w:rsidR="00A63DCF">
        <w:rPr>
          <w:rStyle w:val="gmail-s1"/>
          <w:rFonts w:ascii="Arial" w:hAnsi="Arial" w:cs="Arial"/>
          <w:sz w:val="22"/>
          <w:szCs w:val="22"/>
        </w:rPr>
        <w:t xml:space="preserve"> </w:t>
      </w:r>
      <w:r w:rsidR="001B5F85">
        <w:rPr>
          <w:rStyle w:val="gmail-s1"/>
          <w:rFonts w:ascii="Arial" w:hAnsi="Arial" w:cs="Arial"/>
          <w:sz w:val="22"/>
          <w:szCs w:val="22"/>
        </w:rPr>
        <w:t>were</w:t>
      </w:r>
      <w:r w:rsidRPr="00D23DA7">
        <w:rPr>
          <w:rStyle w:val="gmail-s1"/>
          <w:rFonts w:ascii="Arial" w:hAnsi="Arial" w:cs="Arial"/>
          <w:sz w:val="22"/>
          <w:szCs w:val="22"/>
        </w:rPr>
        <w:t xml:space="preserve"> about proposed projects.</w:t>
      </w:r>
      <w:r w:rsidR="00336D55">
        <w:rPr>
          <w:rStyle w:val="gmail-s1"/>
          <w:rFonts w:ascii="Arial" w:hAnsi="Arial" w:cs="Arial"/>
          <w:sz w:val="22"/>
          <w:szCs w:val="22"/>
        </w:rPr>
        <w:t xml:space="preserve"> Further details and information about</w:t>
      </w:r>
      <w:r w:rsidR="00126A6C">
        <w:rPr>
          <w:rStyle w:val="gmail-s1"/>
          <w:rFonts w:ascii="Arial" w:hAnsi="Arial" w:cs="Arial"/>
          <w:sz w:val="22"/>
          <w:szCs w:val="22"/>
        </w:rPr>
        <w:t xml:space="preserve"> cases receive</w:t>
      </w:r>
      <w:r w:rsidR="00DE0A6D">
        <w:rPr>
          <w:rStyle w:val="gmail-s1"/>
          <w:rFonts w:ascii="Arial" w:hAnsi="Arial" w:cs="Arial"/>
          <w:sz w:val="22"/>
          <w:szCs w:val="22"/>
        </w:rPr>
        <w:t>d</w:t>
      </w:r>
      <w:r w:rsidR="00126A6C">
        <w:rPr>
          <w:rStyle w:val="gmail-s1"/>
          <w:rFonts w:ascii="Arial" w:hAnsi="Arial" w:cs="Arial"/>
          <w:sz w:val="22"/>
          <w:szCs w:val="22"/>
        </w:rPr>
        <w:t xml:space="preserve"> </w:t>
      </w:r>
      <w:r w:rsidR="0025138A">
        <w:rPr>
          <w:rStyle w:val="gmail-s1"/>
          <w:rFonts w:ascii="Arial" w:hAnsi="Arial" w:cs="Arial"/>
          <w:sz w:val="22"/>
          <w:szCs w:val="22"/>
        </w:rPr>
        <w:t>is provided</w:t>
      </w:r>
      <w:r w:rsidR="00DF7F5D">
        <w:rPr>
          <w:rStyle w:val="gmail-s1"/>
          <w:rFonts w:ascii="Arial" w:hAnsi="Arial" w:cs="Arial"/>
          <w:sz w:val="22"/>
          <w:szCs w:val="22"/>
        </w:rPr>
        <w:t xml:space="preserve"> in this report.</w:t>
      </w:r>
      <w:r w:rsidRPr="00D23DA7">
        <w:rPr>
          <w:rStyle w:val="gmail-s1"/>
          <w:rFonts w:ascii="Arial" w:hAnsi="Arial" w:cs="Arial"/>
          <w:sz w:val="22"/>
          <w:szCs w:val="22"/>
        </w:rPr>
        <w:t xml:space="preserve">  </w:t>
      </w:r>
    </w:p>
    <w:p w14:paraId="6238E127" w14:textId="22F2EEAD" w:rsidR="00304241" w:rsidRPr="00F80261" w:rsidRDefault="0082399C" w:rsidP="00304241">
      <w:pPr>
        <w:pStyle w:val="gmail-p1"/>
        <w:spacing w:before="0" w:beforeAutospacing="0" w:after="200" w:afterAutospacing="0" w:line="264" w:lineRule="auto"/>
        <w:rPr>
          <w:rFonts w:ascii="Arial" w:hAnsi="Arial" w:cs="Arial"/>
          <w:sz w:val="22"/>
          <w:szCs w:val="22"/>
        </w:rPr>
      </w:pPr>
      <w:r>
        <w:rPr>
          <w:rFonts w:ascii="Arial" w:hAnsi="Arial" w:cs="Arial"/>
          <w:color w:val="000000"/>
          <w:sz w:val="22"/>
          <w:szCs w:val="22"/>
        </w:rPr>
        <w:t xml:space="preserve">Throughout 2022 we </w:t>
      </w:r>
      <w:r w:rsidR="00304241">
        <w:rPr>
          <w:rFonts w:ascii="Arial" w:hAnsi="Arial" w:cs="Arial"/>
          <w:color w:val="000000"/>
          <w:sz w:val="22"/>
          <w:szCs w:val="22"/>
        </w:rPr>
        <w:t>continue</w:t>
      </w:r>
      <w:r w:rsidR="005A1F10">
        <w:rPr>
          <w:rFonts w:ascii="Arial" w:hAnsi="Arial" w:cs="Arial"/>
          <w:color w:val="000000"/>
          <w:sz w:val="22"/>
          <w:szCs w:val="22"/>
        </w:rPr>
        <w:t>d</w:t>
      </w:r>
      <w:r w:rsidR="00304241">
        <w:rPr>
          <w:rFonts w:ascii="Arial" w:hAnsi="Arial" w:cs="Arial"/>
          <w:color w:val="000000"/>
          <w:sz w:val="22"/>
          <w:szCs w:val="22"/>
        </w:rPr>
        <w:t xml:space="preserve"> to </w:t>
      </w:r>
      <w:r w:rsidR="00304241" w:rsidRPr="00463598">
        <w:rPr>
          <w:rFonts w:ascii="Arial" w:hAnsi="Arial" w:cs="Arial"/>
          <w:color w:val="000000"/>
          <w:sz w:val="22"/>
          <w:szCs w:val="22"/>
        </w:rPr>
        <w:t>maintain</w:t>
      </w:r>
      <w:r w:rsidR="00304241" w:rsidRPr="00463598">
        <w:rPr>
          <w:rFonts w:ascii="Arial" w:hAnsi="Arial" w:cs="Arial"/>
          <w:sz w:val="22"/>
          <w:szCs w:val="22"/>
        </w:rPr>
        <w:t xml:space="preserve"> a</w:t>
      </w:r>
      <w:r w:rsidR="00304241">
        <w:rPr>
          <w:rFonts w:ascii="Arial" w:hAnsi="Arial" w:cs="Arial"/>
          <w:sz w:val="22"/>
          <w:szCs w:val="22"/>
        </w:rPr>
        <w:t xml:space="preserve">nd </w:t>
      </w:r>
      <w:r w:rsidR="001A1756">
        <w:rPr>
          <w:rFonts w:ascii="Arial" w:hAnsi="Arial" w:cs="Arial"/>
          <w:sz w:val="22"/>
          <w:szCs w:val="22"/>
        </w:rPr>
        <w:t>develop</w:t>
      </w:r>
      <w:r w:rsidR="00304241">
        <w:rPr>
          <w:rFonts w:ascii="Arial" w:hAnsi="Arial" w:cs="Arial"/>
          <w:sz w:val="22"/>
          <w:szCs w:val="22"/>
        </w:rPr>
        <w:t xml:space="preserve"> our </w:t>
      </w:r>
      <w:r w:rsidR="00304241" w:rsidRPr="00463598">
        <w:rPr>
          <w:rFonts w:ascii="Arial" w:hAnsi="Arial" w:cs="Arial"/>
          <w:sz w:val="22"/>
          <w:szCs w:val="22"/>
        </w:rPr>
        <w:t xml:space="preserve">network of </w:t>
      </w:r>
      <w:r w:rsidR="00E75031">
        <w:rPr>
          <w:rFonts w:ascii="Arial" w:hAnsi="Arial" w:cs="Arial"/>
          <w:sz w:val="22"/>
          <w:szCs w:val="22"/>
        </w:rPr>
        <w:t xml:space="preserve">our </w:t>
      </w:r>
      <w:r w:rsidR="005E43AD">
        <w:rPr>
          <w:rFonts w:ascii="Arial" w:hAnsi="Arial" w:cs="Arial"/>
          <w:sz w:val="22"/>
          <w:szCs w:val="22"/>
        </w:rPr>
        <w:t>ever-evolving</w:t>
      </w:r>
      <w:r w:rsidR="00E75031">
        <w:rPr>
          <w:rFonts w:ascii="Arial" w:hAnsi="Arial" w:cs="Arial"/>
          <w:sz w:val="22"/>
          <w:szCs w:val="22"/>
        </w:rPr>
        <w:t xml:space="preserve"> </w:t>
      </w:r>
      <w:r w:rsidR="00304241" w:rsidRPr="00463598">
        <w:rPr>
          <w:rFonts w:ascii="Arial" w:hAnsi="Arial" w:cs="Arial"/>
          <w:sz w:val="22"/>
          <w:szCs w:val="22"/>
        </w:rPr>
        <w:t>stakeholder</w:t>
      </w:r>
      <w:r w:rsidR="00E75031">
        <w:rPr>
          <w:rFonts w:ascii="Arial" w:hAnsi="Arial" w:cs="Arial"/>
          <w:sz w:val="22"/>
          <w:szCs w:val="22"/>
        </w:rPr>
        <w:t xml:space="preserve"> community</w:t>
      </w:r>
      <w:r w:rsidR="00304241" w:rsidRPr="00463598">
        <w:rPr>
          <w:rFonts w:ascii="Arial" w:hAnsi="Arial" w:cs="Arial"/>
          <w:sz w:val="22"/>
          <w:szCs w:val="22"/>
        </w:rPr>
        <w:t xml:space="preserve"> </w:t>
      </w:r>
      <w:r w:rsidR="00304241">
        <w:rPr>
          <w:rFonts w:ascii="Arial" w:hAnsi="Arial" w:cs="Arial"/>
          <w:sz w:val="22"/>
          <w:szCs w:val="22"/>
        </w:rPr>
        <w:t xml:space="preserve">and </w:t>
      </w:r>
      <w:r w:rsidR="00955473">
        <w:rPr>
          <w:rFonts w:ascii="Arial" w:hAnsi="Arial" w:cs="Arial"/>
          <w:sz w:val="22"/>
          <w:szCs w:val="22"/>
        </w:rPr>
        <w:t>delivered countless presentations and workshops</w:t>
      </w:r>
      <w:r w:rsidR="00E84951">
        <w:rPr>
          <w:rFonts w:ascii="Arial" w:hAnsi="Arial" w:cs="Arial"/>
          <w:sz w:val="22"/>
          <w:szCs w:val="22"/>
        </w:rPr>
        <w:t xml:space="preserve"> to </w:t>
      </w:r>
      <w:r w:rsidR="00304241" w:rsidRPr="009C1177">
        <w:rPr>
          <w:rFonts w:ascii="Arial" w:hAnsi="Arial" w:cs="Arial"/>
          <w:sz w:val="22"/>
          <w:szCs w:val="22"/>
        </w:rPr>
        <w:t xml:space="preserve">various </w:t>
      </w:r>
      <w:r w:rsidR="008C0729">
        <w:rPr>
          <w:rFonts w:ascii="Arial" w:hAnsi="Arial" w:cs="Arial"/>
          <w:sz w:val="22"/>
          <w:szCs w:val="22"/>
        </w:rPr>
        <w:t xml:space="preserve">stakeholder </w:t>
      </w:r>
      <w:r w:rsidR="00304241" w:rsidRPr="009C1177">
        <w:rPr>
          <w:rFonts w:ascii="Arial" w:hAnsi="Arial" w:cs="Arial"/>
          <w:sz w:val="22"/>
          <w:szCs w:val="22"/>
        </w:rPr>
        <w:t>groups</w:t>
      </w:r>
      <w:r w:rsidR="00E84951">
        <w:rPr>
          <w:rFonts w:ascii="Arial" w:hAnsi="Arial" w:cs="Arial"/>
          <w:sz w:val="22"/>
          <w:szCs w:val="22"/>
        </w:rPr>
        <w:t xml:space="preserve">, </w:t>
      </w:r>
      <w:r w:rsidR="00304241">
        <w:rPr>
          <w:rFonts w:ascii="Arial" w:hAnsi="Arial" w:cs="Arial"/>
          <w:sz w:val="22"/>
          <w:szCs w:val="22"/>
        </w:rPr>
        <w:t>shar</w:t>
      </w:r>
      <w:r w:rsidR="00E84951">
        <w:rPr>
          <w:rFonts w:ascii="Arial" w:hAnsi="Arial" w:cs="Arial"/>
          <w:sz w:val="22"/>
          <w:szCs w:val="22"/>
        </w:rPr>
        <w:t>ing</w:t>
      </w:r>
      <w:r w:rsidR="00304241">
        <w:rPr>
          <w:rFonts w:ascii="Arial" w:hAnsi="Arial" w:cs="Arial"/>
          <w:sz w:val="22"/>
          <w:szCs w:val="22"/>
        </w:rPr>
        <w:t xml:space="preserve"> our </w:t>
      </w:r>
      <w:r w:rsidR="006A6BD8">
        <w:rPr>
          <w:rFonts w:ascii="Arial" w:hAnsi="Arial" w:cs="Arial"/>
          <w:sz w:val="22"/>
          <w:szCs w:val="22"/>
        </w:rPr>
        <w:t>direct experiences on solving problem</w:t>
      </w:r>
      <w:r w:rsidR="002950A9">
        <w:rPr>
          <w:rFonts w:ascii="Arial" w:hAnsi="Arial" w:cs="Arial"/>
          <w:sz w:val="22"/>
          <w:szCs w:val="22"/>
        </w:rPr>
        <w:t>s, the problems to solve</w:t>
      </w:r>
      <w:r w:rsidR="00BA3599">
        <w:rPr>
          <w:rFonts w:ascii="Arial" w:hAnsi="Arial" w:cs="Arial"/>
          <w:sz w:val="22"/>
          <w:szCs w:val="22"/>
        </w:rPr>
        <w:t xml:space="preserve"> a</w:t>
      </w:r>
      <w:r w:rsidR="000B3F8B">
        <w:rPr>
          <w:rFonts w:ascii="Arial" w:hAnsi="Arial" w:cs="Arial"/>
          <w:sz w:val="22"/>
          <w:szCs w:val="22"/>
        </w:rPr>
        <w:t xml:space="preserve">nd </w:t>
      </w:r>
      <w:r w:rsidR="00BA3599">
        <w:rPr>
          <w:rFonts w:ascii="Arial" w:hAnsi="Arial" w:cs="Arial"/>
          <w:sz w:val="22"/>
          <w:szCs w:val="22"/>
        </w:rPr>
        <w:t xml:space="preserve">our </w:t>
      </w:r>
      <w:r w:rsidR="00BC296E">
        <w:rPr>
          <w:rFonts w:ascii="Arial" w:hAnsi="Arial" w:cs="Arial"/>
          <w:sz w:val="22"/>
          <w:szCs w:val="22"/>
        </w:rPr>
        <w:t>observations</w:t>
      </w:r>
      <w:r w:rsidR="00942298">
        <w:rPr>
          <w:rFonts w:ascii="Arial" w:hAnsi="Arial" w:cs="Arial"/>
          <w:sz w:val="22"/>
          <w:szCs w:val="22"/>
        </w:rPr>
        <w:t xml:space="preserve"> and recommendations</w:t>
      </w:r>
      <w:r w:rsidR="00381EFE">
        <w:rPr>
          <w:rFonts w:ascii="Arial" w:hAnsi="Arial" w:cs="Arial"/>
          <w:sz w:val="22"/>
          <w:szCs w:val="22"/>
        </w:rPr>
        <w:t xml:space="preserve"> on best practice</w:t>
      </w:r>
      <w:r w:rsidR="00D11F9C">
        <w:rPr>
          <w:rFonts w:ascii="Arial" w:hAnsi="Arial" w:cs="Arial"/>
          <w:sz w:val="22"/>
          <w:szCs w:val="22"/>
        </w:rPr>
        <w:t>s</w:t>
      </w:r>
      <w:r w:rsidR="00942298">
        <w:rPr>
          <w:rFonts w:ascii="Arial" w:hAnsi="Arial" w:cs="Arial"/>
          <w:sz w:val="22"/>
          <w:szCs w:val="22"/>
        </w:rPr>
        <w:t>.</w:t>
      </w:r>
      <w:r w:rsidR="002C0E03">
        <w:rPr>
          <w:rFonts w:ascii="Arial" w:hAnsi="Arial" w:cs="Arial"/>
          <w:sz w:val="22"/>
          <w:szCs w:val="22"/>
        </w:rPr>
        <w:t xml:space="preserve"> </w:t>
      </w:r>
      <w:r w:rsidR="00304241">
        <w:rPr>
          <w:rFonts w:ascii="Arial" w:hAnsi="Arial" w:cs="Arial"/>
          <w:sz w:val="22"/>
          <w:szCs w:val="22"/>
        </w:rPr>
        <w:t>F</w:t>
      </w:r>
      <w:r w:rsidR="00304241" w:rsidRPr="00F80261">
        <w:rPr>
          <w:rFonts w:ascii="Arial" w:hAnsi="Arial" w:cs="Arial"/>
          <w:sz w:val="22"/>
          <w:szCs w:val="22"/>
        </w:rPr>
        <w:t xml:space="preserve">urther information on </w:t>
      </w:r>
      <w:r w:rsidR="00836DF6">
        <w:rPr>
          <w:rFonts w:ascii="Arial" w:hAnsi="Arial" w:cs="Arial"/>
          <w:sz w:val="22"/>
          <w:szCs w:val="22"/>
        </w:rPr>
        <w:t xml:space="preserve">our </w:t>
      </w:r>
      <w:r w:rsidR="00304241" w:rsidRPr="00F80261">
        <w:rPr>
          <w:rFonts w:ascii="Arial" w:hAnsi="Arial" w:cs="Arial"/>
          <w:sz w:val="22"/>
          <w:szCs w:val="22"/>
        </w:rPr>
        <w:t xml:space="preserve">stakeholder engagement </w:t>
      </w:r>
      <w:r w:rsidR="00381EFE">
        <w:rPr>
          <w:rFonts w:ascii="Arial" w:hAnsi="Arial" w:cs="Arial"/>
          <w:sz w:val="22"/>
          <w:szCs w:val="22"/>
        </w:rPr>
        <w:t xml:space="preserve">and our </w:t>
      </w:r>
      <w:r w:rsidR="00304241" w:rsidRPr="00F80261">
        <w:rPr>
          <w:rFonts w:ascii="Arial" w:hAnsi="Arial" w:cs="Arial"/>
          <w:sz w:val="22"/>
          <w:szCs w:val="22"/>
        </w:rPr>
        <w:t xml:space="preserve">advocacy activities are </w:t>
      </w:r>
      <w:r w:rsidR="00D11F9C">
        <w:rPr>
          <w:rFonts w:ascii="Arial" w:hAnsi="Arial" w:cs="Arial"/>
          <w:sz w:val="22"/>
          <w:szCs w:val="22"/>
        </w:rPr>
        <w:t>provided</w:t>
      </w:r>
      <w:r w:rsidR="00304241" w:rsidRPr="00F80261">
        <w:rPr>
          <w:rFonts w:ascii="Arial" w:hAnsi="Arial" w:cs="Arial"/>
          <w:sz w:val="22"/>
          <w:szCs w:val="22"/>
        </w:rPr>
        <w:t xml:space="preserve"> in</w:t>
      </w:r>
      <w:r w:rsidR="00304241" w:rsidRPr="00F80261">
        <w:rPr>
          <w:rFonts w:ascii="Arial" w:hAnsi="Arial" w:cs="Arial"/>
          <w:color w:val="000000"/>
          <w:sz w:val="22"/>
          <w:szCs w:val="22"/>
        </w:rPr>
        <w:t xml:space="preserve"> </w:t>
      </w:r>
      <w:r w:rsidR="00304241" w:rsidRPr="00F80261">
        <w:rPr>
          <w:rFonts w:ascii="Arial" w:hAnsi="Arial" w:cs="Arial"/>
          <w:sz w:val="22"/>
          <w:szCs w:val="22"/>
        </w:rPr>
        <w:t>this report.</w:t>
      </w:r>
    </w:p>
    <w:p w14:paraId="36312D0F" w14:textId="5CBB39EA" w:rsidR="00304241" w:rsidRPr="00D23DA7" w:rsidRDefault="00304241" w:rsidP="00304241">
      <w:pPr>
        <w:pStyle w:val="gmail-p1"/>
        <w:spacing w:before="0" w:beforeAutospacing="0" w:after="200" w:afterAutospacing="0" w:line="264" w:lineRule="auto"/>
        <w:rPr>
          <w:rStyle w:val="gmail-s1"/>
          <w:rFonts w:ascii="Arial" w:hAnsi="Arial" w:cs="Arial"/>
          <w:sz w:val="22"/>
          <w:szCs w:val="22"/>
        </w:rPr>
      </w:pPr>
      <w:r w:rsidRPr="00D23DA7">
        <w:rPr>
          <w:rStyle w:val="gmail-s1"/>
          <w:rFonts w:ascii="Arial" w:hAnsi="Arial" w:cs="Arial"/>
          <w:sz w:val="22"/>
          <w:szCs w:val="22"/>
        </w:rPr>
        <w:t xml:space="preserve">This </w:t>
      </w:r>
      <w:r w:rsidR="0087198D">
        <w:rPr>
          <w:rStyle w:val="gmail-s1"/>
          <w:rFonts w:ascii="Arial" w:hAnsi="Arial" w:cs="Arial"/>
          <w:sz w:val="22"/>
          <w:szCs w:val="22"/>
        </w:rPr>
        <w:t xml:space="preserve">annual </w:t>
      </w:r>
      <w:r w:rsidRPr="00D23DA7">
        <w:rPr>
          <w:rStyle w:val="gmail-s1"/>
          <w:rFonts w:ascii="Arial" w:hAnsi="Arial" w:cs="Arial"/>
          <w:sz w:val="22"/>
          <w:szCs w:val="22"/>
        </w:rPr>
        <w:t>report provides a</w:t>
      </w:r>
      <w:r w:rsidR="00E463DA">
        <w:rPr>
          <w:rStyle w:val="gmail-s1"/>
          <w:rFonts w:ascii="Arial" w:hAnsi="Arial" w:cs="Arial"/>
          <w:sz w:val="22"/>
          <w:szCs w:val="22"/>
        </w:rPr>
        <w:t>n overview</w:t>
      </w:r>
      <w:r w:rsidRPr="00D23DA7">
        <w:rPr>
          <w:rStyle w:val="gmail-s1"/>
          <w:rFonts w:ascii="Arial" w:hAnsi="Arial" w:cs="Arial"/>
          <w:sz w:val="22"/>
          <w:szCs w:val="22"/>
        </w:rPr>
        <w:t xml:space="preserve"> of the various activities of the </w:t>
      </w:r>
      <w:r w:rsidR="000B3F8B">
        <w:rPr>
          <w:rStyle w:val="gmail-s1"/>
          <w:rFonts w:ascii="Arial" w:hAnsi="Arial" w:cs="Arial"/>
          <w:sz w:val="22"/>
          <w:szCs w:val="22"/>
        </w:rPr>
        <w:t>O</w:t>
      </w:r>
      <w:r w:rsidRPr="00D23DA7">
        <w:rPr>
          <w:rStyle w:val="gmail-s1"/>
          <w:rFonts w:ascii="Arial" w:hAnsi="Arial" w:cs="Arial"/>
          <w:sz w:val="22"/>
          <w:szCs w:val="22"/>
        </w:rPr>
        <w:t xml:space="preserve">ffice </w:t>
      </w:r>
      <w:r w:rsidR="00E463DA">
        <w:rPr>
          <w:rStyle w:val="gmail-s1"/>
          <w:rFonts w:ascii="Arial" w:hAnsi="Arial" w:cs="Arial"/>
          <w:sz w:val="22"/>
          <w:szCs w:val="22"/>
        </w:rPr>
        <w:t>during 202</w:t>
      </w:r>
      <w:r w:rsidR="003365AB">
        <w:rPr>
          <w:rStyle w:val="gmail-s1"/>
          <w:rFonts w:ascii="Arial" w:hAnsi="Arial" w:cs="Arial"/>
          <w:sz w:val="22"/>
          <w:szCs w:val="22"/>
        </w:rPr>
        <w:t>2</w:t>
      </w:r>
      <w:r w:rsidR="00E463DA">
        <w:rPr>
          <w:rStyle w:val="gmail-s1"/>
          <w:rFonts w:ascii="Arial" w:hAnsi="Arial" w:cs="Arial"/>
          <w:sz w:val="22"/>
          <w:szCs w:val="22"/>
        </w:rPr>
        <w:t xml:space="preserve"> </w:t>
      </w:r>
      <w:r w:rsidRPr="00D23DA7">
        <w:rPr>
          <w:rStyle w:val="gmail-s1"/>
          <w:rFonts w:ascii="Arial" w:hAnsi="Arial" w:cs="Arial"/>
          <w:sz w:val="22"/>
          <w:szCs w:val="22"/>
        </w:rPr>
        <w:t>including:</w:t>
      </w:r>
    </w:p>
    <w:p w14:paraId="179A6AB9" w14:textId="77777777" w:rsidR="00304241" w:rsidRPr="00D23DA7" w:rsidRDefault="00304241" w:rsidP="00304241">
      <w:pPr>
        <w:pStyle w:val="gmail-p1"/>
        <w:numPr>
          <w:ilvl w:val="0"/>
          <w:numId w:val="34"/>
        </w:numPr>
        <w:spacing w:before="0" w:beforeAutospacing="0" w:after="200" w:afterAutospacing="0" w:line="264" w:lineRule="auto"/>
        <w:ind w:left="426"/>
        <w:rPr>
          <w:rStyle w:val="gmail-s1"/>
          <w:rFonts w:ascii="Arial" w:hAnsi="Arial" w:cs="Arial"/>
          <w:sz w:val="22"/>
          <w:szCs w:val="22"/>
        </w:rPr>
      </w:pPr>
      <w:r w:rsidRPr="00D23DA7">
        <w:rPr>
          <w:rStyle w:val="gmail-s1"/>
          <w:rFonts w:ascii="Arial" w:hAnsi="Arial" w:cs="Arial"/>
          <w:sz w:val="22"/>
          <w:szCs w:val="22"/>
        </w:rPr>
        <w:t>c</w:t>
      </w:r>
      <w:r>
        <w:rPr>
          <w:rStyle w:val="gmail-s1"/>
          <w:rFonts w:ascii="Arial" w:hAnsi="Arial" w:cs="Arial"/>
          <w:sz w:val="22"/>
          <w:szCs w:val="22"/>
        </w:rPr>
        <w:t xml:space="preserve">ase </w:t>
      </w:r>
      <w:r w:rsidRPr="00D23DA7">
        <w:rPr>
          <w:rStyle w:val="gmail-s1"/>
          <w:rFonts w:ascii="Arial" w:hAnsi="Arial" w:cs="Arial"/>
          <w:sz w:val="22"/>
          <w:szCs w:val="22"/>
        </w:rPr>
        <w:t>handling</w:t>
      </w:r>
    </w:p>
    <w:p w14:paraId="19FCFF9F" w14:textId="77777777" w:rsidR="00304241" w:rsidRPr="00D23DA7" w:rsidRDefault="00304241" w:rsidP="00304241">
      <w:pPr>
        <w:pStyle w:val="gmail-p1"/>
        <w:numPr>
          <w:ilvl w:val="0"/>
          <w:numId w:val="34"/>
        </w:numPr>
        <w:spacing w:before="0" w:beforeAutospacing="0" w:after="200" w:afterAutospacing="0" w:line="264" w:lineRule="auto"/>
        <w:ind w:left="426"/>
        <w:rPr>
          <w:rStyle w:val="gmail-s1"/>
          <w:rFonts w:ascii="Arial" w:hAnsi="Arial" w:cs="Arial"/>
          <w:sz w:val="22"/>
          <w:szCs w:val="22"/>
        </w:rPr>
      </w:pPr>
      <w:r w:rsidRPr="00D23DA7">
        <w:rPr>
          <w:rStyle w:val="gmail-s1"/>
          <w:rFonts w:ascii="Arial" w:hAnsi="Arial" w:cs="Arial"/>
          <w:sz w:val="22"/>
          <w:szCs w:val="22"/>
        </w:rPr>
        <w:t>transmission updates</w:t>
      </w:r>
    </w:p>
    <w:p w14:paraId="19E72405" w14:textId="77777777" w:rsidR="00304241" w:rsidRPr="00D23DA7" w:rsidRDefault="00304241" w:rsidP="00304241">
      <w:pPr>
        <w:pStyle w:val="gmail-p1"/>
        <w:numPr>
          <w:ilvl w:val="0"/>
          <w:numId w:val="34"/>
        </w:numPr>
        <w:spacing w:before="0" w:beforeAutospacing="0" w:after="200" w:afterAutospacing="0" w:line="264" w:lineRule="auto"/>
        <w:ind w:left="426"/>
        <w:rPr>
          <w:rStyle w:val="gmail-s1"/>
          <w:rFonts w:ascii="Arial" w:hAnsi="Arial" w:cs="Arial"/>
          <w:sz w:val="22"/>
          <w:szCs w:val="22"/>
        </w:rPr>
      </w:pPr>
      <w:r w:rsidRPr="00D23DA7">
        <w:rPr>
          <w:rStyle w:val="gmail-s1"/>
          <w:rFonts w:ascii="Arial" w:hAnsi="Arial" w:cs="Arial"/>
          <w:sz w:val="22"/>
          <w:szCs w:val="22"/>
        </w:rPr>
        <w:t>stakeholder engagement activities</w:t>
      </w:r>
    </w:p>
    <w:p w14:paraId="535DA291" w14:textId="77777777" w:rsidR="00304241" w:rsidRPr="00D23DA7" w:rsidRDefault="00304241" w:rsidP="00304241">
      <w:pPr>
        <w:pStyle w:val="gmail-p1"/>
        <w:numPr>
          <w:ilvl w:val="0"/>
          <w:numId w:val="34"/>
        </w:numPr>
        <w:spacing w:before="0" w:beforeAutospacing="0" w:after="200" w:afterAutospacing="0" w:line="264" w:lineRule="auto"/>
        <w:ind w:left="426"/>
        <w:rPr>
          <w:rStyle w:val="gmail-s1"/>
          <w:rFonts w:ascii="Arial" w:hAnsi="Arial" w:cs="Arial"/>
          <w:sz w:val="22"/>
          <w:szCs w:val="22"/>
        </w:rPr>
      </w:pPr>
      <w:r w:rsidRPr="00D23DA7">
        <w:rPr>
          <w:rStyle w:val="gmail-s1"/>
          <w:rFonts w:ascii="Arial" w:hAnsi="Arial" w:cs="Arial"/>
          <w:sz w:val="22"/>
          <w:szCs w:val="22"/>
        </w:rPr>
        <w:t>updates on conference presentations, committee memberships and formal submissions</w:t>
      </w:r>
    </w:p>
    <w:p w14:paraId="4A326AD8" w14:textId="59DFF172" w:rsidR="00304241" w:rsidRDefault="00304241" w:rsidP="00304241">
      <w:pPr>
        <w:pStyle w:val="gmail-p1"/>
        <w:numPr>
          <w:ilvl w:val="0"/>
          <w:numId w:val="34"/>
        </w:numPr>
        <w:spacing w:before="0" w:beforeAutospacing="0" w:after="200" w:afterAutospacing="0" w:line="264" w:lineRule="auto"/>
        <w:ind w:left="426"/>
        <w:rPr>
          <w:rStyle w:val="gmail-s1"/>
          <w:rFonts w:ascii="Arial" w:hAnsi="Arial" w:cs="Arial"/>
          <w:sz w:val="22"/>
          <w:szCs w:val="22"/>
        </w:rPr>
      </w:pPr>
      <w:r w:rsidRPr="00D23DA7">
        <w:rPr>
          <w:rStyle w:val="gmail-s1"/>
          <w:rFonts w:ascii="Arial" w:hAnsi="Arial" w:cs="Arial"/>
          <w:sz w:val="22"/>
          <w:szCs w:val="22"/>
        </w:rPr>
        <w:t>other ongoing best practice activities</w:t>
      </w:r>
      <w:r w:rsidR="00345358">
        <w:rPr>
          <w:rStyle w:val="gmail-s1"/>
          <w:rFonts w:ascii="Arial" w:hAnsi="Arial" w:cs="Arial"/>
          <w:sz w:val="22"/>
          <w:szCs w:val="22"/>
        </w:rPr>
        <w:t xml:space="preserve"> and publications</w:t>
      </w:r>
    </w:p>
    <w:p w14:paraId="31CA3C74" w14:textId="197A1B7D" w:rsidR="00FC692B" w:rsidRPr="00D23DA7" w:rsidRDefault="00FC692B" w:rsidP="00304241">
      <w:pPr>
        <w:pStyle w:val="gmail-p1"/>
        <w:numPr>
          <w:ilvl w:val="0"/>
          <w:numId w:val="34"/>
        </w:numPr>
        <w:spacing w:before="0" w:beforeAutospacing="0" w:after="200" w:afterAutospacing="0" w:line="264" w:lineRule="auto"/>
        <w:ind w:left="426"/>
        <w:rPr>
          <w:rFonts w:ascii="Arial" w:hAnsi="Arial" w:cs="Arial"/>
          <w:sz w:val="22"/>
          <w:szCs w:val="22"/>
        </w:rPr>
      </w:pPr>
      <w:r>
        <w:rPr>
          <w:rStyle w:val="gmail-s1"/>
          <w:rFonts w:ascii="Arial" w:hAnsi="Arial" w:cs="Arial"/>
          <w:sz w:val="22"/>
          <w:szCs w:val="22"/>
        </w:rPr>
        <w:t>updated and expanded observations and recommend</w:t>
      </w:r>
      <w:r w:rsidR="00163C56">
        <w:rPr>
          <w:rStyle w:val="gmail-s1"/>
          <w:rFonts w:ascii="Arial" w:hAnsi="Arial" w:cs="Arial"/>
          <w:sz w:val="22"/>
          <w:szCs w:val="22"/>
        </w:rPr>
        <w:t>a</w:t>
      </w:r>
      <w:r>
        <w:rPr>
          <w:rStyle w:val="gmail-s1"/>
          <w:rFonts w:ascii="Arial" w:hAnsi="Arial" w:cs="Arial"/>
          <w:sz w:val="22"/>
          <w:szCs w:val="22"/>
        </w:rPr>
        <w:t>tions</w:t>
      </w:r>
      <w:r w:rsidR="005F40DE">
        <w:rPr>
          <w:rStyle w:val="gmail-s1"/>
          <w:rFonts w:ascii="Arial" w:hAnsi="Arial" w:cs="Arial"/>
          <w:sz w:val="22"/>
          <w:szCs w:val="22"/>
        </w:rPr>
        <w:t xml:space="preserve"> (Appendix A</w:t>
      </w:r>
      <w:r w:rsidR="00C5684E">
        <w:rPr>
          <w:rStyle w:val="gmail-s1"/>
          <w:rFonts w:ascii="Arial" w:hAnsi="Arial" w:cs="Arial"/>
          <w:sz w:val="22"/>
          <w:szCs w:val="22"/>
        </w:rPr>
        <w:t>)</w:t>
      </w:r>
    </w:p>
    <w:p w14:paraId="27862B1A" w14:textId="46B20609" w:rsidR="00A159A5" w:rsidRDefault="00304241" w:rsidP="00304241">
      <w:pPr>
        <w:pStyle w:val="gmail-p1"/>
        <w:spacing w:before="0" w:beforeAutospacing="0" w:after="200" w:afterAutospacing="0" w:line="264" w:lineRule="auto"/>
        <w:rPr>
          <w:rFonts w:ascii="Arial" w:hAnsi="Arial" w:cs="Arial"/>
          <w:sz w:val="22"/>
          <w:szCs w:val="22"/>
        </w:rPr>
      </w:pPr>
      <w:r>
        <w:rPr>
          <w:rFonts w:ascii="Arial" w:hAnsi="Arial" w:cs="Arial"/>
          <w:sz w:val="22"/>
          <w:szCs w:val="22"/>
        </w:rPr>
        <w:t>Finally, t</w:t>
      </w:r>
      <w:r w:rsidRPr="00AE2C55">
        <w:rPr>
          <w:rFonts w:ascii="Arial" w:hAnsi="Arial" w:cs="Arial"/>
          <w:sz w:val="22"/>
          <w:szCs w:val="22"/>
        </w:rPr>
        <w:t>his report includes</w:t>
      </w:r>
      <w:r w:rsidRPr="00CD38F1">
        <w:rPr>
          <w:rFonts w:ascii="Arial" w:hAnsi="Arial" w:cs="Arial"/>
          <w:sz w:val="22"/>
          <w:szCs w:val="22"/>
        </w:rPr>
        <w:t xml:space="preserve"> a s</w:t>
      </w:r>
      <w:r w:rsidR="00561333">
        <w:rPr>
          <w:rFonts w:ascii="Arial" w:hAnsi="Arial" w:cs="Arial"/>
          <w:sz w:val="22"/>
          <w:szCs w:val="22"/>
        </w:rPr>
        <w:t>ummary</w:t>
      </w:r>
      <w:r w:rsidRPr="00CD38F1">
        <w:rPr>
          <w:rFonts w:ascii="Arial" w:hAnsi="Arial" w:cs="Arial"/>
          <w:sz w:val="22"/>
          <w:szCs w:val="22"/>
        </w:rPr>
        <w:t xml:space="preserve"> of key </w:t>
      </w:r>
      <w:r w:rsidR="006557E2">
        <w:rPr>
          <w:rFonts w:ascii="Arial" w:hAnsi="Arial" w:cs="Arial"/>
          <w:sz w:val="22"/>
          <w:szCs w:val="22"/>
        </w:rPr>
        <w:t xml:space="preserve">systemic </w:t>
      </w:r>
      <w:r w:rsidRPr="00CD38F1">
        <w:rPr>
          <w:rFonts w:ascii="Arial" w:hAnsi="Arial" w:cs="Arial"/>
          <w:sz w:val="22"/>
          <w:szCs w:val="22"/>
        </w:rPr>
        <w:t xml:space="preserve">issues </w:t>
      </w:r>
      <w:r w:rsidR="006557E2">
        <w:rPr>
          <w:rFonts w:ascii="Arial" w:hAnsi="Arial" w:cs="Arial"/>
          <w:sz w:val="22"/>
          <w:szCs w:val="22"/>
        </w:rPr>
        <w:t xml:space="preserve">and reforms </w:t>
      </w:r>
      <w:r w:rsidRPr="00CD38F1">
        <w:rPr>
          <w:rFonts w:ascii="Arial" w:hAnsi="Arial" w:cs="Arial"/>
          <w:sz w:val="22"/>
          <w:szCs w:val="22"/>
        </w:rPr>
        <w:t xml:space="preserve">that the Office has identified and </w:t>
      </w:r>
      <w:r>
        <w:rPr>
          <w:rFonts w:ascii="Arial" w:hAnsi="Arial" w:cs="Arial"/>
          <w:sz w:val="22"/>
          <w:szCs w:val="22"/>
        </w:rPr>
        <w:t xml:space="preserve">engaged </w:t>
      </w:r>
      <w:r w:rsidR="00214EEE">
        <w:rPr>
          <w:rFonts w:ascii="Arial" w:hAnsi="Arial" w:cs="Arial"/>
          <w:sz w:val="22"/>
          <w:szCs w:val="22"/>
        </w:rPr>
        <w:t>with</w:t>
      </w:r>
      <w:r w:rsidR="00214EEE" w:rsidRPr="00CD38F1">
        <w:rPr>
          <w:rFonts w:ascii="Arial" w:hAnsi="Arial" w:cs="Arial"/>
          <w:sz w:val="22"/>
          <w:szCs w:val="22"/>
        </w:rPr>
        <w:t xml:space="preserve"> </w:t>
      </w:r>
      <w:r>
        <w:rPr>
          <w:rFonts w:ascii="Arial" w:hAnsi="Arial" w:cs="Arial"/>
          <w:sz w:val="22"/>
          <w:szCs w:val="22"/>
        </w:rPr>
        <w:t>during 202</w:t>
      </w:r>
      <w:r w:rsidR="003365AB">
        <w:rPr>
          <w:rFonts w:ascii="Arial" w:hAnsi="Arial" w:cs="Arial"/>
          <w:sz w:val="22"/>
          <w:szCs w:val="22"/>
        </w:rPr>
        <w:t>2</w:t>
      </w:r>
      <w:r w:rsidRPr="00CD38F1">
        <w:rPr>
          <w:rFonts w:ascii="Arial" w:hAnsi="Arial" w:cs="Arial"/>
          <w:sz w:val="22"/>
          <w:szCs w:val="22"/>
        </w:rPr>
        <w:t xml:space="preserve">. </w:t>
      </w:r>
    </w:p>
    <w:p w14:paraId="400681DF" w14:textId="19A59A36" w:rsidR="00304241" w:rsidRPr="002D7001" w:rsidRDefault="00304241" w:rsidP="002D7001">
      <w:pPr>
        <w:pStyle w:val="Heading2"/>
      </w:pPr>
      <w:bookmarkStart w:id="10" w:name="_Toc51224024"/>
      <w:bookmarkStart w:id="11" w:name="_Toc135390571"/>
      <w:r w:rsidRPr="002D7001">
        <w:t xml:space="preserve">The </w:t>
      </w:r>
      <w:r w:rsidR="00264A69" w:rsidRPr="002D7001">
        <w:t>Y</w:t>
      </w:r>
      <w:r w:rsidRPr="002D7001">
        <w:t xml:space="preserve">ear </w:t>
      </w:r>
      <w:r w:rsidR="00264A69" w:rsidRPr="002D7001">
        <w:t>A</w:t>
      </w:r>
      <w:r w:rsidRPr="002D7001">
        <w:t>head</w:t>
      </w:r>
      <w:bookmarkEnd w:id="10"/>
      <w:bookmarkEnd w:id="11"/>
    </w:p>
    <w:p w14:paraId="54B12A3E" w14:textId="2FB972B8" w:rsidR="00EF74FD" w:rsidRDefault="005F3984" w:rsidP="00304241">
      <w:pPr>
        <w:pStyle w:val="gmail-p1"/>
        <w:spacing w:before="0" w:beforeAutospacing="0" w:after="200" w:afterAutospacing="0" w:line="264" w:lineRule="auto"/>
        <w:rPr>
          <w:rFonts w:ascii="Arial" w:hAnsi="Arial" w:cs="Arial"/>
          <w:sz w:val="22"/>
          <w:szCs w:val="22"/>
        </w:rPr>
      </w:pPr>
      <w:r>
        <w:rPr>
          <w:rFonts w:ascii="Arial" w:hAnsi="Arial" w:cs="Arial"/>
          <w:sz w:val="22"/>
          <w:szCs w:val="22"/>
        </w:rPr>
        <w:t xml:space="preserve">2023 </w:t>
      </w:r>
      <w:r w:rsidR="00304241" w:rsidRPr="002B3369">
        <w:rPr>
          <w:rFonts w:ascii="Arial" w:hAnsi="Arial" w:cs="Arial"/>
          <w:sz w:val="22"/>
          <w:szCs w:val="22"/>
        </w:rPr>
        <w:t xml:space="preserve">is </w:t>
      </w:r>
      <w:r w:rsidR="00B63427">
        <w:rPr>
          <w:rFonts w:ascii="Arial" w:hAnsi="Arial" w:cs="Arial"/>
          <w:sz w:val="22"/>
          <w:szCs w:val="22"/>
        </w:rPr>
        <w:t>a pivotal year</w:t>
      </w:r>
      <w:r w:rsidR="000E159B">
        <w:rPr>
          <w:rFonts w:ascii="Arial" w:hAnsi="Arial" w:cs="Arial"/>
          <w:sz w:val="22"/>
          <w:szCs w:val="22"/>
        </w:rPr>
        <w:t xml:space="preserve"> in many </w:t>
      </w:r>
      <w:r w:rsidR="00724275">
        <w:rPr>
          <w:rFonts w:ascii="Arial" w:hAnsi="Arial" w:cs="Arial"/>
          <w:sz w:val="22"/>
          <w:szCs w:val="22"/>
        </w:rPr>
        <w:t>respects. We</w:t>
      </w:r>
      <w:r w:rsidR="000E159B">
        <w:rPr>
          <w:rFonts w:ascii="Arial" w:hAnsi="Arial" w:cs="Arial"/>
          <w:sz w:val="22"/>
          <w:szCs w:val="22"/>
        </w:rPr>
        <w:t xml:space="preserve"> have started the important journey</w:t>
      </w:r>
      <w:r w:rsidR="0011735E">
        <w:rPr>
          <w:rFonts w:ascii="Arial" w:hAnsi="Arial" w:cs="Arial"/>
          <w:sz w:val="22"/>
          <w:szCs w:val="22"/>
        </w:rPr>
        <w:t xml:space="preserve"> to progress offshore wind </w:t>
      </w:r>
      <w:r w:rsidR="00E14155">
        <w:rPr>
          <w:rFonts w:ascii="Arial" w:hAnsi="Arial" w:cs="Arial"/>
          <w:sz w:val="22"/>
          <w:szCs w:val="22"/>
        </w:rPr>
        <w:t>developments</w:t>
      </w:r>
      <w:r w:rsidR="007165DB">
        <w:rPr>
          <w:rFonts w:ascii="Arial" w:hAnsi="Arial" w:cs="Arial"/>
          <w:sz w:val="22"/>
          <w:szCs w:val="22"/>
        </w:rPr>
        <w:t xml:space="preserve">, </w:t>
      </w:r>
      <w:r w:rsidR="000B3F8B">
        <w:rPr>
          <w:rFonts w:ascii="Arial" w:hAnsi="Arial" w:cs="Arial"/>
          <w:sz w:val="22"/>
          <w:szCs w:val="22"/>
        </w:rPr>
        <w:t xml:space="preserve">the </w:t>
      </w:r>
      <w:r w:rsidR="00E65ADC">
        <w:rPr>
          <w:rFonts w:ascii="Arial" w:hAnsi="Arial" w:cs="Arial"/>
          <w:sz w:val="22"/>
          <w:szCs w:val="22"/>
        </w:rPr>
        <w:t xml:space="preserve">deployment of </w:t>
      </w:r>
      <w:r w:rsidR="002A223E">
        <w:rPr>
          <w:rFonts w:ascii="Arial" w:hAnsi="Arial" w:cs="Arial"/>
          <w:sz w:val="22"/>
          <w:szCs w:val="22"/>
        </w:rPr>
        <w:t xml:space="preserve">new, </w:t>
      </w:r>
      <w:r w:rsidR="00E65ADC">
        <w:rPr>
          <w:rFonts w:ascii="Arial" w:hAnsi="Arial" w:cs="Arial"/>
          <w:sz w:val="22"/>
          <w:szCs w:val="22"/>
        </w:rPr>
        <w:t>substantial wind and</w:t>
      </w:r>
      <w:r w:rsidR="00922B85">
        <w:rPr>
          <w:rFonts w:ascii="Arial" w:hAnsi="Arial" w:cs="Arial"/>
          <w:sz w:val="22"/>
          <w:szCs w:val="22"/>
        </w:rPr>
        <w:t xml:space="preserve"> solar farms </w:t>
      </w:r>
      <w:r w:rsidR="000B3F8B">
        <w:rPr>
          <w:rFonts w:ascii="Arial" w:hAnsi="Arial" w:cs="Arial"/>
          <w:sz w:val="22"/>
          <w:szCs w:val="22"/>
        </w:rPr>
        <w:t xml:space="preserve">is </w:t>
      </w:r>
      <w:r w:rsidR="00922B85">
        <w:rPr>
          <w:rFonts w:ascii="Arial" w:hAnsi="Arial" w:cs="Arial"/>
          <w:sz w:val="22"/>
          <w:szCs w:val="22"/>
        </w:rPr>
        <w:t>well under</w:t>
      </w:r>
      <w:r w:rsidR="00021100">
        <w:rPr>
          <w:rFonts w:ascii="Arial" w:hAnsi="Arial" w:cs="Arial"/>
          <w:sz w:val="22"/>
          <w:szCs w:val="22"/>
        </w:rPr>
        <w:t xml:space="preserve">way </w:t>
      </w:r>
      <w:r w:rsidR="00704D4A">
        <w:rPr>
          <w:rFonts w:ascii="Arial" w:hAnsi="Arial" w:cs="Arial"/>
          <w:sz w:val="22"/>
          <w:szCs w:val="22"/>
        </w:rPr>
        <w:t>across the jurisdictions</w:t>
      </w:r>
      <w:r w:rsidR="002A223E">
        <w:rPr>
          <w:rFonts w:ascii="Arial" w:hAnsi="Arial" w:cs="Arial"/>
          <w:sz w:val="22"/>
          <w:szCs w:val="22"/>
        </w:rPr>
        <w:t xml:space="preserve">, </w:t>
      </w:r>
      <w:r w:rsidR="0047449D">
        <w:rPr>
          <w:rFonts w:ascii="Arial" w:hAnsi="Arial" w:cs="Arial"/>
          <w:sz w:val="22"/>
          <w:szCs w:val="22"/>
        </w:rPr>
        <w:t xml:space="preserve">a number of purpose built pumped-hydro </w:t>
      </w:r>
      <w:r w:rsidR="002552E6">
        <w:rPr>
          <w:rFonts w:ascii="Arial" w:hAnsi="Arial" w:cs="Arial"/>
          <w:sz w:val="22"/>
          <w:szCs w:val="22"/>
        </w:rPr>
        <w:t>projects have commen</w:t>
      </w:r>
      <w:r w:rsidR="000B3F8B">
        <w:rPr>
          <w:rFonts w:ascii="Arial" w:hAnsi="Arial" w:cs="Arial"/>
          <w:sz w:val="22"/>
          <w:szCs w:val="22"/>
        </w:rPr>
        <w:t>ce</w:t>
      </w:r>
      <w:r w:rsidR="002552E6">
        <w:rPr>
          <w:rFonts w:ascii="Arial" w:hAnsi="Arial" w:cs="Arial"/>
          <w:sz w:val="22"/>
          <w:szCs w:val="22"/>
        </w:rPr>
        <w:t>d development</w:t>
      </w:r>
      <w:r w:rsidR="00D12CAF">
        <w:rPr>
          <w:rFonts w:ascii="Arial" w:hAnsi="Arial" w:cs="Arial"/>
          <w:sz w:val="22"/>
          <w:szCs w:val="22"/>
        </w:rPr>
        <w:t xml:space="preserve"> while</w:t>
      </w:r>
      <w:r w:rsidR="002552E6">
        <w:rPr>
          <w:rFonts w:ascii="Arial" w:hAnsi="Arial" w:cs="Arial"/>
          <w:sz w:val="22"/>
          <w:szCs w:val="22"/>
        </w:rPr>
        <w:t xml:space="preserve"> large scale batteries</w:t>
      </w:r>
      <w:r w:rsidR="008A1456">
        <w:rPr>
          <w:rFonts w:ascii="Arial" w:hAnsi="Arial" w:cs="Arial"/>
          <w:sz w:val="22"/>
          <w:szCs w:val="22"/>
        </w:rPr>
        <w:t xml:space="preserve"> continue to evolve and are becoming a material c</w:t>
      </w:r>
      <w:r w:rsidR="00E7296C">
        <w:rPr>
          <w:rFonts w:ascii="Arial" w:hAnsi="Arial" w:cs="Arial"/>
          <w:sz w:val="22"/>
          <w:szCs w:val="22"/>
        </w:rPr>
        <w:t xml:space="preserve">ontributor to </w:t>
      </w:r>
      <w:r w:rsidR="00D12CAF">
        <w:rPr>
          <w:rFonts w:ascii="Arial" w:hAnsi="Arial" w:cs="Arial"/>
          <w:sz w:val="22"/>
          <w:szCs w:val="22"/>
        </w:rPr>
        <w:t xml:space="preserve">effectively better </w:t>
      </w:r>
      <w:r w:rsidR="00E7296C">
        <w:rPr>
          <w:rFonts w:ascii="Arial" w:hAnsi="Arial" w:cs="Arial"/>
          <w:sz w:val="22"/>
          <w:szCs w:val="22"/>
        </w:rPr>
        <w:t>manag</w:t>
      </w:r>
      <w:r w:rsidR="00D12CAF">
        <w:rPr>
          <w:rFonts w:ascii="Arial" w:hAnsi="Arial" w:cs="Arial"/>
          <w:sz w:val="22"/>
          <w:szCs w:val="22"/>
        </w:rPr>
        <w:t>e</w:t>
      </w:r>
      <w:r w:rsidR="00E7296C">
        <w:rPr>
          <w:rFonts w:ascii="Arial" w:hAnsi="Arial" w:cs="Arial"/>
          <w:sz w:val="22"/>
          <w:szCs w:val="22"/>
        </w:rPr>
        <w:t xml:space="preserve"> the grid.  </w:t>
      </w:r>
      <w:r w:rsidR="000B3F8B">
        <w:rPr>
          <w:rFonts w:ascii="Arial" w:hAnsi="Arial" w:cs="Arial"/>
          <w:sz w:val="22"/>
          <w:szCs w:val="22"/>
        </w:rPr>
        <w:t>S</w:t>
      </w:r>
      <w:r w:rsidR="000C2922">
        <w:rPr>
          <w:rFonts w:ascii="Arial" w:hAnsi="Arial" w:cs="Arial"/>
          <w:sz w:val="22"/>
          <w:szCs w:val="22"/>
        </w:rPr>
        <w:t>ignificant progress needs to be</w:t>
      </w:r>
      <w:r w:rsidR="00F51F9E">
        <w:rPr>
          <w:rFonts w:ascii="Arial" w:hAnsi="Arial" w:cs="Arial"/>
          <w:sz w:val="22"/>
          <w:szCs w:val="22"/>
        </w:rPr>
        <w:t xml:space="preserve"> achieved </w:t>
      </w:r>
      <w:r w:rsidR="00FC7900">
        <w:rPr>
          <w:rFonts w:ascii="Arial" w:hAnsi="Arial" w:cs="Arial"/>
          <w:sz w:val="22"/>
          <w:szCs w:val="22"/>
        </w:rPr>
        <w:t xml:space="preserve">by the end of 2023 </w:t>
      </w:r>
      <w:r w:rsidR="00F51F9E">
        <w:rPr>
          <w:rFonts w:ascii="Arial" w:hAnsi="Arial" w:cs="Arial"/>
          <w:sz w:val="22"/>
          <w:szCs w:val="22"/>
        </w:rPr>
        <w:t>on the major transmission projects that are to be deployed</w:t>
      </w:r>
      <w:r w:rsidR="00FC7900">
        <w:rPr>
          <w:rFonts w:ascii="Arial" w:hAnsi="Arial" w:cs="Arial"/>
          <w:sz w:val="22"/>
          <w:szCs w:val="22"/>
        </w:rPr>
        <w:t xml:space="preserve"> in time</w:t>
      </w:r>
      <w:r w:rsidR="006C6CB7">
        <w:rPr>
          <w:rFonts w:ascii="Arial" w:hAnsi="Arial" w:cs="Arial"/>
          <w:sz w:val="22"/>
          <w:szCs w:val="22"/>
        </w:rPr>
        <w:t xml:space="preserve"> for the effects of the transition.</w:t>
      </w:r>
      <w:r w:rsidR="001A736A">
        <w:rPr>
          <w:rFonts w:ascii="Arial" w:hAnsi="Arial" w:cs="Arial"/>
          <w:sz w:val="22"/>
          <w:szCs w:val="22"/>
        </w:rPr>
        <w:t xml:space="preserve"> </w:t>
      </w:r>
    </w:p>
    <w:p w14:paraId="2BAE6B62" w14:textId="301CB868" w:rsidR="000604EF" w:rsidRDefault="008F4FC8" w:rsidP="00304241">
      <w:pPr>
        <w:pStyle w:val="gmail-p1"/>
        <w:spacing w:before="0" w:beforeAutospacing="0" w:after="200" w:afterAutospacing="0" w:line="264" w:lineRule="auto"/>
        <w:rPr>
          <w:rStyle w:val="gmail-s1"/>
          <w:rFonts w:ascii="Arial" w:hAnsi="Arial" w:cs="Arial"/>
          <w:sz w:val="22"/>
          <w:szCs w:val="22"/>
        </w:rPr>
      </w:pPr>
      <w:r>
        <w:rPr>
          <w:rFonts w:ascii="Arial" w:hAnsi="Arial" w:cs="Arial"/>
          <w:sz w:val="22"/>
          <w:szCs w:val="22"/>
        </w:rPr>
        <w:t>Not surprisingly, t</w:t>
      </w:r>
      <w:r w:rsidR="00304241" w:rsidRPr="002B3369">
        <w:rPr>
          <w:rFonts w:ascii="Arial" w:hAnsi="Arial" w:cs="Arial"/>
          <w:sz w:val="22"/>
          <w:szCs w:val="22"/>
        </w:rPr>
        <w:t>ransmission will continue to be a</w:t>
      </w:r>
      <w:r w:rsidR="0083760C">
        <w:rPr>
          <w:rFonts w:ascii="Arial" w:hAnsi="Arial" w:cs="Arial"/>
          <w:sz w:val="22"/>
          <w:szCs w:val="22"/>
        </w:rPr>
        <w:t>n area of</w:t>
      </w:r>
      <w:r w:rsidR="00304241" w:rsidRPr="002B3369">
        <w:rPr>
          <w:rFonts w:ascii="Arial" w:hAnsi="Arial" w:cs="Arial"/>
          <w:sz w:val="22"/>
          <w:szCs w:val="22"/>
        </w:rPr>
        <w:t xml:space="preserve"> </w:t>
      </w:r>
      <w:r w:rsidR="00486AE3">
        <w:rPr>
          <w:rFonts w:ascii="Arial" w:hAnsi="Arial" w:cs="Arial"/>
          <w:sz w:val="22"/>
          <w:szCs w:val="22"/>
        </w:rPr>
        <w:t xml:space="preserve">significant </w:t>
      </w:r>
      <w:r w:rsidR="00304241" w:rsidRPr="002B3369">
        <w:rPr>
          <w:rFonts w:ascii="Arial" w:hAnsi="Arial" w:cs="Arial"/>
          <w:sz w:val="22"/>
          <w:szCs w:val="22"/>
        </w:rPr>
        <w:t>focus</w:t>
      </w:r>
      <w:r w:rsidR="0083760C">
        <w:rPr>
          <w:rFonts w:ascii="Arial" w:hAnsi="Arial" w:cs="Arial"/>
          <w:sz w:val="22"/>
          <w:szCs w:val="22"/>
        </w:rPr>
        <w:t xml:space="preserve"> for our Office.</w:t>
      </w:r>
      <w:r w:rsidR="00304241" w:rsidRPr="002B3369">
        <w:rPr>
          <w:rFonts w:ascii="Arial" w:hAnsi="Arial" w:cs="Arial"/>
          <w:sz w:val="22"/>
          <w:szCs w:val="22"/>
        </w:rPr>
        <w:t xml:space="preserve"> </w:t>
      </w:r>
      <w:r w:rsidR="0083760C">
        <w:rPr>
          <w:rFonts w:ascii="Arial" w:hAnsi="Arial" w:cs="Arial"/>
          <w:sz w:val="22"/>
          <w:szCs w:val="22"/>
        </w:rPr>
        <w:t>Large scale p</w:t>
      </w:r>
      <w:r w:rsidR="00304241" w:rsidRPr="002B3369">
        <w:rPr>
          <w:rFonts w:ascii="Arial" w:hAnsi="Arial" w:cs="Arial"/>
          <w:sz w:val="22"/>
          <w:szCs w:val="22"/>
        </w:rPr>
        <w:t xml:space="preserve">rojects such </w:t>
      </w:r>
      <w:r w:rsidR="00304241" w:rsidRPr="009552E1">
        <w:rPr>
          <w:rFonts w:ascii="Arial" w:hAnsi="Arial" w:cs="Arial"/>
          <w:sz w:val="22"/>
          <w:szCs w:val="22"/>
        </w:rPr>
        <w:t xml:space="preserve">as </w:t>
      </w:r>
      <w:r w:rsidR="00946531">
        <w:rPr>
          <w:rFonts w:ascii="Arial" w:hAnsi="Arial" w:cs="Arial"/>
          <w:sz w:val="22"/>
          <w:szCs w:val="22"/>
        </w:rPr>
        <w:t>HumeLink, Western Renewables Link, Marinus Link, VNI West</w:t>
      </w:r>
      <w:r w:rsidR="00783B31">
        <w:rPr>
          <w:rFonts w:ascii="Arial" w:hAnsi="Arial" w:cs="Arial"/>
          <w:sz w:val="22"/>
          <w:szCs w:val="22"/>
        </w:rPr>
        <w:t>, P</w:t>
      </w:r>
      <w:r w:rsidR="00957737">
        <w:rPr>
          <w:rFonts w:ascii="Arial" w:hAnsi="Arial" w:cs="Arial"/>
          <w:sz w:val="22"/>
          <w:szCs w:val="22"/>
        </w:rPr>
        <w:t>roject Energy Conne</w:t>
      </w:r>
      <w:r w:rsidR="003050F6">
        <w:rPr>
          <w:rFonts w:ascii="Arial" w:hAnsi="Arial" w:cs="Arial"/>
          <w:sz w:val="22"/>
          <w:szCs w:val="22"/>
        </w:rPr>
        <w:t xml:space="preserve">ct and NorthWest Tasmania </w:t>
      </w:r>
      <w:r w:rsidR="002C27F1">
        <w:rPr>
          <w:rFonts w:ascii="Arial" w:hAnsi="Arial" w:cs="Arial"/>
          <w:sz w:val="22"/>
          <w:szCs w:val="22"/>
        </w:rPr>
        <w:t>will all have major milestones to complete in 2023</w:t>
      </w:r>
      <w:r w:rsidR="00681CE9">
        <w:rPr>
          <w:rFonts w:ascii="Arial" w:hAnsi="Arial" w:cs="Arial"/>
          <w:sz w:val="22"/>
          <w:szCs w:val="22"/>
        </w:rPr>
        <w:t xml:space="preserve">, most of which will require sustained </w:t>
      </w:r>
      <w:r w:rsidR="003C5045">
        <w:rPr>
          <w:rFonts w:ascii="Arial" w:hAnsi="Arial" w:cs="Arial"/>
          <w:sz w:val="22"/>
          <w:szCs w:val="22"/>
        </w:rPr>
        <w:t xml:space="preserve">community support and landholder acceptance. </w:t>
      </w:r>
      <w:r w:rsidR="0083760C">
        <w:rPr>
          <w:rStyle w:val="gmail-s1"/>
          <w:rFonts w:ascii="Arial" w:hAnsi="Arial" w:cs="Arial"/>
          <w:sz w:val="22"/>
          <w:szCs w:val="22"/>
        </w:rPr>
        <w:t xml:space="preserve">Our Office </w:t>
      </w:r>
      <w:r w:rsidR="00465159">
        <w:rPr>
          <w:rStyle w:val="gmail-s1"/>
          <w:rFonts w:ascii="Arial" w:hAnsi="Arial" w:cs="Arial"/>
          <w:sz w:val="22"/>
          <w:szCs w:val="22"/>
        </w:rPr>
        <w:t xml:space="preserve">continues to make </w:t>
      </w:r>
      <w:r w:rsidR="00F22AD3">
        <w:rPr>
          <w:rStyle w:val="gmail-s1"/>
          <w:rFonts w:ascii="Arial" w:hAnsi="Arial" w:cs="Arial"/>
          <w:sz w:val="22"/>
          <w:szCs w:val="22"/>
        </w:rPr>
        <w:t>valuable contribution</w:t>
      </w:r>
      <w:r w:rsidR="009552E1">
        <w:rPr>
          <w:rStyle w:val="gmail-s1"/>
          <w:rFonts w:ascii="Arial" w:hAnsi="Arial" w:cs="Arial"/>
          <w:sz w:val="22"/>
          <w:szCs w:val="22"/>
        </w:rPr>
        <w:t>s</w:t>
      </w:r>
      <w:r w:rsidR="00F22AD3">
        <w:rPr>
          <w:rStyle w:val="gmail-s1"/>
          <w:rFonts w:ascii="Arial" w:hAnsi="Arial" w:cs="Arial"/>
          <w:sz w:val="22"/>
          <w:szCs w:val="22"/>
        </w:rPr>
        <w:t xml:space="preserve"> to these projects</w:t>
      </w:r>
      <w:r w:rsidR="00DB6CA5">
        <w:rPr>
          <w:rStyle w:val="gmail-s1"/>
          <w:rFonts w:ascii="Arial" w:hAnsi="Arial" w:cs="Arial"/>
          <w:sz w:val="22"/>
          <w:szCs w:val="22"/>
        </w:rPr>
        <w:t xml:space="preserve">, </w:t>
      </w:r>
      <w:r w:rsidR="0064366E">
        <w:rPr>
          <w:rStyle w:val="gmail-s1"/>
          <w:rFonts w:ascii="Arial" w:hAnsi="Arial" w:cs="Arial"/>
          <w:sz w:val="22"/>
          <w:szCs w:val="22"/>
        </w:rPr>
        <w:t>engaging in a wide range of activities fr</w:t>
      </w:r>
      <w:r w:rsidR="00DB6CA5">
        <w:rPr>
          <w:rStyle w:val="gmail-s1"/>
          <w:rFonts w:ascii="Arial" w:hAnsi="Arial" w:cs="Arial"/>
          <w:sz w:val="22"/>
          <w:szCs w:val="22"/>
        </w:rPr>
        <w:t xml:space="preserve">om </w:t>
      </w:r>
      <w:r w:rsidR="00935202">
        <w:rPr>
          <w:rStyle w:val="gmail-s1"/>
          <w:rFonts w:ascii="Arial" w:hAnsi="Arial" w:cs="Arial"/>
          <w:sz w:val="22"/>
          <w:szCs w:val="22"/>
        </w:rPr>
        <w:t xml:space="preserve">overall </w:t>
      </w:r>
      <w:r w:rsidR="00DB6CA5">
        <w:rPr>
          <w:rStyle w:val="gmail-s1"/>
          <w:rFonts w:ascii="Arial" w:hAnsi="Arial" w:cs="Arial"/>
          <w:sz w:val="22"/>
          <w:szCs w:val="22"/>
        </w:rPr>
        <w:t xml:space="preserve">project governance </w:t>
      </w:r>
      <w:r w:rsidR="00F22AD3">
        <w:rPr>
          <w:rStyle w:val="gmail-s1"/>
          <w:rFonts w:ascii="Arial" w:hAnsi="Arial" w:cs="Arial"/>
          <w:sz w:val="22"/>
          <w:szCs w:val="22"/>
        </w:rPr>
        <w:t xml:space="preserve">through </w:t>
      </w:r>
      <w:r w:rsidR="00DB6CA5">
        <w:rPr>
          <w:rStyle w:val="gmail-s1"/>
          <w:rFonts w:ascii="Arial" w:hAnsi="Arial" w:cs="Arial"/>
          <w:sz w:val="22"/>
          <w:szCs w:val="22"/>
        </w:rPr>
        <w:t xml:space="preserve">to </w:t>
      </w:r>
      <w:r w:rsidR="00935202">
        <w:rPr>
          <w:rStyle w:val="gmail-s1"/>
          <w:rFonts w:ascii="Arial" w:hAnsi="Arial" w:cs="Arial"/>
          <w:sz w:val="22"/>
          <w:szCs w:val="22"/>
        </w:rPr>
        <w:t>collateral development</w:t>
      </w:r>
      <w:r w:rsidR="00E26AEB">
        <w:rPr>
          <w:rStyle w:val="gmail-s1"/>
          <w:rFonts w:ascii="Arial" w:hAnsi="Arial" w:cs="Arial"/>
          <w:sz w:val="22"/>
          <w:szCs w:val="22"/>
        </w:rPr>
        <w:t>.</w:t>
      </w:r>
      <w:r w:rsidR="00935202">
        <w:rPr>
          <w:rStyle w:val="gmail-s1"/>
          <w:rFonts w:ascii="Arial" w:hAnsi="Arial" w:cs="Arial"/>
          <w:sz w:val="22"/>
          <w:szCs w:val="22"/>
        </w:rPr>
        <w:t xml:space="preserve"> </w:t>
      </w:r>
    </w:p>
    <w:p w14:paraId="0CD15B13" w14:textId="15A123B9" w:rsidR="0083760C" w:rsidRDefault="001B324F" w:rsidP="00304241">
      <w:pPr>
        <w:pStyle w:val="gmail-p1"/>
        <w:spacing w:before="0" w:beforeAutospacing="0" w:after="200" w:afterAutospacing="0" w:line="264" w:lineRule="auto"/>
        <w:rPr>
          <w:rStyle w:val="gmail-s1"/>
          <w:rFonts w:ascii="Arial" w:hAnsi="Arial"/>
          <w:sz w:val="22"/>
          <w:szCs w:val="22"/>
        </w:rPr>
      </w:pPr>
      <w:r>
        <w:rPr>
          <w:rStyle w:val="gmail-s1"/>
          <w:rFonts w:ascii="Arial" w:hAnsi="Arial" w:cs="Arial"/>
          <w:sz w:val="22"/>
          <w:szCs w:val="22"/>
        </w:rPr>
        <w:t xml:space="preserve">In 2023, we will </w:t>
      </w:r>
      <w:r w:rsidR="00B124FD">
        <w:rPr>
          <w:rStyle w:val="gmail-s1"/>
          <w:rFonts w:ascii="Arial" w:hAnsi="Arial" w:cs="Arial"/>
          <w:sz w:val="22"/>
          <w:szCs w:val="22"/>
        </w:rPr>
        <w:t xml:space="preserve">also </w:t>
      </w:r>
      <w:r>
        <w:rPr>
          <w:rStyle w:val="gmail-s1"/>
          <w:rFonts w:ascii="Arial" w:hAnsi="Arial" w:cs="Arial"/>
          <w:sz w:val="22"/>
          <w:szCs w:val="22"/>
        </w:rPr>
        <w:t>continue to work with industry</w:t>
      </w:r>
      <w:r w:rsidR="0064366E">
        <w:rPr>
          <w:rStyle w:val="gmail-s1"/>
          <w:rFonts w:ascii="Arial" w:hAnsi="Arial" w:cs="Arial"/>
          <w:sz w:val="22"/>
          <w:szCs w:val="22"/>
        </w:rPr>
        <w:t xml:space="preserve">, </w:t>
      </w:r>
      <w:r>
        <w:rPr>
          <w:rStyle w:val="gmail-s1"/>
          <w:rFonts w:ascii="Arial" w:hAnsi="Arial" w:cs="Arial"/>
          <w:sz w:val="22"/>
          <w:szCs w:val="22"/>
        </w:rPr>
        <w:t xml:space="preserve">government </w:t>
      </w:r>
      <w:r w:rsidR="0064366E">
        <w:rPr>
          <w:rStyle w:val="gmail-s1"/>
          <w:rFonts w:ascii="Arial" w:hAnsi="Arial" w:cs="Arial"/>
          <w:sz w:val="22"/>
          <w:szCs w:val="22"/>
        </w:rPr>
        <w:t xml:space="preserve">and the community to solve and resolve issues that are </w:t>
      </w:r>
      <w:r w:rsidR="00B124FD">
        <w:rPr>
          <w:rStyle w:val="gmail-s1"/>
          <w:rFonts w:ascii="Arial" w:hAnsi="Arial" w:cs="Arial"/>
          <w:sz w:val="22"/>
          <w:szCs w:val="22"/>
        </w:rPr>
        <w:t xml:space="preserve">the </w:t>
      </w:r>
      <w:r w:rsidR="0064366E">
        <w:rPr>
          <w:rStyle w:val="gmail-s1"/>
          <w:rFonts w:ascii="Arial" w:hAnsi="Arial" w:cs="Arial"/>
          <w:sz w:val="22"/>
          <w:szCs w:val="22"/>
        </w:rPr>
        <w:t xml:space="preserve">current barriers to gaining </w:t>
      </w:r>
      <w:r>
        <w:rPr>
          <w:rStyle w:val="gmail-s1"/>
          <w:rFonts w:ascii="Arial" w:hAnsi="Arial" w:cs="Arial"/>
          <w:sz w:val="22"/>
          <w:szCs w:val="22"/>
        </w:rPr>
        <w:t xml:space="preserve">social licence </w:t>
      </w:r>
      <w:r w:rsidR="0064366E">
        <w:rPr>
          <w:rStyle w:val="gmail-s1"/>
          <w:rFonts w:ascii="Arial" w:hAnsi="Arial" w:cs="Arial"/>
          <w:sz w:val="22"/>
          <w:szCs w:val="22"/>
        </w:rPr>
        <w:t xml:space="preserve">and, in turn, barriers to </w:t>
      </w:r>
      <w:r w:rsidR="00B124FD">
        <w:rPr>
          <w:rStyle w:val="gmail-s1"/>
          <w:rFonts w:ascii="Arial" w:hAnsi="Arial" w:cs="Arial"/>
          <w:sz w:val="22"/>
          <w:szCs w:val="22"/>
        </w:rPr>
        <w:t xml:space="preserve">transmission </w:t>
      </w:r>
      <w:r w:rsidR="0064366E">
        <w:rPr>
          <w:rStyle w:val="gmail-s1"/>
          <w:rFonts w:ascii="Arial" w:hAnsi="Arial" w:cs="Arial"/>
          <w:sz w:val="22"/>
          <w:szCs w:val="22"/>
        </w:rPr>
        <w:t>deployment</w:t>
      </w:r>
      <w:r w:rsidR="0083760C">
        <w:rPr>
          <w:rStyle w:val="gmail-s1"/>
          <w:rFonts w:ascii="Arial" w:hAnsi="Arial" w:cs="Arial"/>
          <w:sz w:val="22"/>
          <w:szCs w:val="22"/>
        </w:rPr>
        <w:t>.</w:t>
      </w:r>
      <w:r w:rsidR="0064366E">
        <w:rPr>
          <w:rStyle w:val="gmail-s1"/>
          <w:rFonts w:ascii="Arial" w:hAnsi="Arial" w:cs="Arial"/>
          <w:sz w:val="22"/>
          <w:szCs w:val="22"/>
        </w:rPr>
        <w:t xml:space="preserve"> The issues to address are now well known and were outlined in the Commissioner’s </w:t>
      </w:r>
      <w:r w:rsidR="0064366E">
        <w:rPr>
          <w:rStyle w:val="gmail-s1"/>
          <w:rFonts w:ascii="Arial" w:hAnsi="Arial" w:cs="Arial"/>
          <w:sz w:val="22"/>
          <w:szCs w:val="22"/>
        </w:rPr>
        <w:lastRenderedPageBreak/>
        <w:t>presentation to the October 2022 Energy Minister’s Meeting</w:t>
      </w:r>
      <w:r w:rsidR="00B124FD">
        <w:rPr>
          <w:rStyle w:val="gmail-s1"/>
          <w:rFonts w:ascii="Arial" w:hAnsi="Arial" w:cs="Arial"/>
          <w:sz w:val="22"/>
          <w:szCs w:val="22"/>
        </w:rPr>
        <w:t xml:space="preserve"> in Melbourne</w:t>
      </w:r>
      <w:r w:rsidR="0064366E">
        <w:rPr>
          <w:rStyle w:val="gmail-s1"/>
          <w:rFonts w:ascii="Arial" w:hAnsi="Arial" w:cs="Arial"/>
          <w:sz w:val="22"/>
          <w:szCs w:val="22"/>
        </w:rPr>
        <w:t xml:space="preserve">, </w:t>
      </w:r>
      <w:r w:rsidR="00B124FD">
        <w:rPr>
          <w:rStyle w:val="gmail-s1"/>
          <w:rFonts w:ascii="Arial" w:hAnsi="Arial" w:cs="Arial"/>
          <w:sz w:val="22"/>
          <w:szCs w:val="22"/>
        </w:rPr>
        <w:t>including</w:t>
      </w:r>
      <w:r w:rsidR="0064366E">
        <w:rPr>
          <w:rStyle w:val="gmail-s1"/>
          <w:rFonts w:ascii="Arial" w:hAnsi="Arial" w:cs="Arial"/>
          <w:sz w:val="22"/>
          <w:szCs w:val="22"/>
        </w:rPr>
        <w:t xml:space="preserve"> recommended solutions to properly address the identified issues. The presentation is available on our website.</w:t>
      </w:r>
    </w:p>
    <w:p w14:paraId="1D05855A" w14:textId="1EC33898" w:rsidR="00D66FC9" w:rsidRDefault="00D66FC9" w:rsidP="00304241">
      <w:pPr>
        <w:pStyle w:val="gmail-p1"/>
        <w:spacing w:before="0" w:beforeAutospacing="0" w:after="200" w:afterAutospacing="0" w:line="264" w:lineRule="auto"/>
        <w:rPr>
          <w:rStyle w:val="gmail-s1"/>
          <w:rFonts w:ascii="Arial" w:hAnsi="Arial" w:cs="Arial"/>
          <w:sz w:val="22"/>
        </w:rPr>
      </w:pPr>
      <w:r>
        <w:rPr>
          <w:rStyle w:val="gmail-s1"/>
          <w:rFonts w:ascii="Arial" w:hAnsi="Arial" w:cs="Arial"/>
          <w:sz w:val="22"/>
        </w:rPr>
        <w:t>We hope you enjoy reading this report</w:t>
      </w:r>
      <w:r w:rsidR="00A75C0F">
        <w:rPr>
          <w:rStyle w:val="gmail-s1"/>
          <w:rFonts w:ascii="Arial" w:hAnsi="Arial" w:cs="Arial"/>
          <w:sz w:val="22"/>
        </w:rPr>
        <w:t xml:space="preserve"> on our 2022 activities as well as updates</w:t>
      </w:r>
      <w:r w:rsidR="00FB5FA7">
        <w:rPr>
          <w:rStyle w:val="gmail-s1"/>
          <w:rFonts w:ascii="Arial" w:hAnsi="Arial" w:cs="Arial"/>
          <w:sz w:val="22"/>
        </w:rPr>
        <w:t xml:space="preserve"> to our many best practice </w:t>
      </w:r>
      <w:r w:rsidR="00391349">
        <w:rPr>
          <w:rStyle w:val="gmail-s1"/>
          <w:rFonts w:ascii="Arial" w:hAnsi="Arial" w:cs="Arial"/>
          <w:sz w:val="22"/>
        </w:rPr>
        <w:t>recommendations</w:t>
      </w:r>
      <w:r w:rsidR="00783B31">
        <w:rPr>
          <w:rStyle w:val="gmail-s1"/>
          <w:rFonts w:ascii="Arial" w:hAnsi="Arial" w:cs="Arial"/>
          <w:sz w:val="22"/>
        </w:rPr>
        <w:t xml:space="preserve">, </w:t>
      </w:r>
      <w:r w:rsidR="00391349">
        <w:rPr>
          <w:rStyle w:val="gmail-s1"/>
          <w:rFonts w:ascii="Arial" w:hAnsi="Arial" w:cs="Arial"/>
          <w:sz w:val="22"/>
        </w:rPr>
        <w:t>reflecting</w:t>
      </w:r>
      <w:r w:rsidR="003C5A46">
        <w:rPr>
          <w:rStyle w:val="gmail-s1"/>
          <w:rFonts w:ascii="Arial" w:hAnsi="Arial" w:cs="Arial"/>
          <w:sz w:val="22"/>
        </w:rPr>
        <w:t xml:space="preserve"> new knowledge we have gained since our previous report</w:t>
      </w:r>
      <w:r w:rsidR="0016443A">
        <w:rPr>
          <w:rStyle w:val="gmail-s1"/>
          <w:rFonts w:ascii="Arial" w:hAnsi="Arial" w:cs="Arial"/>
          <w:sz w:val="22"/>
        </w:rPr>
        <w:t>.</w:t>
      </w:r>
    </w:p>
    <w:p w14:paraId="116FD6BA" w14:textId="4E24218A" w:rsidR="0016443A" w:rsidRDefault="00D25102" w:rsidP="00304241">
      <w:pPr>
        <w:pStyle w:val="gmail-p1"/>
        <w:spacing w:before="0" w:beforeAutospacing="0" w:after="200" w:afterAutospacing="0" w:line="264" w:lineRule="auto"/>
        <w:rPr>
          <w:rStyle w:val="gmail-s1"/>
          <w:rFonts w:ascii="Arial" w:hAnsi="Arial" w:cs="Arial"/>
          <w:sz w:val="22"/>
        </w:rPr>
      </w:pPr>
      <w:r>
        <w:rPr>
          <w:rStyle w:val="gmail-s1"/>
          <w:rFonts w:ascii="Arial" w:hAnsi="Arial" w:cs="Arial"/>
          <w:sz w:val="22"/>
        </w:rPr>
        <w:t>My sincere thanks to the many, many stak</w:t>
      </w:r>
      <w:r w:rsidR="00960721">
        <w:rPr>
          <w:rStyle w:val="gmail-s1"/>
          <w:rFonts w:ascii="Arial" w:hAnsi="Arial" w:cs="Arial"/>
          <w:sz w:val="22"/>
        </w:rPr>
        <w:t xml:space="preserve">eholders across the spectrum that work with </w:t>
      </w:r>
      <w:r w:rsidR="00CE5E0A">
        <w:rPr>
          <w:rStyle w:val="gmail-s1"/>
          <w:rFonts w:ascii="Arial" w:hAnsi="Arial" w:cs="Arial"/>
          <w:sz w:val="22"/>
        </w:rPr>
        <w:t>and assist us</w:t>
      </w:r>
      <w:r w:rsidR="00260637">
        <w:rPr>
          <w:rStyle w:val="gmail-s1"/>
          <w:rFonts w:ascii="Arial" w:hAnsi="Arial" w:cs="Arial"/>
          <w:sz w:val="22"/>
        </w:rPr>
        <w:t xml:space="preserve"> to solve and resolve issues, </w:t>
      </w:r>
      <w:r w:rsidR="000E5203">
        <w:rPr>
          <w:rStyle w:val="gmail-s1"/>
          <w:rFonts w:ascii="Arial" w:hAnsi="Arial" w:cs="Arial"/>
          <w:sz w:val="22"/>
        </w:rPr>
        <w:t xml:space="preserve">and to </w:t>
      </w:r>
      <w:r w:rsidR="00260637">
        <w:rPr>
          <w:rStyle w:val="gmail-s1"/>
          <w:rFonts w:ascii="Arial" w:hAnsi="Arial" w:cs="Arial"/>
          <w:sz w:val="22"/>
        </w:rPr>
        <w:t>the communit</w:t>
      </w:r>
      <w:r w:rsidR="00472EC8">
        <w:rPr>
          <w:rStyle w:val="gmail-s1"/>
          <w:rFonts w:ascii="Arial" w:hAnsi="Arial" w:cs="Arial"/>
          <w:sz w:val="22"/>
        </w:rPr>
        <w:t>y members that take the time to bring concerns to our attention</w:t>
      </w:r>
      <w:r w:rsidR="002C372F">
        <w:rPr>
          <w:rStyle w:val="gmail-s1"/>
          <w:rFonts w:ascii="Arial" w:hAnsi="Arial" w:cs="Arial"/>
          <w:sz w:val="22"/>
        </w:rPr>
        <w:t xml:space="preserve"> </w:t>
      </w:r>
      <w:r w:rsidR="00783B31">
        <w:rPr>
          <w:rStyle w:val="gmail-s1"/>
          <w:rFonts w:ascii="Arial" w:hAnsi="Arial" w:cs="Arial"/>
          <w:sz w:val="22"/>
        </w:rPr>
        <w:t xml:space="preserve">and </w:t>
      </w:r>
      <w:r w:rsidR="002C372F">
        <w:rPr>
          <w:rStyle w:val="gmail-s1"/>
          <w:rFonts w:ascii="Arial" w:hAnsi="Arial" w:cs="Arial"/>
          <w:sz w:val="22"/>
        </w:rPr>
        <w:t xml:space="preserve">without </w:t>
      </w:r>
      <w:r w:rsidR="00783B31">
        <w:rPr>
          <w:rStyle w:val="gmail-s1"/>
          <w:rFonts w:ascii="Arial" w:hAnsi="Arial" w:cs="Arial"/>
          <w:sz w:val="22"/>
        </w:rPr>
        <w:t>whom</w:t>
      </w:r>
      <w:r w:rsidR="002C372F">
        <w:rPr>
          <w:rStyle w:val="gmail-s1"/>
          <w:rFonts w:ascii="Arial" w:hAnsi="Arial" w:cs="Arial"/>
          <w:sz w:val="22"/>
        </w:rPr>
        <w:t>, we would have no</w:t>
      </w:r>
      <w:r w:rsidR="00135DA3">
        <w:rPr>
          <w:rStyle w:val="gmail-s1"/>
          <w:rFonts w:ascii="Arial" w:hAnsi="Arial" w:cs="Arial"/>
          <w:sz w:val="22"/>
        </w:rPr>
        <w:t xml:space="preserve"> line of sight of the real issues to address.</w:t>
      </w:r>
    </w:p>
    <w:p w14:paraId="719E7FBA" w14:textId="14C665E9" w:rsidR="00D66FC9" w:rsidRDefault="00D62B0C" w:rsidP="00304241">
      <w:pPr>
        <w:pStyle w:val="gmail-p1"/>
        <w:spacing w:before="0" w:beforeAutospacing="0" w:after="200" w:afterAutospacing="0" w:line="264" w:lineRule="auto"/>
        <w:rPr>
          <w:rStyle w:val="gmail-s1"/>
          <w:rFonts w:ascii="Arial" w:hAnsi="Arial" w:cs="Arial"/>
          <w:sz w:val="22"/>
        </w:rPr>
      </w:pPr>
      <w:r>
        <w:rPr>
          <w:rStyle w:val="gmail-s1"/>
          <w:rFonts w:ascii="Arial" w:hAnsi="Arial" w:cs="Arial"/>
          <w:sz w:val="22"/>
        </w:rPr>
        <w:t xml:space="preserve">I also deeply </w:t>
      </w:r>
      <w:r w:rsidR="0002634C">
        <w:rPr>
          <w:rStyle w:val="gmail-s1"/>
          <w:rFonts w:ascii="Arial" w:hAnsi="Arial" w:cs="Arial"/>
          <w:sz w:val="22"/>
        </w:rPr>
        <w:t>express my</w:t>
      </w:r>
      <w:r w:rsidR="002840A9">
        <w:rPr>
          <w:rStyle w:val="gmail-s1"/>
          <w:rFonts w:ascii="Arial" w:hAnsi="Arial" w:cs="Arial"/>
          <w:sz w:val="22"/>
        </w:rPr>
        <w:t xml:space="preserve"> appreciation for the</w:t>
      </w:r>
      <w:r>
        <w:rPr>
          <w:rStyle w:val="gmail-s1"/>
          <w:rFonts w:ascii="Arial" w:hAnsi="Arial" w:cs="Arial"/>
          <w:sz w:val="22"/>
        </w:rPr>
        <w:t xml:space="preserve"> highly </w:t>
      </w:r>
      <w:r w:rsidR="002432C2">
        <w:rPr>
          <w:rStyle w:val="gmail-s1"/>
          <w:rFonts w:ascii="Arial" w:hAnsi="Arial" w:cs="Arial"/>
          <w:sz w:val="22"/>
        </w:rPr>
        <w:t xml:space="preserve">talented, </w:t>
      </w:r>
      <w:r>
        <w:rPr>
          <w:rStyle w:val="gmail-s1"/>
          <w:rFonts w:ascii="Arial" w:hAnsi="Arial" w:cs="Arial"/>
          <w:sz w:val="22"/>
        </w:rPr>
        <w:t>productive</w:t>
      </w:r>
      <w:r w:rsidR="006502F8">
        <w:rPr>
          <w:rStyle w:val="gmail-s1"/>
          <w:rFonts w:ascii="Arial" w:hAnsi="Arial" w:cs="Arial"/>
          <w:sz w:val="22"/>
        </w:rPr>
        <w:t xml:space="preserve"> and effective team in our Office, </w:t>
      </w:r>
      <w:r w:rsidR="00AB348A">
        <w:rPr>
          <w:rStyle w:val="gmail-s1"/>
          <w:rFonts w:ascii="Arial" w:hAnsi="Arial" w:cs="Arial"/>
          <w:sz w:val="22"/>
        </w:rPr>
        <w:t>and the terrific support we receive from the Department</w:t>
      </w:r>
      <w:r w:rsidR="00783B31">
        <w:rPr>
          <w:rStyle w:val="gmail-s1"/>
          <w:rFonts w:ascii="Arial" w:hAnsi="Arial" w:cs="Arial"/>
          <w:sz w:val="22"/>
        </w:rPr>
        <w:t>. W</w:t>
      </w:r>
      <w:r w:rsidR="00966102">
        <w:rPr>
          <w:rStyle w:val="gmail-s1"/>
          <w:rFonts w:ascii="Arial" w:hAnsi="Arial" w:cs="Arial"/>
          <w:sz w:val="22"/>
        </w:rPr>
        <w:t>ithout such support</w:t>
      </w:r>
      <w:r w:rsidR="00BC71B0">
        <w:rPr>
          <w:rStyle w:val="gmail-s1"/>
          <w:rFonts w:ascii="Arial" w:hAnsi="Arial" w:cs="Arial"/>
          <w:sz w:val="22"/>
        </w:rPr>
        <w:t>, our role could not function.</w:t>
      </w:r>
    </w:p>
    <w:p w14:paraId="082DE101" w14:textId="492D71CD" w:rsidR="00304241" w:rsidRPr="00563E03" w:rsidRDefault="00BC71B0" w:rsidP="00304241">
      <w:pPr>
        <w:pStyle w:val="gmail-p1"/>
        <w:spacing w:before="0" w:beforeAutospacing="0" w:after="200" w:afterAutospacing="0" w:line="264" w:lineRule="auto"/>
        <w:rPr>
          <w:rStyle w:val="gmail-s1"/>
          <w:rFonts w:ascii="Arial" w:hAnsi="Arial" w:cs="Arial"/>
          <w:sz w:val="22"/>
          <w:szCs w:val="22"/>
        </w:rPr>
      </w:pPr>
      <w:r>
        <w:rPr>
          <w:rStyle w:val="gmail-s1"/>
          <w:rFonts w:ascii="Arial" w:hAnsi="Arial" w:cs="Arial"/>
          <w:sz w:val="22"/>
        </w:rPr>
        <w:t xml:space="preserve">We </w:t>
      </w:r>
      <w:r w:rsidR="00684AE4">
        <w:rPr>
          <w:rStyle w:val="gmail-s1"/>
          <w:rFonts w:ascii="Arial" w:hAnsi="Arial" w:cs="Arial"/>
          <w:sz w:val="22"/>
        </w:rPr>
        <w:t>look</w:t>
      </w:r>
      <w:r w:rsidR="00304241" w:rsidRPr="00277D9A">
        <w:rPr>
          <w:rStyle w:val="gmail-s1"/>
          <w:rFonts w:ascii="Arial" w:hAnsi="Arial" w:cs="Arial"/>
          <w:sz w:val="22"/>
        </w:rPr>
        <w:t xml:space="preserve"> forward to </w:t>
      </w:r>
      <w:r w:rsidR="00F91B40">
        <w:rPr>
          <w:rStyle w:val="gmail-s1"/>
          <w:rFonts w:ascii="Arial" w:hAnsi="Arial" w:cs="Arial"/>
          <w:sz w:val="22"/>
        </w:rPr>
        <w:t xml:space="preserve">engaging with </w:t>
      </w:r>
      <w:r w:rsidR="0061549A">
        <w:rPr>
          <w:rStyle w:val="gmail-s1"/>
          <w:rFonts w:ascii="Arial" w:hAnsi="Arial" w:cs="Arial"/>
          <w:sz w:val="22"/>
        </w:rPr>
        <w:t>you in 2023.</w:t>
      </w:r>
    </w:p>
    <w:p w14:paraId="631DA96B" w14:textId="77777777" w:rsidR="00304241" w:rsidRDefault="00304241" w:rsidP="00304241">
      <w:pPr>
        <w:spacing w:after="0" w:line="264" w:lineRule="auto"/>
        <w:rPr>
          <w:rFonts w:cs="Arial"/>
          <w:b/>
        </w:rPr>
      </w:pPr>
      <w:r>
        <w:rPr>
          <w:rFonts w:cs="Arial"/>
          <w:noProof/>
          <w:lang w:eastAsia="en-AU"/>
        </w:rPr>
        <w:drawing>
          <wp:inline distT="0" distB="0" distL="0" distR="0" wp14:anchorId="1540AF5D" wp14:editId="7583073E">
            <wp:extent cx="821125" cy="56197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8644" cy="573965"/>
                    </a:xfrm>
                    <a:prstGeom prst="rect">
                      <a:avLst/>
                    </a:prstGeom>
                    <a:noFill/>
                    <a:ln>
                      <a:noFill/>
                    </a:ln>
                  </pic:spPr>
                </pic:pic>
              </a:graphicData>
            </a:graphic>
          </wp:inline>
        </w:drawing>
      </w:r>
    </w:p>
    <w:p w14:paraId="03F967B5" w14:textId="77777777" w:rsidR="00304241" w:rsidRPr="00F47E6D" w:rsidRDefault="00304241" w:rsidP="00304241">
      <w:pPr>
        <w:spacing w:after="0" w:line="264" w:lineRule="auto"/>
        <w:rPr>
          <w:rFonts w:cs="Arial"/>
          <w:b/>
        </w:rPr>
      </w:pPr>
      <w:r w:rsidRPr="00F47E6D">
        <w:rPr>
          <w:rFonts w:cs="Arial"/>
          <w:b/>
        </w:rPr>
        <w:t>Andrew Dyer</w:t>
      </w:r>
    </w:p>
    <w:p w14:paraId="120C4B92" w14:textId="77777777" w:rsidR="00304241" w:rsidRPr="007A0EF2" w:rsidRDefault="00304241" w:rsidP="00304241">
      <w:pPr>
        <w:spacing w:after="0" w:line="264" w:lineRule="auto"/>
        <w:rPr>
          <w:rFonts w:cs="Arial"/>
          <w:b/>
        </w:rPr>
      </w:pPr>
      <w:r>
        <w:rPr>
          <w:rFonts w:ascii="Calibri Light" w:hAnsi="Calibri Light"/>
          <w:b/>
          <w:noProof/>
          <w:lang w:eastAsia="en-AU"/>
        </w:rPr>
        <w:drawing>
          <wp:anchor distT="0" distB="0" distL="114300" distR="114300" simplePos="0" relativeHeight="251660288" behindDoc="1" locked="0" layoutInCell="1" allowOverlap="1" wp14:anchorId="691AE3B5" wp14:editId="535EC39C">
            <wp:simplePos x="0" y="0"/>
            <wp:positionH relativeFrom="margin">
              <wp:align>right</wp:align>
            </wp:positionH>
            <wp:positionV relativeFrom="margin">
              <wp:posOffset>7453766</wp:posOffset>
            </wp:positionV>
            <wp:extent cx="2914650" cy="21336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74" t="5089" r="19307" b="63246"/>
                    <a:stretch/>
                  </pic:blipFill>
                  <pic:spPr bwMode="auto">
                    <a:xfrm>
                      <a:off x="0" y="0"/>
                      <a:ext cx="291465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rPr>
        <w:t xml:space="preserve">Australian Energy Infrastructure </w:t>
      </w:r>
      <w:r w:rsidRPr="00F47E6D">
        <w:rPr>
          <w:rFonts w:cs="Arial"/>
          <w:b/>
        </w:rPr>
        <w:t>Commissioner</w:t>
      </w:r>
    </w:p>
    <w:p w14:paraId="7CBBD815" w14:textId="77777777" w:rsidR="00304241" w:rsidRDefault="00304241" w:rsidP="00304241">
      <w:pPr>
        <w:spacing w:after="0" w:line="240" w:lineRule="auto"/>
        <w:jc w:val="center"/>
        <w:rPr>
          <w:rFonts w:ascii="Calibri Light" w:hAnsi="Calibri Light"/>
          <w:b/>
        </w:rPr>
        <w:sectPr w:rsidR="00304241" w:rsidSect="004B44A3">
          <w:headerReference w:type="even" r:id="rId31"/>
          <w:headerReference w:type="default" r:id="rId32"/>
          <w:footerReference w:type="even" r:id="rId33"/>
          <w:footerReference w:type="default" r:id="rId34"/>
          <w:headerReference w:type="first" r:id="rId35"/>
          <w:pgSz w:w="11906" w:h="16838"/>
          <w:pgMar w:top="720" w:right="720" w:bottom="720" w:left="720" w:header="425" w:footer="425" w:gutter="0"/>
          <w:pgNumType w:start="3"/>
          <w:cols w:space="708"/>
          <w:docGrid w:linePitch="360"/>
        </w:sectPr>
      </w:pPr>
    </w:p>
    <w:p w14:paraId="4D5D98BC" w14:textId="77777777" w:rsidR="00304241" w:rsidRPr="002D7001" w:rsidRDefault="00304241" w:rsidP="002D7001">
      <w:pPr>
        <w:pStyle w:val="Heading1"/>
      </w:pPr>
      <w:bookmarkStart w:id="12" w:name="_Toc135390572"/>
      <w:bookmarkStart w:id="13" w:name="_Toc473795853"/>
      <w:r w:rsidRPr="002D7001">
        <w:lastRenderedPageBreak/>
        <w:t>Overview</w:t>
      </w:r>
      <w:bookmarkEnd w:id="12"/>
    </w:p>
    <w:p w14:paraId="1AB94EEC" w14:textId="77777777" w:rsidR="00304241" w:rsidRPr="002D7001" w:rsidRDefault="00304241" w:rsidP="002D7001">
      <w:pPr>
        <w:pStyle w:val="Heading2"/>
      </w:pPr>
      <w:bookmarkStart w:id="14" w:name="_Toc135390573"/>
      <w:bookmarkEnd w:id="13"/>
      <w:r w:rsidRPr="002D7001">
        <w:t>Background</w:t>
      </w:r>
      <w:bookmarkEnd w:id="14"/>
    </w:p>
    <w:p w14:paraId="08D45D43" w14:textId="50F6E2CD" w:rsidR="00C2302D" w:rsidRPr="00DA6087" w:rsidRDefault="00304241" w:rsidP="00C2302D">
      <w:pPr>
        <w:spacing w:line="264" w:lineRule="auto"/>
        <w:rPr>
          <w:rFonts w:cs="Arial"/>
          <w:i/>
          <w:iCs/>
        </w:rPr>
      </w:pPr>
      <w:r>
        <w:rPr>
          <w:rFonts w:cs="Arial"/>
        </w:rPr>
        <w:t>T</w:t>
      </w:r>
      <w:r w:rsidRPr="00F47E6D">
        <w:rPr>
          <w:rFonts w:cs="Arial"/>
        </w:rPr>
        <w:t xml:space="preserve">he </w:t>
      </w:r>
      <w:r w:rsidRPr="00827685">
        <w:rPr>
          <w:rFonts w:cs="Arial"/>
          <w:i/>
          <w:iCs/>
        </w:rPr>
        <w:t>Australian Energy Infrastructure Commissioner</w:t>
      </w:r>
      <w:r>
        <w:rPr>
          <w:rFonts w:cs="Arial"/>
        </w:rPr>
        <w:t xml:space="preserve"> is an independent role </w:t>
      </w:r>
      <w:r w:rsidR="00DA3F80">
        <w:rPr>
          <w:rFonts w:cs="Arial"/>
        </w:rPr>
        <w:t xml:space="preserve">originally </w:t>
      </w:r>
      <w:r w:rsidR="00C2302D">
        <w:rPr>
          <w:rFonts w:cs="Arial"/>
        </w:rPr>
        <w:t xml:space="preserve">established in October 2015 </w:t>
      </w:r>
      <w:r w:rsidR="00C2302D" w:rsidRPr="004767EA">
        <w:rPr>
          <w:rFonts w:cs="Arial"/>
        </w:rPr>
        <w:t>by the</w:t>
      </w:r>
      <w:r w:rsidR="0047239C">
        <w:rPr>
          <w:rFonts w:cs="Arial"/>
        </w:rPr>
        <w:t xml:space="preserve"> Australian Government</w:t>
      </w:r>
      <w:r w:rsidR="00B9320A">
        <w:rPr>
          <w:rFonts w:cs="Arial"/>
        </w:rPr>
        <w:t xml:space="preserve">. The role </w:t>
      </w:r>
      <w:r w:rsidR="00BD6850">
        <w:rPr>
          <w:rFonts w:cs="Arial"/>
        </w:rPr>
        <w:t xml:space="preserve">at that time was known as the </w:t>
      </w:r>
      <w:r w:rsidR="00B9320A" w:rsidRPr="00827685">
        <w:rPr>
          <w:rFonts w:cs="Arial"/>
          <w:i/>
          <w:iCs/>
        </w:rPr>
        <w:t>National Wind Farm Commissioner</w:t>
      </w:r>
      <w:r w:rsidR="00B9320A">
        <w:rPr>
          <w:rFonts w:cs="Arial"/>
        </w:rPr>
        <w:t xml:space="preserve"> and was </w:t>
      </w:r>
      <w:r w:rsidR="00B9320A" w:rsidRPr="00730D68">
        <w:rPr>
          <w:rFonts w:cs="Arial"/>
        </w:rPr>
        <w:t>initiated by</w:t>
      </w:r>
      <w:r w:rsidR="00B9320A">
        <w:rPr>
          <w:rFonts w:cs="Arial"/>
        </w:rPr>
        <w:t xml:space="preserve"> Recommendation </w:t>
      </w:r>
      <w:r w:rsidR="00B9320A" w:rsidRPr="00730D68">
        <w:rPr>
          <w:rFonts w:cs="Arial"/>
        </w:rPr>
        <w:t xml:space="preserve">5 of the </w:t>
      </w:r>
      <w:r w:rsidR="00B9320A" w:rsidRPr="00DA6087">
        <w:rPr>
          <w:rFonts w:cs="Arial"/>
          <w:i/>
          <w:iCs/>
        </w:rPr>
        <w:t>2015 Senate Committee on Wind Turbines Interim Report.</w:t>
      </w:r>
    </w:p>
    <w:p w14:paraId="0F2533C6" w14:textId="18E34FB3" w:rsidR="00C2302D" w:rsidRDefault="00B9320A" w:rsidP="00304241">
      <w:pPr>
        <w:spacing w:line="264" w:lineRule="auto"/>
        <w:rPr>
          <w:rFonts w:cs="Arial"/>
        </w:rPr>
      </w:pPr>
      <w:r>
        <w:rPr>
          <w:rFonts w:cs="Arial"/>
        </w:rPr>
        <w:t xml:space="preserve">In November 2015, Andrew Dyer </w:t>
      </w:r>
      <w:r w:rsidR="00BF3B3D">
        <w:rPr>
          <w:rFonts w:cs="Arial"/>
        </w:rPr>
        <w:t xml:space="preserve">commenced his </w:t>
      </w:r>
      <w:r w:rsidR="00491A6E">
        <w:rPr>
          <w:rFonts w:cs="Arial"/>
        </w:rPr>
        <w:t>appoint</w:t>
      </w:r>
      <w:r w:rsidR="00BF3B3D">
        <w:rPr>
          <w:rFonts w:cs="Arial"/>
        </w:rPr>
        <w:t>ment</w:t>
      </w:r>
      <w:r w:rsidR="00491A6E">
        <w:rPr>
          <w:rFonts w:cs="Arial"/>
        </w:rPr>
        <w:t xml:space="preserve"> to the </w:t>
      </w:r>
      <w:r w:rsidR="00E42CCD">
        <w:rPr>
          <w:rFonts w:cs="Arial"/>
        </w:rPr>
        <w:t>role</w:t>
      </w:r>
      <w:r w:rsidR="000F1242">
        <w:rPr>
          <w:rFonts w:cs="Arial"/>
        </w:rPr>
        <w:t xml:space="preserve"> for an initial </w:t>
      </w:r>
      <w:r w:rsidR="006E499A">
        <w:rPr>
          <w:rFonts w:cs="Arial"/>
        </w:rPr>
        <w:t>three-year</w:t>
      </w:r>
      <w:r w:rsidR="000F1242">
        <w:rPr>
          <w:rFonts w:cs="Arial"/>
        </w:rPr>
        <w:t xml:space="preserve"> term.</w:t>
      </w:r>
    </w:p>
    <w:p w14:paraId="25BD4D42" w14:textId="1A4052B8" w:rsidR="00B9320A" w:rsidRDefault="00B9320A" w:rsidP="00304241">
      <w:pPr>
        <w:spacing w:line="264" w:lineRule="auto"/>
        <w:rPr>
          <w:rFonts w:cs="Arial"/>
        </w:rPr>
      </w:pPr>
      <w:r>
        <w:rPr>
          <w:rFonts w:cs="Arial"/>
        </w:rPr>
        <w:t>In</w:t>
      </w:r>
      <w:r w:rsidRPr="00F47E6D">
        <w:rPr>
          <w:rFonts w:cs="Arial"/>
        </w:rPr>
        <w:t xml:space="preserve"> October 201</w:t>
      </w:r>
      <w:r>
        <w:rPr>
          <w:rFonts w:cs="Arial"/>
        </w:rPr>
        <w:t xml:space="preserve">8, following an independent review </w:t>
      </w:r>
      <w:r w:rsidR="00E42CCD">
        <w:rPr>
          <w:rFonts w:cs="Arial"/>
        </w:rPr>
        <w:t xml:space="preserve">of the role </w:t>
      </w:r>
      <w:r>
        <w:rPr>
          <w:rFonts w:cs="Arial"/>
        </w:rPr>
        <w:t xml:space="preserve">by the Climate Change Authority, </w:t>
      </w:r>
      <w:r>
        <w:rPr>
          <w:rStyle w:val="gmail-s1"/>
          <w:rFonts w:cs="Arial"/>
        </w:rPr>
        <w:t xml:space="preserve">the role was renewed </w:t>
      </w:r>
      <w:r>
        <w:rPr>
          <w:rFonts w:cs="Arial"/>
        </w:rPr>
        <w:t>for a further three years</w:t>
      </w:r>
      <w:r w:rsidR="00FB23DD">
        <w:rPr>
          <w:rFonts w:cs="Arial"/>
        </w:rPr>
        <w:t xml:space="preserve"> and</w:t>
      </w:r>
      <w:r w:rsidR="00FD74D9">
        <w:rPr>
          <w:rFonts w:cs="Arial"/>
        </w:rPr>
        <w:t xml:space="preserve"> </w:t>
      </w:r>
      <w:r>
        <w:rPr>
          <w:rFonts w:cs="Arial"/>
        </w:rPr>
        <w:t xml:space="preserve">expanded </w:t>
      </w:r>
      <w:r w:rsidRPr="0050245A">
        <w:rPr>
          <w:rStyle w:val="gmail-s1"/>
          <w:rFonts w:cs="Arial"/>
        </w:rPr>
        <w:t>to include large</w:t>
      </w:r>
      <w:r>
        <w:rPr>
          <w:rStyle w:val="gmail-s1"/>
          <w:rFonts w:cs="Arial"/>
        </w:rPr>
        <w:t>-</w:t>
      </w:r>
      <w:r w:rsidRPr="0050245A">
        <w:rPr>
          <w:rStyle w:val="gmail-s1"/>
          <w:rFonts w:cs="Arial"/>
        </w:rPr>
        <w:t xml:space="preserve">scale solar farms and </w:t>
      </w:r>
      <w:r w:rsidRPr="008530B9">
        <w:rPr>
          <w:rStyle w:val="gmail-s1"/>
          <w:rFonts w:cs="Arial"/>
        </w:rPr>
        <w:t>energy storage</w:t>
      </w:r>
      <w:r>
        <w:rPr>
          <w:rStyle w:val="gmail-s1"/>
          <w:rFonts w:cs="Arial"/>
        </w:rPr>
        <w:t xml:space="preserve"> facilities</w:t>
      </w:r>
      <w:r>
        <w:rPr>
          <w:rFonts w:cs="Arial"/>
        </w:rPr>
        <w:t>.</w:t>
      </w:r>
    </w:p>
    <w:p w14:paraId="51F5F7B4" w14:textId="2CFEFE2B" w:rsidR="00304241" w:rsidRDefault="00B9320A" w:rsidP="00304241">
      <w:pPr>
        <w:spacing w:line="264" w:lineRule="auto"/>
        <w:rPr>
          <w:rFonts w:cs="Arial"/>
        </w:rPr>
      </w:pPr>
      <w:r>
        <w:rPr>
          <w:rFonts w:cs="Arial"/>
        </w:rPr>
        <w:t xml:space="preserve">In </w:t>
      </w:r>
      <w:r w:rsidR="00304241">
        <w:rPr>
          <w:rFonts w:cs="Arial"/>
        </w:rPr>
        <w:t xml:space="preserve">March 2021, the </w:t>
      </w:r>
      <w:r w:rsidR="0029285C">
        <w:rPr>
          <w:rFonts w:cs="Arial"/>
        </w:rPr>
        <w:t xml:space="preserve">Australian Government </w:t>
      </w:r>
      <w:r w:rsidR="00304241">
        <w:rPr>
          <w:rFonts w:cs="Arial"/>
        </w:rPr>
        <w:t xml:space="preserve">announced a further expansion to the role, </w:t>
      </w:r>
      <w:r w:rsidR="00D35EEE">
        <w:rPr>
          <w:rFonts w:cs="Arial"/>
        </w:rPr>
        <w:t>to include</w:t>
      </w:r>
      <w:r w:rsidR="00304241">
        <w:rPr>
          <w:rFonts w:cs="Arial"/>
        </w:rPr>
        <w:t xml:space="preserve"> new large-scale transmission projects</w:t>
      </w:r>
      <w:r w:rsidR="00224634">
        <w:rPr>
          <w:rFonts w:cs="Arial"/>
        </w:rPr>
        <w:t xml:space="preserve"> and a change of title</w:t>
      </w:r>
      <w:r w:rsidR="00304241">
        <w:rPr>
          <w:rFonts w:cs="Arial"/>
        </w:rPr>
        <w:t xml:space="preserve"> to the </w:t>
      </w:r>
      <w:r w:rsidR="00304241" w:rsidRPr="00F27895">
        <w:rPr>
          <w:rFonts w:cs="Arial"/>
          <w:i/>
          <w:iCs/>
        </w:rPr>
        <w:t>Australian Energy Infrastructure Commissioner</w:t>
      </w:r>
      <w:r w:rsidR="00304241">
        <w:rPr>
          <w:rFonts w:cs="Arial"/>
        </w:rPr>
        <w:t>.</w:t>
      </w:r>
    </w:p>
    <w:p w14:paraId="642C90ED" w14:textId="2D30D154" w:rsidR="00304241" w:rsidRDefault="00304241" w:rsidP="00304241">
      <w:pPr>
        <w:rPr>
          <w:rFonts w:cs="Arial"/>
        </w:rPr>
      </w:pPr>
      <w:r>
        <w:rPr>
          <w:rFonts w:cs="Arial"/>
        </w:rPr>
        <w:t>T</w:t>
      </w:r>
      <w:r w:rsidRPr="00F47E6D">
        <w:rPr>
          <w:rFonts w:cs="Arial"/>
        </w:rPr>
        <w:t>he Commissioner</w:t>
      </w:r>
      <w:r>
        <w:rPr>
          <w:rFonts w:cs="Arial"/>
        </w:rPr>
        <w:t>’s</w:t>
      </w:r>
      <w:r w:rsidRPr="00F47E6D">
        <w:rPr>
          <w:rFonts w:cs="Arial"/>
        </w:rPr>
        <w:t xml:space="preserve"> Terms of Reference</w:t>
      </w:r>
      <w:r>
        <w:rPr>
          <w:rFonts w:cs="Arial"/>
        </w:rPr>
        <w:t xml:space="preserve"> are available at </w:t>
      </w:r>
      <w:r w:rsidRPr="00B910AA">
        <w:rPr>
          <w:rFonts w:cs="Arial"/>
          <w:u w:val="single"/>
        </w:rPr>
        <w:t>A</w:t>
      </w:r>
      <w:r w:rsidR="004D710E">
        <w:rPr>
          <w:rFonts w:cs="Arial"/>
          <w:u w:val="single"/>
        </w:rPr>
        <w:t>ppendix</w:t>
      </w:r>
      <w:r w:rsidRPr="00B910AA">
        <w:rPr>
          <w:rFonts w:cs="Arial"/>
          <w:u w:val="single"/>
        </w:rPr>
        <w:t xml:space="preserve"> </w:t>
      </w:r>
      <w:r>
        <w:rPr>
          <w:rFonts w:cs="Arial"/>
          <w:u w:val="single"/>
        </w:rPr>
        <w:t>B</w:t>
      </w:r>
      <w:r>
        <w:rPr>
          <w:rFonts w:cs="Arial"/>
        </w:rPr>
        <w:t xml:space="preserve"> and on the Commissioner’s website at:</w:t>
      </w:r>
    </w:p>
    <w:p w14:paraId="1CC0BA74" w14:textId="77777777" w:rsidR="00304241" w:rsidRDefault="004C4253" w:rsidP="00304241">
      <w:pPr>
        <w:rPr>
          <w:rFonts w:cs="Arial"/>
        </w:rPr>
      </w:pPr>
      <w:hyperlink r:id="rId36" w:history="1">
        <w:r w:rsidR="00304241" w:rsidRPr="008035C6">
          <w:rPr>
            <w:rStyle w:val="Hyperlink"/>
            <w:rFonts w:cs="Arial"/>
          </w:rPr>
          <w:t>www.aeic.gov.au/about</w:t>
        </w:r>
      </w:hyperlink>
      <w:r w:rsidR="00304241">
        <w:rPr>
          <w:rFonts w:cs="Arial"/>
        </w:rPr>
        <w:t xml:space="preserve"> </w:t>
      </w:r>
    </w:p>
    <w:p w14:paraId="28BDAC43" w14:textId="30B223BA" w:rsidR="00304241" w:rsidRDefault="00E71C2D" w:rsidP="00304241">
      <w:pPr>
        <w:rPr>
          <w:rFonts w:cs="Arial"/>
        </w:rPr>
      </w:pPr>
      <w:r>
        <w:rPr>
          <w:rFonts w:cs="Arial"/>
        </w:rPr>
        <w:t>The Commissioner is support</w:t>
      </w:r>
      <w:r w:rsidR="006561AD">
        <w:rPr>
          <w:rFonts w:cs="Arial"/>
        </w:rPr>
        <w:t xml:space="preserve">ed by a small team located in Melbourne. </w:t>
      </w:r>
      <w:r w:rsidR="00304241">
        <w:rPr>
          <w:rFonts w:cs="Arial"/>
        </w:rPr>
        <w:t xml:space="preserve">The finances for the </w:t>
      </w:r>
      <w:r w:rsidR="00304241" w:rsidRPr="005A0D06">
        <w:rPr>
          <w:rFonts w:cs="Arial"/>
        </w:rPr>
        <w:t xml:space="preserve">Commissioner’s </w:t>
      </w:r>
      <w:r w:rsidR="00B9320A">
        <w:rPr>
          <w:rFonts w:cs="Arial"/>
        </w:rPr>
        <w:t>O</w:t>
      </w:r>
      <w:r w:rsidR="00304241" w:rsidRPr="005A0D06">
        <w:rPr>
          <w:rFonts w:cs="Arial"/>
        </w:rPr>
        <w:t xml:space="preserve">ffice are managed through the </w:t>
      </w:r>
      <w:r w:rsidR="005A0D06" w:rsidRPr="005A0D06">
        <w:rPr>
          <w:rFonts w:cs="Arial"/>
        </w:rPr>
        <w:t>Department of Climate Change, Energy, the Environment and Water</w:t>
      </w:r>
      <w:r w:rsidR="00304241" w:rsidRPr="005A0D06">
        <w:rPr>
          <w:rFonts w:cs="Arial"/>
        </w:rPr>
        <w:t>.</w:t>
      </w:r>
    </w:p>
    <w:p w14:paraId="0F86620E" w14:textId="616C7995" w:rsidR="00304241" w:rsidRPr="002D7001" w:rsidRDefault="00304241" w:rsidP="002D7001">
      <w:pPr>
        <w:pStyle w:val="Heading2"/>
      </w:pPr>
      <w:bookmarkStart w:id="15" w:name="_Toc135390574"/>
      <w:r w:rsidRPr="002D7001">
        <w:t xml:space="preserve">Who </w:t>
      </w:r>
      <w:r w:rsidR="00264A69" w:rsidRPr="002D7001">
        <w:t>W</w:t>
      </w:r>
      <w:r w:rsidRPr="002D7001">
        <w:t xml:space="preserve">e </w:t>
      </w:r>
      <w:r w:rsidR="00264A69" w:rsidRPr="002D7001">
        <w:t>A</w:t>
      </w:r>
      <w:r w:rsidRPr="002D7001">
        <w:t>re</w:t>
      </w:r>
      <w:bookmarkEnd w:id="15"/>
    </w:p>
    <w:p w14:paraId="316C7327" w14:textId="4E389C8A" w:rsidR="00304241" w:rsidRDefault="00304241" w:rsidP="00304241">
      <w:r w:rsidRPr="00F47E6D">
        <w:t>The Commissioner</w:t>
      </w:r>
      <w:r w:rsidR="001B2E31">
        <w:t xml:space="preserve">’s </w:t>
      </w:r>
      <w:r>
        <w:t xml:space="preserve">support </w:t>
      </w:r>
      <w:r w:rsidR="001B2E31">
        <w:t xml:space="preserve">team is </w:t>
      </w:r>
      <w:r>
        <w:t xml:space="preserve">provided by the </w:t>
      </w:r>
      <w:r w:rsidR="005A0D06" w:rsidRPr="005A0D06">
        <w:rPr>
          <w:rFonts w:cs="Arial"/>
        </w:rPr>
        <w:t>Department of Climate Change, Energy, the Environment and Water</w:t>
      </w:r>
      <w:r>
        <w:t xml:space="preserve">. </w:t>
      </w:r>
      <w:r w:rsidR="00811886">
        <w:t xml:space="preserve">In 2022, the </w:t>
      </w:r>
      <w:r>
        <w:t xml:space="preserve">team </w:t>
      </w:r>
      <w:r w:rsidRPr="00F47E6D">
        <w:t>comprise</w:t>
      </w:r>
      <w:r w:rsidR="005A0D06">
        <w:t>d</w:t>
      </w:r>
      <w:r>
        <w:t xml:space="preserve"> </w:t>
      </w:r>
      <w:r w:rsidRPr="00F47E6D">
        <w:t xml:space="preserve">an </w:t>
      </w:r>
      <w:r>
        <w:t>Executive Officer</w:t>
      </w:r>
      <w:r w:rsidRPr="00F47E6D">
        <w:t xml:space="preserve">, </w:t>
      </w:r>
      <w:r w:rsidR="00F378A6">
        <w:t xml:space="preserve">a </w:t>
      </w:r>
      <w:r w:rsidRPr="00F47E6D">
        <w:t xml:space="preserve">Complaints </w:t>
      </w:r>
      <w:r>
        <w:t>Officer</w:t>
      </w:r>
      <w:r w:rsidR="00811886">
        <w:t xml:space="preserve"> and</w:t>
      </w:r>
      <w:r w:rsidRPr="00F47E6D">
        <w:t xml:space="preserve"> </w:t>
      </w:r>
      <w:r w:rsidR="00F378A6">
        <w:t xml:space="preserve">an </w:t>
      </w:r>
      <w:r w:rsidR="00325B21">
        <w:t xml:space="preserve">Executive </w:t>
      </w:r>
      <w:r>
        <w:t>Assistant</w:t>
      </w:r>
      <w:r w:rsidR="00811886">
        <w:t xml:space="preserve">. </w:t>
      </w:r>
    </w:p>
    <w:p w14:paraId="288A5E42" w14:textId="00B20B47" w:rsidR="00304241" w:rsidRPr="002D7001" w:rsidRDefault="00304241" w:rsidP="002D7001">
      <w:pPr>
        <w:pStyle w:val="Heading2"/>
      </w:pPr>
      <w:bookmarkStart w:id="16" w:name="_Toc135390575"/>
      <w:r w:rsidRPr="002D7001">
        <w:t xml:space="preserve">Office </w:t>
      </w:r>
      <w:r w:rsidR="00264A69" w:rsidRPr="002D7001">
        <w:t>L</w:t>
      </w:r>
      <w:r w:rsidRPr="002D7001">
        <w:t xml:space="preserve">ocation </w:t>
      </w:r>
      <w:r w:rsidR="00264A69" w:rsidRPr="002D7001">
        <w:t>a</w:t>
      </w:r>
      <w:r w:rsidRPr="002D7001">
        <w:t xml:space="preserve">nd </w:t>
      </w:r>
      <w:r w:rsidR="00264A69" w:rsidRPr="002D7001">
        <w:t>C</w:t>
      </w:r>
      <w:r w:rsidRPr="002D7001">
        <w:t xml:space="preserve">ontact </w:t>
      </w:r>
      <w:r w:rsidR="00264A69" w:rsidRPr="002D7001">
        <w:t>D</w:t>
      </w:r>
      <w:r w:rsidRPr="002D7001">
        <w:t>etails</w:t>
      </w:r>
      <w:bookmarkEnd w:id="16"/>
    </w:p>
    <w:p w14:paraId="5F4EE191" w14:textId="48F7C511" w:rsidR="00304241" w:rsidRDefault="00304241" w:rsidP="00304241">
      <w:pPr>
        <w:rPr>
          <w:rFonts w:cs="Arial"/>
        </w:rPr>
      </w:pPr>
      <w:r w:rsidRPr="00F47E6D">
        <w:rPr>
          <w:rFonts w:cs="Arial"/>
        </w:rPr>
        <w:t xml:space="preserve">The Office of </w:t>
      </w:r>
      <w:r>
        <w:rPr>
          <w:rFonts w:cs="Arial"/>
        </w:rPr>
        <w:t xml:space="preserve">the Australian Energy Infrastructure Commissioner </w:t>
      </w:r>
      <w:r w:rsidRPr="00F47E6D">
        <w:rPr>
          <w:rFonts w:cs="Arial"/>
        </w:rPr>
        <w:t xml:space="preserve">is located </w:t>
      </w:r>
      <w:r>
        <w:rPr>
          <w:rFonts w:cs="Arial"/>
        </w:rPr>
        <w:t xml:space="preserve">in </w:t>
      </w:r>
      <w:r w:rsidRPr="00F47E6D">
        <w:rPr>
          <w:rFonts w:cs="Arial"/>
        </w:rPr>
        <w:t>Melbourne</w:t>
      </w:r>
      <w:r>
        <w:rPr>
          <w:rFonts w:cs="Arial"/>
        </w:rPr>
        <w:t>’s central business district</w:t>
      </w:r>
      <w:r w:rsidR="005E5D92">
        <w:rPr>
          <w:rFonts w:cs="Arial"/>
        </w:rPr>
        <w:t xml:space="preserve"> and</w:t>
      </w:r>
      <w:r>
        <w:rPr>
          <w:rFonts w:cs="Arial"/>
        </w:rPr>
        <w:t xml:space="preserve"> can be contacted via:</w:t>
      </w:r>
    </w:p>
    <w:p w14:paraId="70305E7A" w14:textId="644FEE06" w:rsidR="00304241" w:rsidRDefault="00C8286E" w:rsidP="00304241">
      <w:pPr>
        <w:spacing w:after="120"/>
        <w:ind w:firstLine="720"/>
        <w:rPr>
          <w:rFonts w:cs="Arial"/>
        </w:rPr>
      </w:pPr>
      <w:r>
        <w:rPr>
          <w:rFonts w:cs="Arial"/>
        </w:rPr>
        <w:t>T</w:t>
      </w:r>
      <w:r w:rsidR="00304241">
        <w:rPr>
          <w:rFonts w:cs="Arial"/>
        </w:rPr>
        <w:t>elephone</w:t>
      </w:r>
      <w:r>
        <w:rPr>
          <w:rFonts w:cs="Arial"/>
        </w:rPr>
        <w:t xml:space="preserve"> (toll-free)</w:t>
      </w:r>
      <w:r w:rsidR="00304241">
        <w:rPr>
          <w:rFonts w:cs="Arial"/>
        </w:rPr>
        <w:t>:</w:t>
      </w:r>
      <w:r w:rsidR="00304241">
        <w:rPr>
          <w:rFonts w:cs="Arial"/>
        </w:rPr>
        <w:tab/>
        <w:t>1800 656 395</w:t>
      </w:r>
    </w:p>
    <w:p w14:paraId="0AA55041" w14:textId="77777777" w:rsidR="00304241" w:rsidRDefault="00304241" w:rsidP="00304241">
      <w:pPr>
        <w:spacing w:after="120"/>
        <w:ind w:firstLine="720"/>
        <w:rPr>
          <w:rFonts w:cs="Arial"/>
        </w:rPr>
      </w:pPr>
      <w:r>
        <w:rPr>
          <w:rFonts w:cs="Arial"/>
        </w:rPr>
        <w:t>Email:</w:t>
      </w:r>
      <w:r>
        <w:rPr>
          <w:rFonts w:cs="Arial"/>
        </w:rPr>
        <w:tab/>
      </w:r>
      <w:r>
        <w:rPr>
          <w:rFonts w:cs="Arial"/>
        </w:rPr>
        <w:tab/>
      </w:r>
      <w:r>
        <w:rPr>
          <w:rFonts w:cs="Arial"/>
        </w:rPr>
        <w:tab/>
      </w:r>
      <w:hyperlink r:id="rId37" w:history="1">
        <w:r w:rsidRPr="008035C6">
          <w:rPr>
            <w:rStyle w:val="Hyperlink"/>
            <w:rFonts w:cs="Arial"/>
          </w:rPr>
          <w:t>aeic@aeic.gov.au</w:t>
        </w:r>
      </w:hyperlink>
      <w:r>
        <w:rPr>
          <w:rFonts w:cs="Arial"/>
        </w:rPr>
        <w:t xml:space="preserve"> </w:t>
      </w:r>
    </w:p>
    <w:p w14:paraId="030490AE" w14:textId="77777777" w:rsidR="00304241" w:rsidRDefault="00304241" w:rsidP="00304241">
      <w:pPr>
        <w:spacing w:after="0"/>
        <w:ind w:firstLine="720"/>
        <w:rPr>
          <w:rFonts w:cs="Arial"/>
        </w:rPr>
      </w:pPr>
      <w:r>
        <w:rPr>
          <w:rFonts w:cs="Arial"/>
        </w:rPr>
        <w:t xml:space="preserve">Post: </w:t>
      </w:r>
      <w:r>
        <w:rPr>
          <w:rFonts w:cs="Arial"/>
        </w:rPr>
        <w:tab/>
      </w:r>
      <w:r>
        <w:rPr>
          <w:rFonts w:cs="Arial"/>
        </w:rPr>
        <w:tab/>
      </w:r>
      <w:r>
        <w:rPr>
          <w:rFonts w:cs="Arial"/>
        </w:rPr>
        <w:tab/>
        <w:t>Australian Energy Infrastructure Commissioner</w:t>
      </w:r>
    </w:p>
    <w:p w14:paraId="612F0620" w14:textId="17441EA1" w:rsidR="00304241" w:rsidRDefault="00304241" w:rsidP="00304241">
      <w:pPr>
        <w:spacing w:after="0"/>
        <w:ind w:left="2160" w:firstLine="720"/>
        <w:rPr>
          <w:rFonts w:cs="Arial"/>
        </w:rPr>
      </w:pPr>
      <w:r>
        <w:rPr>
          <w:rFonts w:cs="Arial"/>
        </w:rPr>
        <w:t>PO</w:t>
      </w:r>
      <w:r w:rsidR="00BE19C1">
        <w:rPr>
          <w:rFonts w:cs="Arial"/>
        </w:rPr>
        <w:t xml:space="preserve"> </w:t>
      </w:r>
      <w:r>
        <w:rPr>
          <w:rFonts w:cs="Arial"/>
        </w:rPr>
        <w:t>Box 24434</w:t>
      </w:r>
    </w:p>
    <w:p w14:paraId="640AEC31" w14:textId="2A67A1AC" w:rsidR="00304241" w:rsidRPr="006F22E0" w:rsidRDefault="006E499A" w:rsidP="00304241">
      <w:pPr>
        <w:ind w:left="2160" w:firstLine="720"/>
        <w:rPr>
          <w:rFonts w:cs="Arial"/>
        </w:rPr>
        <w:sectPr w:rsidR="00304241" w:rsidRPr="006F22E0" w:rsidSect="00C90C75">
          <w:headerReference w:type="even" r:id="rId38"/>
          <w:headerReference w:type="default" r:id="rId39"/>
          <w:footerReference w:type="even" r:id="rId40"/>
          <w:headerReference w:type="first" r:id="rId41"/>
          <w:pgSz w:w="11906" w:h="16838" w:code="9"/>
          <w:pgMar w:top="720" w:right="720" w:bottom="720" w:left="720" w:header="425" w:footer="425" w:gutter="0"/>
          <w:cols w:space="708"/>
          <w:docGrid w:linePitch="360"/>
        </w:sectPr>
      </w:pPr>
      <w:r>
        <w:rPr>
          <w:rFonts w:cs="Arial"/>
        </w:rPr>
        <w:t xml:space="preserve">MELBOURNE </w:t>
      </w:r>
      <w:r w:rsidR="006F2640">
        <w:rPr>
          <w:rFonts w:cs="Arial"/>
        </w:rPr>
        <w:t xml:space="preserve"> </w:t>
      </w:r>
      <w:r>
        <w:rPr>
          <w:rFonts w:cs="Arial"/>
        </w:rPr>
        <w:t>VIC</w:t>
      </w:r>
      <w:r w:rsidR="00304241">
        <w:rPr>
          <w:rFonts w:cs="Arial"/>
        </w:rPr>
        <w:t xml:space="preserve">  3001</w:t>
      </w:r>
    </w:p>
    <w:p w14:paraId="1213FA3B" w14:textId="77777777" w:rsidR="00304241" w:rsidRPr="002D7001" w:rsidRDefault="00304241" w:rsidP="002D7001">
      <w:pPr>
        <w:pStyle w:val="Heading1"/>
      </w:pPr>
      <w:bookmarkStart w:id="17" w:name="_Toc135390576"/>
      <w:r w:rsidRPr="002D7001">
        <w:lastRenderedPageBreak/>
        <w:t>Complaint</w:t>
      </w:r>
      <w:r w:rsidR="00834698" w:rsidRPr="002D7001">
        <w:t xml:space="preserve"> DATA</w:t>
      </w:r>
      <w:bookmarkEnd w:id="17"/>
    </w:p>
    <w:p w14:paraId="23736886" w14:textId="5938C61B" w:rsidR="00304241" w:rsidRPr="002D7001" w:rsidRDefault="00304241" w:rsidP="002D7001">
      <w:pPr>
        <w:pStyle w:val="Heading2"/>
      </w:pPr>
      <w:bookmarkStart w:id="18" w:name="_Toc135390577"/>
      <w:r w:rsidRPr="002D7001">
        <w:t xml:space="preserve">Complaint </w:t>
      </w:r>
      <w:r w:rsidR="00264A69" w:rsidRPr="002D7001">
        <w:t>M</w:t>
      </w:r>
      <w:r w:rsidRPr="002D7001">
        <w:t xml:space="preserve">anagement </w:t>
      </w:r>
      <w:r w:rsidR="00264A69" w:rsidRPr="002D7001">
        <w:t>P</w:t>
      </w:r>
      <w:r w:rsidRPr="002D7001">
        <w:t>rocess</w:t>
      </w:r>
      <w:bookmarkEnd w:id="18"/>
    </w:p>
    <w:p w14:paraId="1D7DB446" w14:textId="3D1169F7" w:rsidR="00304241" w:rsidRDefault="00304241" w:rsidP="00304241">
      <w:pPr>
        <w:rPr>
          <w:rFonts w:cs="Arial"/>
        </w:rPr>
      </w:pPr>
      <w:r w:rsidRPr="00F66059">
        <w:rPr>
          <w:rFonts w:cs="Arial"/>
        </w:rPr>
        <w:t xml:space="preserve">A </w:t>
      </w:r>
      <w:r w:rsidR="00ED383C">
        <w:rPr>
          <w:rFonts w:cs="Arial"/>
        </w:rPr>
        <w:t>core</w:t>
      </w:r>
      <w:r w:rsidRPr="00F66059">
        <w:rPr>
          <w:rFonts w:cs="Arial"/>
        </w:rPr>
        <w:t xml:space="preserve"> function of the Commissioner’s Office is to receive and refer </w:t>
      </w:r>
      <w:r w:rsidRPr="001C681A">
        <w:rPr>
          <w:rFonts w:cs="Arial"/>
        </w:rPr>
        <w:t xml:space="preserve">complaints </w:t>
      </w:r>
      <w:r w:rsidRPr="00F66059">
        <w:rPr>
          <w:rFonts w:cs="Arial"/>
        </w:rPr>
        <w:t xml:space="preserve">from concerned community members about operating and proposed projects and, via a voluntary process, help facilitate resolutions </w:t>
      </w:r>
      <w:r w:rsidR="00EA13E9">
        <w:rPr>
          <w:rFonts w:cs="Arial"/>
        </w:rPr>
        <w:t xml:space="preserve">between the parties to the complaint </w:t>
      </w:r>
      <w:r w:rsidRPr="00F66059">
        <w:rPr>
          <w:rFonts w:cs="Arial"/>
        </w:rPr>
        <w:t>where practical</w:t>
      </w:r>
      <w:r w:rsidR="00245DF0">
        <w:rPr>
          <w:rFonts w:cs="Arial"/>
        </w:rPr>
        <w:t xml:space="preserve"> and requir</w:t>
      </w:r>
      <w:r w:rsidR="00F1140B">
        <w:rPr>
          <w:rFonts w:cs="Arial"/>
        </w:rPr>
        <w:t>ed</w:t>
      </w:r>
      <w:r w:rsidRPr="00F66059">
        <w:rPr>
          <w:rFonts w:cs="Arial"/>
        </w:rPr>
        <w:t>.</w:t>
      </w:r>
      <w:r w:rsidR="00EA13E9">
        <w:rPr>
          <w:rFonts w:cs="Arial"/>
        </w:rPr>
        <w:t xml:space="preserve"> </w:t>
      </w:r>
      <w:r w:rsidRPr="00F66059">
        <w:rPr>
          <w:rFonts w:cs="Arial"/>
        </w:rPr>
        <w:t xml:space="preserve">Information relating to </w:t>
      </w:r>
      <w:r>
        <w:rPr>
          <w:rFonts w:cs="Arial"/>
        </w:rPr>
        <w:t>the Office’s</w:t>
      </w:r>
      <w:r w:rsidRPr="00F66059">
        <w:rPr>
          <w:rFonts w:cs="Arial"/>
        </w:rPr>
        <w:t xml:space="preserve"> complaint handling activities are detailed in this </w:t>
      </w:r>
      <w:r w:rsidR="00450FB2">
        <w:rPr>
          <w:rFonts w:cs="Arial"/>
        </w:rPr>
        <w:t xml:space="preserve">section of the </w:t>
      </w:r>
      <w:r w:rsidRPr="00F66059">
        <w:rPr>
          <w:rFonts w:cs="Arial"/>
        </w:rPr>
        <w:t>report.</w:t>
      </w:r>
    </w:p>
    <w:p w14:paraId="7A79A1DD" w14:textId="601B08F0" w:rsidR="00304241" w:rsidRDefault="00304241" w:rsidP="00304241">
      <w:pPr>
        <w:rPr>
          <w:rFonts w:cs="Arial"/>
        </w:rPr>
      </w:pPr>
      <w:r>
        <w:rPr>
          <w:rFonts w:cs="Arial"/>
        </w:rPr>
        <w:t>M</w:t>
      </w:r>
      <w:r w:rsidRPr="00B84E66">
        <w:rPr>
          <w:rFonts w:cs="Arial"/>
        </w:rPr>
        <w:t xml:space="preserve">any </w:t>
      </w:r>
      <w:r w:rsidR="00873B00">
        <w:rPr>
          <w:rFonts w:cs="Arial"/>
        </w:rPr>
        <w:t>complaint</w:t>
      </w:r>
      <w:r w:rsidR="00B64BC6">
        <w:rPr>
          <w:rFonts w:cs="Arial"/>
        </w:rPr>
        <w:t>s</w:t>
      </w:r>
      <w:r w:rsidR="00873B00">
        <w:rPr>
          <w:rFonts w:cs="Arial"/>
        </w:rPr>
        <w:t xml:space="preserve"> </w:t>
      </w:r>
      <w:r w:rsidR="00B64BC6">
        <w:rPr>
          <w:rFonts w:cs="Arial"/>
        </w:rPr>
        <w:t xml:space="preserve">(known as ‘cases’) </w:t>
      </w:r>
      <w:r w:rsidR="00663208">
        <w:rPr>
          <w:rFonts w:cs="Arial"/>
        </w:rPr>
        <w:t>can be resolved by the</w:t>
      </w:r>
      <w:r w:rsidR="001F6589">
        <w:rPr>
          <w:rFonts w:cs="Arial"/>
        </w:rPr>
        <w:t xml:space="preserve"> </w:t>
      </w:r>
      <w:r w:rsidR="00663208">
        <w:rPr>
          <w:rFonts w:cs="Arial"/>
        </w:rPr>
        <w:t xml:space="preserve">provision </w:t>
      </w:r>
      <w:r w:rsidR="001F6589">
        <w:rPr>
          <w:rFonts w:cs="Arial"/>
        </w:rPr>
        <w:t>of factual information to the complainant</w:t>
      </w:r>
      <w:r w:rsidR="00A555F7">
        <w:rPr>
          <w:rFonts w:cs="Arial"/>
        </w:rPr>
        <w:t xml:space="preserve"> or connecting the complainant to the appropr</w:t>
      </w:r>
      <w:r w:rsidR="00703559">
        <w:rPr>
          <w:rFonts w:cs="Arial"/>
        </w:rPr>
        <w:t xml:space="preserve">iate organisation </w:t>
      </w:r>
      <w:r w:rsidR="00EA6608">
        <w:rPr>
          <w:rFonts w:cs="Arial"/>
        </w:rPr>
        <w:t>and/</w:t>
      </w:r>
      <w:r w:rsidR="00703559">
        <w:rPr>
          <w:rFonts w:cs="Arial"/>
        </w:rPr>
        <w:t>or contact that can</w:t>
      </w:r>
      <w:r w:rsidR="00EA6608">
        <w:rPr>
          <w:rFonts w:cs="Arial"/>
        </w:rPr>
        <w:t xml:space="preserve"> </w:t>
      </w:r>
      <w:r w:rsidR="00703559">
        <w:rPr>
          <w:rFonts w:cs="Arial"/>
        </w:rPr>
        <w:t>addres</w:t>
      </w:r>
      <w:r w:rsidR="00EA6608">
        <w:rPr>
          <w:rFonts w:cs="Arial"/>
        </w:rPr>
        <w:t>s</w:t>
      </w:r>
      <w:r w:rsidR="00703559">
        <w:rPr>
          <w:rFonts w:cs="Arial"/>
        </w:rPr>
        <w:t xml:space="preserve"> and resolve the issue</w:t>
      </w:r>
      <w:r w:rsidR="00EA6608">
        <w:rPr>
          <w:rFonts w:cs="Arial"/>
        </w:rPr>
        <w:t xml:space="preserve">. </w:t>
      </w:r>
      <w:r w:rsidR="0048526F">
        <w:rPr>
          <w:rFonts w:cs="Arial"/>
        </w:rPr>
        <w:t>However</w:t>
      </w:r>
      <w:r w:rsidR="00257064">
        <w:rPr>
          <w:rFonts w:cs="Arial"/>
        </w:rPr>
        <w:t>,</w:t>
      </w:r>
      <w:r w:rsidR="0048526F">
        <w:rPr>
          <w:rFonts w:cs="Arial"/>
        </w:rPr>
        <w:t xml:space="preserve"> some cases can </w:t>
      </w:r>
      <w:r>
        <w:rPr>
          <w:rFonts w:cs="Arial"/>
        </w:rPr>
        <w:t xml:space="preserve">be </w:t>
      </w:r>
      <w:r w:rsidR="0048526F">
        <w:rPr>
          <w:rFonts w:cs="Arial"/>
        </w:rPr>
        <w:t xml:space="preserve">quite </w:t>
      </w:r>
      <w:r w:rsidRPr="00B84E66">
        <w:rPr>
          <w:rFonts w:cs="Arial"/>
        </w:rPr>
        <w:t>complex</w:t>
      </w:r>
      <w:r>
        <w:rPr>
          <w:rFonts w:cs="Arial"/>
        </w:rPr>
        <w:t xml:space="preserve">, taking time </w:t>
      </w:r>
      <w:r w:rsidR="0048526F">
        <w:rPr>
          <w:rFonts w:cs="Arial"/>
        </w:rPr>
        <w:t>for ou</w:t>
      </w:r>
      <w:r w:rsidR="00580B28">
        <w:rPr>
          <w:rFonts w:cs="Arial"/>
        </w:rPr>
        <w:t xml:space="preserve">r Office </w:t>
      </w:r>
      <w:r>
        <w:rPr>
          <w:rFonts w:cs="Arial"/>
        </w:rPr>
        <w:t xml:space="preserve">to research and </w:t>
      </w:r>
      <w:r w:rsidR="00580B28">
        <w:rPr>
          <w:rFonts w:cs="Arial"/>
        </w:rPr>
        <w:t xml:space="preserve">identify an effective path to </w:t>
      </w:r>
      <w:r>
        <w:rPr>
          <w:rFonts w:cs="Arial"/>
        </w:rPr>
        <w:t>resol</w:t>
      </w:r>
      <w:r w:rsidR="00580B28">
        <w:rPr>
          <w:rFonts w:cs="Arial"/>
        </w:rPr>
        <w:t>ution.</w:t>
      </w:r>
      <w:r>
        <w:rPr>
          <w:rFonts w:cs="Arial"/>
        </w:rPr>
        <w:t xml:space="preserve"> The Office’s complaint management process has been designed to</w:t>
      </w:r>
      <w:r w:rsidRPr="00F47E6D">
        <w:rPr>
          <w:rFonts w:cs="Arial"/>
        </w:rPr>
        <w:t xml:space="preserve"> </w:t>
      </w:r>
      <w:r>
        <w:rPr>
          <w:rFonts w:cs="Arial"/>
        </w:rPr>
        <w:t xml:space="preserve">help </w:t>
      </w:r>
      <w:r w:rsidRPr="00F47E6D">
        <w:rPr>
          <w:rFonts w:cs="Arial"/>
        </w:rPr>
        <w:t xml:space="preserve">ensure that </w:t>
      </w:r>
      <w:r w:rsidRPr="0044051C">
        <w:rPr>
          <w:rFonts w:cs="Arial"/>
        </w:rPr>
        <w:t>the Office function</w:t>
      </w:r>
      <w:r>
        <w:rPr>
          <w:rFonts w:cs="Arial"/>
        </w:rPr>
        <w:t>s</w:t>
      </w:r>
      <w:r w:rsidRPr="0044051C">
        <w:rPr>
          <w:rFonts w:cs="Arial"/>
        </w:rPr>
        <w:t xml:space="preserve"> effectively</w:t>
      </w:r>
      <w:r>
        <w:rPr>
          <w:rFonts w:cs="Arial"/>
        </w:rPr>
        <w:t xml:space="preserve">, managing each </w:t>
      </w:r>
      <w:r w:rsidRPr="00F47E6D">
        <w:rPr>
          <w:rFonts w:cs="Arial"/>
        </w:rPr>
        <w:t>com</w:t>
      </w:r>
      <w:r>
        <w:rPr>
          <w:rFonts w:cs="Arial"/>
        </w:rPr>
        <w:t>plaint received appropriately.</w:t>
      </w:r>
    </w:p>
    <w:p w14:paraId="2743A395" w14:textId="0DC6CDE6" w:rsidR="00304241" w:rsidRDefault="00C75D2B" w:rsidP="00304241">
      <w:pPr>
        <w:rPr>
          <w:rFonts w:cs="Arial"/>
        </w:rPr>
      </w:pPr>
      <w:r>
        <w:rPr>
          <w:rFonts w:cs="Arial"/>
        </w:rPr>
        <w:t>T</w:t>
      </w:r>
      <w:r w:rsidR="00304241">
        <w:rPr>
          <w:rFonts w:cs="Arial"/>
        </w:rPr>
        <w:t>he Office</w:t>
      </w:r>
      <w:r w:rsidR="00B04387">
        <w:rPr>
          <w:rFonts w:cs="Arial"/>
        </w:rPr>
        <w:t xml:space="preserve"> </w:t>
      </w:r>
      <w:r w:rsidR="00F735FC">
        <w:rPr>
          <w:rFonts w:cs="Arial"/>
        </w:rPr>
        <w:t>usually</w:t>
      </w:r>
      <w:r w:rsidR="00304241">
        <w:rPr>
          <w:rFonts w:cs="Arial"/>
        </w:rPr>
        <w:t xml:space="preserve"> treat</w:t>
      </w:r>
      <w:r w:rsidR="00B04387">
        <w:rPr>
          <w:rFonts w:cs="Arial"/>
        </w:rPr>
        <w:t>s</w:t>
      </w:r>
      <w:r w:rsidR="00304241">
        <w:rPr>
          <w:rFonts w:cs="Arial"/>
        </w:rPr>
        <w:t xml:space="preserve"> a complaint from a residence as</w:t>
      </w:r>
      <w:r w:rsidR="00266458">
        <w:rPr>
          <w:rFonts w:cs="Arial"/>
        </w:rPr>
        <w:t xml:space="preserve"> one</w:t>
      </w:r>
      <w:r w:rsidR="00304241" w:rsidRPr="00B85A19">
        <w:rPr>
          <w:rFonts w:cs="Arial"/>
          <w:b/>
          <w:i/>
        </w:rPr>
        <w:t xml:space="preserve"> </w:t>
      </w:r>
      <w:r w:rsidR="00304241">
        <w:rPr>
          <w:rFonts w:cs="Arial"/>
        </w:rPr>
        <w:t xml:space="preserve">case. The case may contain </w:t>
      </w:r>
      <w:r w:rsidR="00B04387">
        <w:rPr>
          <w:rFonts w:cs="Arial"/>
        </w:rPr>
        <w:t>several</w:t>
      </w:r>
      <w:r w:rsidR="00304241">
        <w:rPr>
          <w:rFonts w:cs="Arial"/>
        </w:rPr>
        <w:t xml:space="preserve"> </w:t>
      </w:r>
      <w:r w:rsidR="00506FA4">
        <w:rPr>
          <w:rFonts w:cs="Arial"/>
        </w:rPr>
        <w:t xml:space="preserve">complaint issues </w:t>
      </w:r>
      <w:r w:rsidR="00304241">
        <w:rPr>
          <w:rFonts w:cs="Arial"/>
        </w:rPr>
        <w:t xml:space="preserve">and may involve a large volume of correspondence with the Office over </w:t>
      </w:r>
      <w:r w:rsidR="00B04387">
        <w:rPr>
          <w:rFonts w:cs="Arial"/>
        </w:rPr>
        <w:t xml:space="preserve">a </w:t>
      </w:r>
      <w:r w:rsidR="00304241">
        <w:rPr>
          <w:rFonts w:cs="Arial"/>
        </w:rPr>
        <w:t>long period of time. The Office record</w:t>
      </w:r>
      <w:r w:rsidR="006957C5">
        <w:rPr>
          <w:rFonts w:cs="Arial"/>
        </w:rPr>
        <w:t>s</w:t>
      </w:r>
      <w:r w:rsidR="00304241">
        <w:rPr>
          <w:rFonts w:cs="Arial"/>
        </w:rPr>
        <w:t xml:space="preserve"> ongoing correspondence in the case file as further information about th</w:t>
      </w:r>
      <w:r w:rsidR="00850435">
        <w:rPr>
          <w:rFonts w:cs="Arial"/>
        </w:rPr>
        <w:t>e</w:t>
      </w:r>
      <w:r w:rsidR="00304241">
        <w:rPr>
          <w:rFonts w:cs="Arial"/>
        </w:rPr>
        <w:t xml:space="preserve"> complaint. </w:t>
      </w:r>
      <w:r w:rsidR="00304241" w:rsidRPr="00B84E66">
        <w:rPr>
          <w:rFonts w:cs="Arial"/>
        </w:rPr>
        <w:t xml:space="preserve">If the complainant </w:t>
      </w:r>
      <w:r w:rsidR="00850435">
        <w:rPr>
          <w:rFonts w:cs="Arial"/>
        </w:rPr>
        <w:t xml:space="preserve">subsequently </w:t>
      </w:r>
      <w:r w:rsidR="00304241" w:rsidRPr="00B84E66">
        <w:rPr>
          <w:rFonts w:cs="Arial"/>
        </w:rPr>
        <w:t>lodges a complaint about a substantive new issue</w:t>
      </w:r>
      <w:r w:rsidR="006957C5">
        <w:rPr>
          <w:rFonts w:cs="Arial"/>
        </w:rPr>
        <w:t xml:space="preserve">, </w:t>
      </w:r>
      <w:r w:rsidR="00304241" w:rsidRPr="00B84E66">
        <w:rPr>
          <w:rFonts w:cs="Arial"/>
        </w:rPr>
        <w:t xml:space="preserve">a different </w:t>
      </w:r>
      <w:r w:rsidR="00A47977">
        <w:rPr>
          <w:rFonts w:cs="Arial"/>
        </w:rPr>
        <w:t xml:space="preserve">aspect of the </w:t>
      </w:r>
      <w:r w:rsidR="00304241">
        <w:rPr>
          <w:rFonts w:cs="Arial"/>
        </w:rPr>
        <w:t>project</w:t>
      </w:r>
      <w:r w:rsidR="00BA15DC">
        <w:rPr>
          <w:rFonts w:cs="Arial"/>
        </w:rPr>
        <w:t xml:space="preserve">, or </w:t>
      </w:r>
      <w:r w:rsidR="00165213">
        <w:rPr>
          <w:rFonts w:cs="Arial"/>
        </w:rPr>
        <w:t>a different project altogether</w:t>
      </w:r>
      <w:r w:rsidR="00304241" w:rsidRPr="00B84E66">
        <w:rPr>
          <w:rFonts w:cs="Arial"/>
        </w:rPr>
        <w:t>, a new c</w:t>
      </w:r>
      <w:r w:rsidR="00304241">
        <w:rPr>
          <w:rFonts w:cs="Arial"/>
        </w:rPr>
        <w:t>ase</w:t>
      </w:r>
      <w:r w:rsidR="00304241" w:rsidRPr="00B84E66">
        <w:rPr>
          <w:rFonts w:cs="Arial"/>
        </w:rPr>
        <w:t xml:space="preserve"> may be established and recorded by </w:t>
      </w:r>
      <w:r w:rsidR="00304241">
        <w:rPr>
          <w:rFonts w:cs="Arial"/>
        </w:rPr>
        <w:t>the</w:t>
      </w:r>
      <w:r w:rsidR="00304241" w:rsidRPr="00B84E66">
        <w:rPr>
          <w:rFonts w:cs="Arial"/>
        </w:rPr>
        <w:t xml:space="preserve"> Office</w:t>
      </w:r>
      <w:r w:rsidR="00304241">
        <w:rPr>
          <w:rFonts w:cs="Arial"/>
        </w:rPr>
        <w:t>.</w:t>
      </w:r>
    </w:p>
    <w:p w14:paraId="68E74E30" w14:textId="018C6A8A" w:rsidR="00304241" w:rsidRPr="002D7001" w:rsidRDefault="00304241" w:rsidP="002D7001">
      <w:pPr>
        <w:pStyle w:val="Heading2"/>
      </w:pPr>
      <w:bookmarkStart w:id="19" w:name="_Toc135390578"/>
      <w:r w:rsidRPr="002D7001">
        <w:t>Complaint Handling Policy</w:t>
      </w:r>
      <w:bookmarkEnd w:id="19"/>
    </w:p>
    <w:p w14:paraId="0CAF7716" w14:textId="02DFE257" w:rsidR="00304241" w:rsidRDefault="00304241" w:rsidP="00304241">
      <w:pPr>
        <w:rPr>
          <w:rFonts w:cs="Arial"/>
        </w:rPr>
      </w:pPr>
      <w:r>
        <w:rPr>
          <w:rFonts w:cs="Arial"/>
        </w:rPr>
        <w:t>The Office’s Complaint Handling Policy outlines the procedure for receiving and handling cases. Cases</w:t>
      </w:r>
      <w:r w:rsidRPr="00F47E6D">
        <w:rPr>
          <w:rFonts w:cs="Arial"/>
        </w:rPr>
        <w:t xml:space="preserve"> </w:t>
      </w:r>
      <w:r>
        <w:rPr>
          <w:rFonts w:cs="Arial"/>
        </w:rPr>
        <w:t xml:space="preserve">initially </w:t>
      </w:r>
      <w:r w:rsidRPr="00F47E6D">
        <w:rPr>
          <w:rFonts w:cs="Arial"/>
        </w:rPr>
        <w:t>received by the Office are classified as an ‘enquiry’</w:t>
      </w:r>
      <w:r>
        <w:rPr>
          <w:rFonts w:cs="Arial"/>
        </w:rPr>
        <w:t xml:space="preserve"> and may be</w:t>
      </w:r>
      <w:r w:rsidRPr="00F47E6D">
        <w:rPr>
          <w:rFonts w:cs="Arial"/>
        </w:rPr>
        <w:t xml:space="preserve"> accepted </w:t>
      </w:r>
      <w:r>
        <w:rPr>
          <w:rFonts w:cs="Arial"/>
        </w:rPr>
        <w:t xml:space="preserve">and progressed </w:t>
      </w:r>
      <w:r w:rsidR="002A3A2D">
        <w:rPr>
          <w:rFonts w:cs="Arial"/>
        </w:rPr>
        <w:t xml:space="preserve">as a formal complaint </w:t>
      </w:r>
      <w:r w:rsidRPr="00F47E6D">
        <w:rPr>
          <w:rFonts w:cs="Arial"/>
        </w:rPr>
        <w:t>by the Office once sufficient information</w:t>
      </w:r>
      <w:r>
        <w:rPr>
          <w:rFonts w:cs="Arial"/>
        </w:rPr>
        <w:t>,</w:t>
      </w:r>
      <w:r w:rsidRPr="00F47E6D">
        <w:rPr>
          <w:rFonts w:cs="Arial"/>
        </w:rPr>
        <w:t xml:space="preserve"> </w:t>
      </w:r>
      <w:r>
        <w:rPr>
          <w:rFonts w:cs="Arial"/>
        </w:rPr>
        <w:t xml:space="preserve">including written consent </w:t>
      </w:r>
      <w:r w:rsidRPr="00F47E6D">
        <w:rPr>
          <w:rFonts w:cs="Arial"/>
        </w:rPr>
        <w:t>to share information</w:t>
      </w:r>
      <w:r>
        <w:rPr>
          <w:rFonts w:cs="Arial"/>
        </w:rPr>
        <w:t>,</w:t>
      </w:r>
      <w:r w:rsidRPr="00F47E6D">
        <w:rPr>
          <w:rFonts w:cs="Arial"/>
        </w:rPr>
        <w:t xml:space="preserve"> has been provided by the complainant.</w:t>
      </w:r>
    </w:p>
    <w:p w14:paraId="42782CD5" w14:textId="0832C1B9" w:rsidR="00304241" w:rsidRDefault="00304241" w:rsidP="00304241">
      <w:pPr>
        <w:rPr>
          <w:rFonts w:cs="Arial"/>
        </w:rPr>
      </w:pPr>
      <w:r w:rsidRPr="003929F8">
        <w:rPr>
          <w:rFonts w:cs="Arial"/>
        </w:rPr>
        <w:t xml:space="preserve">The </w:t>
      </w:r>
      <w:r>
        <w:rPr>
          <w:rFonts w:cs="Arial"/>
        </w:rPr>
        <w:t xml:space="preserve">Office is also guided by </w:t>
      </w:r>
      <w:r w:rsidR="001E2791">
        <w:rPr>
          <w:rFonts w:cs="Arial"/>
        </w:rPr>
        <w:t xml:space="preserve">its </w:t>
      </w:r>
      <w:r>
        <w:rPr>
          <w:rFonts w:cs="Arial"/>
        </w:rPr>
        <w:t>Information Handling Policy, which outlines what information the Office collects</w:t>
      </w:r>
      <w:r w:rsidR="006957C5">
        <w:rPr>
          <w:rFonts w:cs="Arial"/>
        </w:rPr>
        <w:t xml:space="preserve"> and</w:t>
      </w:r>
      <w:r>
        <w:rPr>
          <w:rFonts w:cs="Arial"/>
        </w:rPr>
        <w:t xml:space="preserve"> how this information may be disclosed as well as </w:t>
      </w:r>
      <w:r w:rsidR="00611D14">
        <w:rPr>
          <w:rFonts w:cs="Arial"/>
        </w:rPr>
        <w:t xml:space="preserve">guidance </w:t>
      </w:r>
      <w:r w:rsidR="00AE15A1">
        <w:rPr>
          <w:rFonts w:cs="Arial"/>
        </w:rPr>
        <w:t xml:space="preserve">about </w:t>
      </w:r>
      <w:r>
        <w:rPr>
          <w:rFonts w:cs="Arial"/>
        </w:rPr>
        <w:t>confidentiality and privacy.</w:t>
      </w:r>
    </w:p>
    <w:p w14:paraId="175CB6CE" w14:textId="4C79E6C7" w:rsidR="00304241" w:rsidRDefault="00304241" w:rsidP="00304241">
      <w:pPr>
        <w:rPr>
          <w:rFonts w:cs="Arial"/>
        </w:rPr>
      </w:pPr>
      <w:r>
        <w:rPr>
          <w:rFonts w:cs="Arial"/>
        </w:rPr>
        <w:t xml:space="preserve">These policies are available on the Commissioner’s website at </w:t>
      </w:r>
      <w:hyperlink r:id="rId42" w:history="1">
        <w:r w:rsidRPr="008035C6">
          <w:rPr>
            <w:rStyle w:val="Hyperlink"/>
            <w:rFonts w:cs="Arial"/>
          </w:rPr>
          <w:t>www.aeic.gov.au/about</w:t>
        </w:r>
      </w:hyperlink>
      <w:r w:rsidR="00844353">
        <w:rPr>
          <w:rFonts w:cs="Arial"/>
        </w:rPr>
        <w:t>.</w:t>
      </w:r>
    </w:p>
    <w:p w14:paraId="5ADDC4FE" w14:textId="6029D7CB" w:rsidR="00304241" w:rsidRPr="002D7001" w:rsidRDefault="00304241" w:rsidP="002D7001">
      <w:pPr>
        <w:pStyle w:val="Heading2"/>
      </w:pPr>
      <w:bookmarkStart w:id="20" w:name="_Toc135390579"/>
      <w:r w:rsidRPr="002D7001">
        <w:t>Case Activity</w:t>
      </w:r>
      <w:r w:rsidR="00ED14D2" w:rsidRPr="002D7001">
        <w:t xml:space="preserve"> in 202</w:t>
      </w:r>
      <w:r w:rsidR="005A0D06" w:rsidRPr="002D7001">
        <w:t>2</w:t>
      </w:r>
      <w:bookmarkEnd w:id="20"/>
    </w:p>
    <w:p w14:paraId="1E4F96DC" w14:textId="2E5A5CD5" w:rsidR="00245766" w:rsidRDefault="00D8027B" w:rsidP="00304241">
      <w:pPr>
        <w:spacing w:line="264" w:lineRule="auto"/>
        <w:rPr>
          <w:rFonts w:cs="Arial"/>
        </w:rPr>
      </w:pPr>
      <w:r>
        <w:rPr>
          <w:rFonts w:cs="Arial"/>
        </w:rPr>
        <w:t>Between</w:t>
      </w:r>
      <w:r w:rsidR="00304241" w:rsidRPr="00002675">
        <w:rPr>
          <w:rFonts w:cs="Arial"/>
        </w:rPr>
        <w:t xml:space="preserve"> 1 January 202</w:t>
      </w:r>
      <w:r w:rsidR="00162C1A">
        <w:rPr>
          <w:rFonts w:cs="Arial"/>
        </w:rPr>
        <w:t>2</w:t>
      </w:r>
      <w:r w:rsidR="00304241" w:rsidRPr="00002675">
        <w:rPr>
          <w:rFonts w:cs="Arial"/>
        </w:rPr>
        <w:t xml:space="preserve"> </w:t>
      </w:r>
      <w:r>
        <w:rPr>
          <w:rFonts w:cs="Arial"/>
        </w:rPr>
        <w:t>and</w:t>
      </w:r>
      <w:r w:rsidRPr="00002675">
        <w:rPr>
          <w:rFonts w:cs="Arial"/>
        </w:rPr>
        <w:t xml:space="preserve"> </w:t>
      </w:r>
      <w:r w:rsidR="00304241" w:rsidRPr="00002675">
        <w:rPr>
          <w:rFonts w:cs="Arial"/>
        </w:rPr>
        <w:t>31 December 202</w:t>
      </w:r>
      <w:r w:rsidR="00162C1A">
        <w:rPr>
          <w:rFonts w:cs="Arial"/>
        </w:rPr>
        <w:t>2</w:t>
      </w:r>
      <w:r w:rsidR="00304241" w:rsidRPr="00002675">
        <w:rPr>
          <w:rFonts w:cs="Arial"/>
        </w:rPr>
        <w:t xml:space="preserve">, the Office received a total of </w:t>
      </w:r>
      <w:r w:rsidR="00F64885">
        <w:rPr>
          <w:rFonts w:cs="Arial"/>
        </w:rPr>
        <w:t>8</w:t>
      </w:r>
      <w:r w:rsidR="00A65B39">
        <w:rPr>
          <w:rFonts w:cs="Arial"/>
        </w:rPr>
        <w:t>7</w:t>
      </w:r>
      <w:r w:rsidR="00304241" w:rsidRPr="00002675">
        <w:rPr>
          <w:rFonts w:cs="Arial"/>
        </w:rPr>
        <w:t xml:space="preserve"> </w:t>
      </w:r>
      <w:r w:rsidR="00465B70">
        <w:rPr>
          <w:rFonts w:cs="Arial"/>
        </w:rPr>
        <w:t xml:space="preserve">new </w:t>
      </w:r>
      <w:r w:rsidR="00304241" w:rsidRPr="00002675">
        <w:rPr>
          <w:rFonts w:cs="Arial"/>
        </w:rPr>
        <w:t>c</w:t>
      </w:r>
      <w:r w:rsidR="00304241">
        <w:rPr>
          <w:rFonts w:cs="Arial"/>
        </w:rPr>
        <w:t>ases</w:t>
      </w:r>
      <w:r w:rsidR="00F14DDC">
        <w:rPr>
          <w:rFonts w:cs="Arial"/>
        </w:rPr>
        <w:t>, c</w:t>
      </w:r>
      <w:r w:rsidR="00540DE8">
        <w:rPr>
          <w:rFonts w:cs="Arial"/>
        </w:rPr>
        <w:t xml:space="preserve">ompared to </w:t>
      </w:r>
      <w:r w:rsidR="005E1D14">
        <w:rPr>
          <w:rFonts w:cs="Arial"/>
        </w:rPr>
        <w:t>212 cases the Office received during 2021.</w:t>
      </w:r>
    </w:p>
    <w:p w14:paraId="08DB1B0B" w14:textId="60782744" w:rsidR="00304241" w:rsidRPr="00002675" w:rsidRDefault="00304241" w:rsidP="00304241">
      <w:pPr>
        <w:spacing w:line="264" w:lineRule="auto"/>
        <w:rPr>
          <w:rFonts w:cs="Arial"/>
        </w:rPr>
      </w:pPr>
      <w:r w:rsidRPr="00002675">
        <w:rPr>
          <w:rFonts w:cs="Arial"/>
        </w:rPr>
        <w:t xml:space="preserve">The breakdown of the </w:t>
      </w:r>
      <w:r>
        <w:rPr>
          <w:rFonts w:cs="Arial"/>
        </w:rPr>
        <w:t>cases</w:t>
      </w:r>
      <w:r w:rsidRPr="00002675">
        <w:rPr>
          <w:rFonts w:cs="Arial"/>
        </w:rPr>
        <w:t xml:space="preserve"> received</w:t>
      </w:r>
      <w:r w:rsidR="005E1D14">
        <w:rPr>
          <w:rFonts w:cs="Arial"/>
        </w:rPr>
        <w:t xml:space="preserve"> in 2022</w:t>
      </w:r>
      <w:r w:rsidRPr="00002675">
        <w:rPr>
          <w:rFonts w:cs="Arial"/>
        </w:rPr>
        <w:t xml:space="preserve"> are as follows:</w:t>
      </w:r>
    </w:p>
    <w:p w14:paraId="58A93582" w14:textId="00909EAD" w:rsidR="00304241" w:rsidRDefault="00F64885" w:rsidP="00304241">
      <w:pPr>
        <w:pStyle w:val="ListParagraph"/>
        <w:numPr>
          <w:ilvl w:val="0"/>
          <w:numId w:val="16"/>
        </w:numPr>
        <w:spacing w:line="264" w:lineRule="auto"/>
        <w:rPr>
          <w:rFonts w:cs="Arial"/>
        </w:rPr>
      </w:pPr>
      <w:r>
        <w:rPr>
          <w:rFonts w:cs="Arial"/>
        </w:rPr>
        <w:t>4</w:t>
      </w:r>
      <w:r w:rsidR="00A65B39">
        <w:rPr>
          <w:rFonts w:cs="Arial"/>
        </w:rPr>
        <w:t>4</w:t>
      </w:r>
      <w:r w:rsidR="00304241">
        <w:rPr>
          <w:rFonts w:cs="Arial"/>
        </w:rPr>
        <w:t xml:space="preserve"> cases </w:t>
      </w:r>
      <w:r w:rsidR="005A4F76">
        <w:rPr>
          <w:rFonts w:cs="Arial"/>
        </w:rPr>
        <w:t>about</w:t>
      </w:r>
      <w:r w:rsidR="00304241">
        <w:rPr>
          <w:rFonts w:cs="Arial"/>
        </w:rPr>
        <w:t xml:space="preserve"> </w:t>
      </w:r>
      <w:r w:rsidR="00B25CE5">
        <w:rPr>
          <w:rFonts w:cs="Arial"/>
        </w:rPr>
        <w:t xml:space="preserve">three </w:t>
      </w:r>
      <w:r w:rsidR="00304241">
        <w:rPr>
          <w:rFonts w:cs="Arial"/>
        </w:rPr>
        <w:t>proposed large-scale transmission projects</w:t>
      </w:r>
    </w:p>
    <w:p w14:paraId="1722E803" w14:textId="652A456F" w:rsidR="00540DE8" w:rsidRPr="00002675" w:rsidRDefault="00540DE8" w:rsidP="00540DE8">
      <w:pPr>
        <w:pStyle w:val="ListParagraph"/>
        <w:numPr>
          <w:ilvl w:val="0"/>
          <w:numId w:val="16"/>
        </w:numPr>
        <w:autoSpaceDE w:val="0"/>
        <w:autoSpaceDN w:val="0"/>
        <w:adjustRightInd w:val="0"/>
        <w:spacing w:line="264" w:lineRule="auto"/>
        <w:rPr>
          <w:rFonts w:cs="Arial"/>
          <w:color w:val="000000"/>
          <w:lang w:eastAsia="en-AU"/>
        </w:rPr>
      </w:pPr>
      <w:r>
        <w:rPr>
          <w:rFonts w:cs="Arial"/>
          <w:color w:val="000000"/>
          <w:lang w:eastAsia="en-AU"/>
        </w:rPr>
        <w:t>24</w:t>
      </w:r>
      <w:r w:rsidRPr="00002675">
        <w:rPr>
          <w:rFonts w:cs="Arial"/>
          <w:color w:val="000000"/>
          <w:lang w:eastAsia="en-AU"/>
        </w:rPr>
        <w:t xml:space="preserve"> cases </w:t>
      </w:r>
      <w:r w:rsidR="005A4F76">
        <w:rPr>
          <w:rFonts w:cs="Arial"/>
          <w:color w:val="000000"/>
          <w:lang w:eastAsia="en-AU"/>
        </w:rPr>
        <w:t>about</w:t>
      </w:r>
      <w:r w:rsidRPr="00002675">
        <w:rPr>
          <w:rFonts w:cs="Arial"/>
          <w:color w:val="000000"/>
          <w:lang w:eastAsia="en-AU"/>
        </w:rPr>
        <w:t xml:space="preserve"> </w:t>
      </w:r>
      <w:r>
        <w:rPr>
          <w:rFonts w:cs="Arial"/>
          <w:color w:val="000000"/>
          <w:lang w:eastAsia="en-AU"/>
        </w:rPr>
        <w:t>15</w:t>
      </w:r>
      <w:r w:rsidRPr="00002675">
        <w:rPr>
          <w:rFonts w:cs="Arial"/>
          <w:color w:val="000000"/>
          <w:lang w:eastAsia="en-AU"/>
        </w:rPr>
        <w:t xml:space="preserve"> proposed wind farms</w:t>
      </w:r>
    </w:p>
    <w:p w14:paraId="1970CADB" w14:textId="1E3E8437" w:rsidR="00540DE8" w:rsidRPr="00540DE8" w:rsidRDefault="00540DE8" w:rsidP="00540DE8">
      <w:pPr>
        <w:pStyle w:val="ListParagraph"/>
        <w:numPr>
          <w:ilvl w:val="0"/>
          <w:numId w:val="16"/>
        </w:numPr>
        <w:autoSpaceDE w:val="0"/>
        <w:autoSpaceDN w:val="0"/>
        <w:adjustRightInd w:val="0"/>
        <w:spacing w:line="264" w:lineRule="auto"/>
        <w:rPr>
          <w:rFonts w:cs="Arial"/>
          <w:color w:val="000000"/>
          <w:lang w:eastAsia="en-AU"/>
        </w:rPr>
      </w:pPr>
      <w:r>
        <w:rPr>
          <w:rFonts w:cs="Arial"/>
          <w:color w:val="000000"/>
          <w:lang w:eastAsia="en-AU"/>
        </w:rPr>
        <w:t>10</w:t>
      </w:r>
      <w:r w:rsidRPr="00002675">
        <w:rPr>
          <w:rFonts w:cs="Arial"/>
          <w:color w:val="000000"/>
          <w:lang w:eastAsia="en-AU"/>
        </w:rPr>
        <w:t xml:space="preserve"> cases </w:t>
      </w:r>
      <w:r w:rsidR="005A4F76">
        <w:rPr>
          <w:rFonts w:cs="Arial"/>
          <w:color w:val="000000"/>
          <w:lang w:eastAsia="en-AU"/>
        </w:rPr>
        <w:t xml:space="preserve">that </w:t>
      </w:r>
      <w:r w:rsidRPr="00002675">
        <w:rPr>
          <w:rFonts w:cs="Arial"/>
          <w:color w:val="000000"/>
          <w:lang w:eastAsia="en-AU"/>
        </w:rPr>
        <w:t>did not specify a particular project or development</w:t>
      </w:r>
    </w:p>
    <w:p w14:paraId="6E76A520" w14:textId="43396282" w:rsidR="00304241" w:rsidRPr="00002675" w:rsidRDefault="007E0420" w:rsidP="00304241">
      <w:pPr>
        <w:pStyle w:val="ListParagraph"/>
        <w:numPr>
          <w:ilvl w:val="0"/>
          <w:numId w:val="16"/>
        </w:numPr>
        <w:spacing w:line="264" w:lineRule="auto"/>
        <w:rPr>
          <w:rFonts w:cs="Arial"/>
        </w:rPr>
      </w:pPr>
      <w:r>
        <w:rPr>
          <w:rFonts w:cs="Arial"/>
          <w:color w:val="000000"/>
          <w:lang w:eastAsia="en-AU"/>
        </w:rPr>
        <w:t>five</w:t>
      </w:r>
      <w:r w:rsidR="00304241" w:rsidRPr="00002675">
        <w:rPr>
          <w:rFonts w:cs="Arial"/>
          <w:color w:val="000000"/>
          <w:lang w:eastAsia="en-AU"/>
        </w:rPr>
        <w:t xml:space="preserve"> cases </w:t>
      </w:r>
      <w:r w:rsidR="005A4F76">
        <w:rPr>
          <w:rFonts w:cs="Arial"/>
          <w:color w:val="000000"/>
          <w:lang w:eastAsia="en-AU"/>
        </w:rPr>
        <w:t>about</w:t>
      </w:r>
      <w:r w:rsidR="00304241" w:rsidRPr="00002675">
        <w:rPr>
          <w:rFonts w:cs="Arial"/>
          <w:color w:val="000000"/>
          <w:lang w:eastAsia="en-AU"/>
        </w:rPr>
        <w:t xml:space="preserve"> </w:t>
      </w:r>
      <w:r w:rsidR="00162C1A">
        <w:rPr>
          <w:rFonts w:cs="Arial"/>
          <w:color w:val="000000"/>
          <w:lang w:eastAsia="en-AU"/>
        </w:rPr>
        <w:t>four</w:t>
      </w:r>
      <w:r w:rsidR="00304241" w:rsidRPr="00002675">
        <w:rPr>
          <w:rFonts w:cs="Arial"/>
          <w:color w:val="000000"/>
          <w:lang w:eastAsia="en-AU"/>
        </w:rPr>
        <w:t xml:space="preserve"> operating wind farms</w:t>
      </w:r>
    </w:p>
    <w:p w14:paraId="32483594" w14:textId="5F62F9AF" w:rsidR="00162C1A" w:rsidRDefault="00162C1A" w:rsidP="00304241">
      <w:pPr>
        <w:pStyle w:val="ListParagraph"/>
        <w:numPr>
          <w:ilvl w:val="0"/>
          <w:numId w:val="16"/>
        </w:numPr>
        <w:autoSpaceDE w:val="0"/>
        <w:autoSpaceDN w:val="0"/>
        <w:adjustRightInd w:val="0"/>
        <w:spacing w:line="264" w:lineRule="auto"/>
        <w:rPr>
          <w:rFonts w:cs="Arial"/>
          <w:color w:val="000000"/>
          <w:lang w:eastAsia="en-AU"/>
        </w:rPr>
      </w:pPr>
      <w:r>
        <w:rPr>
          <w:rFonts w:cs="Arial"/>
          <w:color w:val="000000"/>
          <w:lang w:eastAsia="en-AU"/>
        </w:rPr>
        <w:t>two</w:t>
      </w:r>
      <w:r w:rsidR="00304241" w:rsidRPr="00002675">
        <w:rPr>
          <w:rFonts w:cs="Arial"/>
          <w:color w:val="000000"/>
          <w:lang w:eastAsia="en-AU"/>
        </w:rPr>
        <w:t xml:space="preserve"> cases </w:t>
      </w:r>
      <w:r w:rsidR="005A4F76">
        <w:rPr>
          <w:rFonts w:cs="Arial"/>
          <w:color w:val="000000"/>
          <w:lang w:eastAsia="en-AU"/>
        </w:rPr>
        <w:t>about</w:t>
      </w:r>
      <w:r w:rsidR="00304241" w:rsidRPr="00002675">
        <w:rPr>
          <w:rFonts w:cs="Arial"/>
          <w:color w:val="000000"/>
          <w:lang w:eastAsia="en-AU"/>
        </w:rPr>
        <w:t xml:space="preserve"> </w:t>
      </w:r>
      <w:r>
        <w:rPr>
          <w:rFonts w:cs="Arial"/>
          <w:color w:val="000000"/>
          <w:lang w:eastAsia="en-AU"/>
        </w:rPr>
        <w:t>two</w:t>
      </w:r>
      <w:r w:rsidR="00304241" w:rsidRPr="00002675">
        <w:rPr>
          <w:rFonts w:cs="Arial"/>
          <w:color w:val="000000"/>
          <w:lang w:eastAsia="en-AU"/>
        </w:rPr>
        <w:t xml:space="preserve"> proposed solar farms</w:t>
      </w:r>
    </w:p>
    <w:p w14:paraId="7EB31151" w14:textId="0E889751" w:rsidR="00304241" w:rsidRPr="00162C1A" w:rsidRDefault="00162C1A" w:rsidP="00162C1A">
      <w:pPr>
        <w:pStyle w:val="ListParagraph"/>
        <w:numPr>
          <w:ilvl w:val="0"/>
          <w:numId w:val="16"/>
        </w:numPr>
        <w:autoSpaceDE w:val="0"/>
        <w:autoSpaceDN w:val="0"/>
        <w:adjustRightInd w:val="0"/>
        <w:spacing w:line="264" w:lineRule="auto"/>
        <w:rPr>
          <w:rFonts w:cs="Arial"/>
          <w:color w:val="000000"/>
          <w:lang w:eastAsia="en-AU"/>
        </w:rPr>
      </w:pPr>
      <w:r>
        <w:rPr>
          <w:rFonts w:cs="Arial"/>
          <w:color w:val="000000"/>
          <w:lang w:eastAsia="en-AU"/>
        </w:rPr>
        <w:t>two</w:t>
      </w:r>
      <w:r w:rsidRPr="00002675">
        <w:rPr>
          <w:rFonts w:cs="Arial"/>
          <w:color w:val="000000"/>
          <w:lang w:eastAsia="en-AU"/>
        </w:rPr>
        <w:t xml:space="preserve"> cases </w:t>
      </w:r>
      <w:r w:rsidR="005A4F76">
        <w:rPr>
          <w:rFonts w:cs="Arial"/>
          <w:color w:val="000000"/>
          <w:lang w:eastAsia="en-AU"/>
        </w:rPr>
        <w:t>about</w:t>
      </w:r>
      <w:r w:rsidRPr="00002675">
        <w:rPr>
          <w:rFonts w:cs="Arial"/>
          <w:color w:val="000000"/>
          <w:lang w:eastAsia="en-AU"/>
        </w:rPr>
        <w:t xml:space="preserve"> </w:t>
      </w:r>
      <w:r>
        <w:rPr>
          <w:rFonts w:cs="Arial"/>
          <w:color w:val="000000"/>
          <w:lang w:eastAsia="en-AU"/>
        </w:rPr>
        <w:t>one</w:t>
      </w:r>
      <w:r w:rsidRPr="00002675">
        <w:rPr>
          <w:rFonts w:cs="Arial"/>
          <w:color w:val="000000"/>
          <w:lang w:eastAsia="en-AU"/>
        </w:rPr>
        <w:t xml:space="preserve"> proposed</w:t>
      </w:r>
      <w:r>
        <w:rPr>
          <w:rFonts w:cs="Arial"/>
          <w:color w:val="000000"/>
          <w:lang w:eastAsia="en-AU"/>
        </w:rPr>
        <w:t xml:space="preserve"> pumped hydro storage facility</w:t>
      </w:r>
    </w:p>
    <w:p w14:paraId="64FA2D52" w14:textId="4D5396EE" w:rsidR="00F64885" w:rsidRDefault="00304241" w:rsidP="003D4D44">
      <w:pPr>
        <w:autoSpaceDE w:val="0"/>
        <w:autoSpaceDN w:val="0"/>
        <w:adjustRightInd w:val="0"/>
        <w:spacing w:line="264" w:lineRule="auto"/>
        <w:rPr>
          <w:rFonts w:cs="Arial"/>
          <w:color w:val="000000"/>
          <w:lang w:eastAsia="en-AU"/>
        </w:rPr>
      </w:pPr>
      <w:r w:rsidRPr="00F26EBE">
        <w:rPr>
          <w:rFonts w:cs="Arial"/>
          <w:color w:val="000000"/>
          <w:lang w:eastAsia="en-AU"/>
        </w:rPr>
        <w:t xml:space="preserve">Of the </w:t>
      </w:r>
      <w:r w:rsidR="00F64885">
        <w:rPr>
          <w:rFonts w:cs="Arial"/>
        </w:rPr>
        <w:t>8</w:t>
      </w:r>
      <w:r w:rsidR="00A65B39">
        <w:rPr>
          <w:rFonts w:cs="Arial"/>
        </w:rPr>
        <w:t>7</w:t>
      </w:r>
      <w:r w:rsidRPr="00F26EBE">
        <w:rPr>
          <w:rFonts w:cs="Arial"/>
          <w:color w:val="000000"/>
          <w:lang w:eastAsia="en-AU"/>
        </w:rPr>
        <w:t xml:space="preserve"> </w:t>
      </w:r>
      <w:r>
        <w:rPr>
          <w:rFonts w:cs="Arial"/>
          <w:color w:val="000000"/>
          <w:lang w:eastAsia="en-AU"/>
        </w:rPr>
        <w:t>cases</w:t>
      </w:r>
      <w:r w:rsidRPr="00F26EBE">
        <w:rPr>
          <w:rFonts w:cs="Arial"/>
          <w:color w:val="000000"/>
          <w:lang w:eastAsia="en-AU"/>
        </w:rPr>
        <w:t xml:space="preserve"> received by the Office </w:t>
      </w:r>
      <w:r>
        <w:rPr>
          <w:rFonts w:cs="Arial"/>
          <w:color w:val="000000"/>
          <w:lang w:eastAsia="en-AU"/>
        </w:rPr>
        <w:t>in</w:t>
      </w:r>
      <w:r w:rsidRPr="00F26EBE">
        <w:rPr>
          <w:rFonts w:cs="Arial"/>
          <w:color w:val="000000"/>
          <w:lang w:eastAsia="en-AU"/>
        </w:rPr>
        <w:t xml:space="preserve"> 202</w:t>
      </w:r>
      <w:r w:rsidR="00162C1A">
        <w:rPr>
          <w:rFonts w:cs="Arial"/>
          <w:color w:val="000000"/>
          <w:lang w:eastAsia="en-AU"/>
        </w:rPr>
        <w:t>2</w:t>
      </w:r>
      <w:r w:rsidRPr="00F26EBE">
        <w:rPr>
          <w:rFonts w:cs="Arial"/>
          <w:color w:val="000000"/>
          <w:lang w:eastAsia="en-AU"/>
        </w:rPr>
        <w:t xml:space="preserve">, </w:t>
      </w:r>
      <w:r w:rsidR="006072A8">
        <w:rPr>
          <w:rFonts w:cs="Arial"/>
          <w:color w:val="000000"/>
          <w:lang w:eastAsia="en-AU"/>
        </w:rPr>
        <w:t>69</w:t>
      </w:r>
      <w:r w:rsidRPr="00F26EBE">
        <w:rPr>
          <w:rFonts w:cs="Arial"/>
          <w:color w:val="000000"/>
          <w:lang w:eastAsia="en-AU"/>
        </w:rPr>
        <w:t xml:space="preserve"> </w:t>
      </w:r>
      <w:r>
        <w:rPr>
          <w:rFonts w:cs="Arial"/>
          <w:color w:val="000000"/>
          <w:lang w:eastAsia="en-AU"/>
        </w:rPr>
        <w:t>cases</w:t>
      </w:r>
      <w:r w:rsidRPr="00F26EBE">
        <w:rPr>
          <w:rFonts w:cs="Arial"/>
          <w:color w:val="000000"/>
          <w:lang w:eastAsia="en-AU"/>
        </w:rPr>
        <w:t xml:space="preserve"> </w:t>
      </w:r>
      <w:r w:rsidR="00844353">
        <w:rPr>
          <w:rFonts w:cs="Arial"/>
          <w:color w:val="000000"/>
          <w:lang w:eastAsia="en-AU"/>
        </w:rPr>
        <w:t>were</w:t>
      </w:r>
      <w:r w:rsidRPr="00F26EBE">
        <w:rPr>
          <w:rFonts w:cs="Arial"/>
          <w:color w:val="000000"/>
          <w:lang w:eastAsia="en-AU"/>
        </w:rPr>
        <w:t xml:space="preserve"> closed</w:t>
      </w:r>
      <w:r w:rsidR="00DE10C7">
        <w:rPr>
          <w:rFonts w:cs="Arial"/>
          <w:color w:val="000000"/>
          <w:lang w:eastAsia="en-AU"/>
        </w:rPr>
        <w:t xml:space="preserve"> as </w:t>
      </w:r>
      <w:r w:rsidR="00864828">
        <w:rPr>
          <w:rFonts w:cs="Arial"/>
          <w:color w:val="000000"/>
          <w:lang w:eastAsia="en-AU"/>
        </w:rPr>
        <w:t>of</w:t>
      </w:r>
      <w:r w:rsidR="00DE10C7">
        <w:rPr>
          <w:rFonts w:cs="Arial"/>
          <w:color w:val="000000"/>
          <w:lang w:eastAsia="en-AU"/>
        </w:rPr>
        <w:t xml:space="preserve"> 31 </w:t>
      </w:r>
      <w:r w:rsidR="00E823C9">
        <w:rPr>
          <w:rFonts w:cs="Arial"/>
          <w:color w:val="000000"/>
          <w:lang w:eastAsia="en-AU"/>
        </w:rPr>
        <w:t>December 202</w:t>
      </w:r>
      <w:r w:rsidR="00E9039E">
        <w:rPr>
          <w:rFonts w:cs="Arial"/>
          <w:color w:val="000000"/>
          <w:lang w:eastAsia="en-AU"/>
        </w:rPr>
        <w:t>2</w:t>
      </w:r>
      <w:r w:rsidRPr="00F26EBE">
        <w:rPr>
          <w:rFonts w:cs="Arial"/>
          <w:color w:val="000000"/>
          <w:lang w:eastAsia="en-AU"/>
        </w:rPr>
        <w:t xml:space="preserve">. The remaining </w:t>
      </w:r>
      <w:r w:rsidR="00F64885">
        <w:rPr>
          <w:rFonts w:cs="Arial"/>
          <w:color w:val="000000"/>
          <w:lang w:eastAsia="en-AU"/>
        </w:rPr>
        <w:t>1</w:t>
      </w:r>
      <w:r w:rsidR="006072A8">
        <w:rPr>
          <w:rFonts w:cs="Arial"/>
          <w:color w:val="000000"/>
          <w:lang w:eastAsia="en-AU"/>
        </w:rPr>
        <w:t>8</w:t>
      </w:r>
      <w:r w:rsidRPr="00F26EBE">
        <w:rPr>
          <w:rFonts w:cs="Arial"/>
          <w:color w:val="000000"/>
          <w:lang w:eastAsia="en-AU"/>
        </w:rPr>
        <w:t xml:space="preserve"> </w:t>
      </w:r>
      <w:r>
        <w:rPr>
          <w:rFonts w:cs="Arial"/>
          <w:color w:val="000000"/>
          <w:lang w:eastAsia="en-AU"/>
        </w:rPr>
        <w:t>cases</w:t>
      </w:r>
      <w:r w:rsidRPr="00F26EBE">
        <w:rPr>
          <w:rFonts w:cs="Arial"/>
          <w:color w:val="000000"/>
          <w:lang w:eastAsia="en-AU"/>
        </w:rPr>
        <w:t xml:space="preserve"> </w:t>
      </w:r>
      <w:r w:rsidR="008C7379">
        <w:rPr>
          <w:rFonts w:cs="Arial"/>
          <w:color w:val="000000"/>
          <w:lang w:eastAsia="en-AU"/>
        </w:rPr>
        <w:t>were</w:t>
      </w:r>
      <w:r w:rsidRPr="00F26EBE">
        <w:rPr>
          <w:rFonts w:cs="Arial"/>
          <w:color w:val="000000"/>
          <w:lang w:eastAsia="en-AU"/>
        </w:rPr>
        <w:t xml:space="preserve"> at various stages of the complaint handling process.</w:t>
      </w:r>
    </w:p>
    <w:p w14:paraId="6383F6E1" w14:textId="7311A841" w:rsidR="00304241" w:rsidRPr="00EB3D5A" w:rsidRDefault="00304241" w:rsidP="00F14DDC">
      <w:pPr>
        <w:autoSpaceDE w:val="0"/>
        <w:autoSpaceDN w:val="0"/>
        <w:adjustRightInd w:val="0"/>
        <w:spacing w:line="264" w:lineRule="auto"/>
        <w:rPr>
          <w:rFonts w:cs="Arial"/>
        </w:rPr>
      </w:pPr>
      <w:r w:rsidRPr="00430EC9">
        <w:rPr>
          <w:rFonts w:cs="Arial"/>
          <w:b/>
        </w:rPr>
        <w:lastRenderedPageBreak/>
        <w:t>Figure 1</w:t>
      </w:r>
      <w:r w:rsidRPr="00430EC9">
        <w:rPr>
          <w:rFonts w:cs="Arial"/>
        </w:rPr>
        <w:t xml:space="preserve"> </w:t>
      </w:r>
      <w:r w:rsidR="00D8027B" w:rsidRPr="00430EC9">
        <w:rPr>
          <w:rFonts w:cs="Arial"/>
        </w:rPr>
        <w:t>shows</w:t>
      </w:r>
      <w:r w:rsidRPr="00EB3D5A">
        <w:rPr>
          <w:rFonts w:cs="Arial"/>
        </w:rPr>
        <w:t xml:space="preserve"> the number of </w:t>
      </w:r>
      <w:r>
        <w:rPr>
          <w:rFonts w:cs="Arial"/>
        </w:rPr>
        <w:t>cases</w:t>
      </w:r>
      <w:r w:rsidRPr="00EB3D5A">
        <w:rPr>
          <w:rFonts w:cs="Arial"/>
        </w:rPr>
        <w:t xml:space="preserve"> the Office received </w:t>
      </w:r>
      <w:r w:rsidR="00D8027B">
        <w:rPr>
          <w:rFonts w:cs="Arial"/>
        </w:rPr>
        <w:t xml:space="preserve">between </w:t>
      </w:r>
      <w:r>
        <w:rPr>
          <w:rFonts w:cs="Arial"/>
        </w:rPr>
        <w:t>1 </w:t>
      </w:r>
      <w:r w:rsidRPr="00EB3D5A">
        <w:rPr>
          <w:rFonts w:cs="Arial"/>
        </w:rPr>
        <w:t>January 202</w:t>
      </w:r>
      <w:r w:rsidR="00295F59">
        <w:rPr>
          <w:rFonts w:cs="Arial"/>
        </w:rPr>
        <w:t>2</w:t>
      </w:r>
      <w:r w:rsidRPr="00EB3D5A">
        <w:rPr>
          <w:rFonts w:cs="Arial"/>
        </w:rPr>
        <w:t xml:space="preserve"> </w:t>
      </w:r>
      <w:r w:rsidR="00D8027B">
        <w:rPr>
          <w:rFonts w:cs="Arial"/>
        </w:rPr>
        <w:t>and</w:t>
      </w:r>
      <w:r w:rsidR="00D8027B" w:rsidRPr="00EB3D5A">
        <w:rPr>
          <w:rFonts w:cs="Arial"/>
        </w:rPr>
        <w:t xml:space="preserve"> </w:t>
      </w:r>
      <w:r w:rsidRPr="00EB3D5A">
        <w:rPr>
          <w:rFonts w:cs="Arial"/>
        </w:rPr>
        <w:t>31 December 202</w:t>
      </w:r>
      <w:r w:rsidR="00295F59">
        <w:rPr>
          <w:rFonts w:cs="Arial"/>
        </w:rPr>
        <w:t>2</w:t>
      </w:r>
      <w:r w:rsidRPr="00EB3D5A">
        <w:rPr>
          <w:rFonts w:cs="Arial"/>
        </w:rPr>
        <w:t xml:space="preserve">. </w:t>
      </w:r>
      <w:r w:rsidR="00ED14D2">
        <w:rPr>
          <w:rFonts w:cs="Arial"/>
        </w:rPr>
        <w:t>‘</w:t>
      </w:r>
      <w:r w:rsidRPr="00EB3D5A">
        <w:rPr>
          <w:rFonts w:cs="Arial"/>
        </w:rPr>
        <w:t xml:space="preserve">Proposed </w:t>
      </w:r>
      <w:r w:rsidR="007B5038">
        <w:rPr>
          <w:rFonts w:cs="Arial"/>
        </w:rPr>
        <w:t>P</w:t>
      </w:r>
      <w:r w:rsidR="00C977E1">
        <w:rPr>
          <w:rFonts w:cs="Arial"/>
        </w:rPr>
        <w:t>rojects</w:t>
      </w:r>
      <w:r w:rsidR="0018479E">
        <w:rPr>
          <w:rFonts w:cs="Arial"/>
        </w:rPr>
        <w:t>’</w:t>
      </w:r>
      <w:r w:rsidR="00C977E1">
        <w:rPr>
          <w:rFonts w:cs="Arial"/>
        </w:rPr>
        <w:t xml:space="preserve"> </w:t>
      </w:r>
      <w:r w:rsidRPr="00EB3D5A">
        <w:rPr>
          <w:rFonts w:cs="Arial"/>
        </w:rPr>
        <w:t xml:space="preserve">are those which </w:t>
      </w:r>
      <w:r w:rsidR="0018479E">
        <w:rPr>
          <w:rFonts w:cs="Arial"/>
        </w:rPr>
        <w:t>were</w:t>
      </w:r>
      <w:r w:rsidR="0018479E" w:rsidRPr="00EB3D5A">
        <w:rPr>
          <w:rFonts w:cs="Arial"/>
        </w:rPr>
        <w:t xml:space="preserve"> </w:t>
      </w:r>
      <w:r w:rsidRPr="00EB3D5A">
        <w:rPr>
          <w:rFonts w:cs="Arial"/>
        </w:rPr>
        <w:t xml:space="preserve">at the </w:t>
      </w:r>
      <w:r w:rsidR="002F6EC9">
        <w:rPr>
          <w:rFonts w:cs="Arial"/>
        </w:rPr>
        <w:t>development</w:t>
      </w:r>
      <w:r w:rsidRPr="00EB3D5A">
        <w:rPr>
          <w:rFonts w:cs="Arial"/>
        </w:rPr>
        <w:t xml:space="preserve"> stage</w:t>
      </w:r>
      <w:r w:rsidR="00F14DDC">
        <w:rPr>
          <w:rFonts w:cs="Arial"/>
        </w:rPr>
        <w:t xml:space="preserve"> </w:t>
      </w:r>
      <w:r w:rsidR="0018479E">
        <w:rPr>
          <w:rFonts w:cs="Arial"/>
        </w:rPr>
        <w:t>and were</w:t>
      </w:r>
      <w:r w:rsidRPr="00EB3D5A">
        <w:rPr>
          <w:rFonts w:cs="Arial"/>
        </w:rPr>
        <w:t xml:space="preserve"> not fully commissioned at the time the c</w:t>
      </w:r>
      <w:r>
        <w:rPr>
          <w:rFonts w:cs="Arial"/>
        </w:rPr>
        <w:t>ase</w:t>
      </w:r>
      <w:r w:rsidRPr="00EB3D5A">
        <w:rPr>
          <w:rFonts w:cs="Arial"/>
        </w:rPr>
        <w:t xml:space="preserve"> was re</w:t>
      </w:r>
      <w:r w:rsidR="00C977E1">
        <w:rPr>
          <w:rFonts w:cs="Arial"/>
        </w:rPr>
        <w:t>ceived</w:t>
      </w:r>
      <w:r w:rsidRPr="00EB3D5A">
        <w:rPr>
          <w:rFonts w:cs="Arial"/>
        </w:rPr>
        <w:t>.</w:t>
      </w:r>
      <w:r w:rsidR="00F14DDC">
        <w:rPr>
          <w:rFonts w:cs="Arial"/>
        </w:rPr>
        <w:t xml:space="preserve"> ‘General Enquiries’</w:t>
      </w:r>
      <w:r w:rsidR="00F84BA9">
        <w:rPr>
          <w:rFonts w:cs="Arial"/>
        </w:rPr>
        <w:t xml:space="preserve"> are cases that do not specify a particular project and are </w:t>
      </w:r>
      <w:r w:rsidR="00977C99">
        <w:rPr>
          <w:rFonts w:cs="Arial"/>
        </w:rPr>
        <w:t xml:space="preserve">typically community members </w:t>
      </w:r>
      <w:r w:rsidR="00F84BA9">
        <w:rPr>
          <w:rFonts w:cs="Arial"/>
        </w:rPr>
        <w:t xml:space="preserve">seeking </w:t>
      </w:r>
      <w:r w:rsidR="00977C99">
        <w:rPr>
          <w:rFonts w:cs="Arial"/>
        </w:rPr>
        <w:t xml:space="preserve">more </w:t>
      </w:r>
      <w:r w:rsidR="00F84BA9">
        <w:rPr>
          <w:rFonts w:cs="Arial"/>
        </w:rPr>
        <w:t>general information</w:t>
      </w:r>
      <w:r w:rsidR="00977C99">
        <w:rPr>
          <w:rFonts w:cs="Arial"/>
        </w:rPr>
        <w:t xml:space="preserve"> to address their concern</w:t>
      </w:r>
      <w:r w:rsidR="00F84BA9">
        <w:rPr>
          <w:rFonts w:cs="Arial"/>
        </w:rPr>
        <w:t xml:space="preserve">. </w:t>
      </w:r>
    </w:p>
    <w:p w14:paraId="58A30A1A" w14:textId="1D0F2248" w:rsidR="00304241" w:rsidRDefault="00655894" w:rsidP="00304241">
      <w:pPr>
        <w:spacing w:line="264" w:lineRule="auto"/>
        <w:rPr>
          <w:rFonts w:cs="Arial"/>
          <w:color w:val="000000"/>
          <w:lang w:eastAsia="en-AU"/>
        </w:rPr>
      </w:pPr>
      <w:r>
        <w:rPr>
          <w:noProof/>
        </w:rPr>
        <w:drawing>
          <wp:inline distT="0" distB="0" distL="0" distR="0" wp14:anchorId="68A2D5C2" wp14:editId="25F6D04C">
            <wp:extent cx="6515100" cy="2647950"/>
            <wp:effectExtent l="0" t="0" r="0" b="0"/>
            <wp:docPr id="2" name="Chart 2" descr="Figure 1 shows the Total Number of Cases Received in 2022 &#10;Total: 87 Cases&#10;- 44 cases about three proposed large-scale transmission projects&#10;- 24 cases about 15 proposed wind farms&#10;- 10 cases that did not specify a particular project or development&#10;- five cases about four operating wind farms&#10;- two cases about two proposed solar farms&#10;- two cases about one proposed pumped hydro storage facility&#10;&#10;&#10;&#10;">
              <a:extLst xmlns:a="http://schemas.openxmlformats.org/drawingml/2006/main">
                <a:ext uri="{FF2B5EF4-FFF2-40B4-BE49-F238E27FC236}">
                  <a16:creationId xmlns:a16="http://schemas.microsoft.com/office/drawing/2014/main" id="{DEB9C466-AFEF-4089-BD9A-EA6A3E621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8AA056" w14:textId="493B770E" w:rsidR="004077CD" w:rsidRPr="004077CD" w:rsidRDefault="004077CD" w:rsidP="002D7001">
      <w:pPr>
        <w:pStyle w:val="Heading3"/>
      </w:pPr>
      <w:bookmarkStart w:id="21" w:name="_Toc135390580"/>
      <w:r>
        <w:t>Operating</w:t>
      </w:r>
      <w:r w:rsidR="00487E03">
        <w:t xml:space="preserve"> </w:t>
      </w:r>
      <w:r w:rsidR="00577F83">
        <w:t>w</w:t>
      </w:r>
      <w:r w:rsidR="00487E03" w:rsidRPr="00EB3D5A">
        <w:t>ind farms in 202</w:t>
      </w:r>
      <w:r w:rsidR="00487E03">
        <w:t>2</w:t>
      </w:r>
      <w:bookmarkEnd w:id="21"/>
      <w:r w:rsidR="00487E03">
        <w:t xml:space="preserve"> </w:t>
      </w:r>
    </w:p>
    <w:p w14:paraId="530A7146" w14:textId="69E19B20" w:rsidR="00304241" w:rsidRDefault="00D8027B" w:rsidP="00304241">
      <w:pPr>
        <w:rPr>
          <w:rFonts w:cs="Arial"/>
        </w:rPr>
      </w:pPr>
      <w:r>
        <w:rPr>
          <w:rFonts w:cs="Arial"/>
        </w:rPr>
        <w:t>Between</w:t>
      </w:r>
      <w:r w:rsidR="00304241" w:rsidRPr="00EB3D5A">
        <w:rPr>
          <w:rFonts w:cs="Arial"/>
        </w:rPr>
        <w:t xml:space="preserve"> 1 January 202</w:t>
      </w:r>
      <w:r w:rsidR="007E0420">
        <w:rPr>
          <w:rFonts w:cs="Arial"/>
        </w:rPr>
        <w:t>2</w:t>
      </w:r>
      <w:r w:rsidR="00304241" w:rsidRPr="00EB3D5A">
        <w:rPr>
          <w:rFonts w:cs="Arial"/>
        </w:rPr>
        <w:t xml:space="preserve"> </w:t>
      </w:r>
      <w:r>
        <w:rPr>
          <w:rFonts w:cs="Arial"/>
        </w:rPr>
        <w:t>and</w:t>
      </w:r>
      <w:r w:rsidRPr="00EB3D5A">
        <w:rPr>
          <w:rFonts w:cs="Arial"/>
        </w:rPr>
        <w:t xml:space="preserve"> </w:t>
      </w:r>
      <w:r w:rsidR="00304241" w:rsidRPr="00EB3D5A">
        <w:rPr>
          <w:rFonts w:cs="Arial"/>
        </w:rPr>
        <w:t>31 December 202</w:t>
      </w:r>
      <w:r w:rsidR="007E0420">
        <w:rPr>
          <w:rFonts w:cs="Arial"/>
        </w:rPr>
        <w:t>2</w:t>
      </w:r>
      <w:r w:rsidR="00304241" w:rsidRPr="00EB3D5A">
        <w:rPr>
          <w:rFonts w:cs="Arial"/>
        </w:rPr>
        <w:t xml:space="preserve">, the Office received </w:t>
      </w:r>
      <w:r w:rsidR="007E0420">
        <w:rPr>
          <w:rFonts w:cs="Arial"/>
        </w:rPr>
        <w:t>five</w:t>
      </w:r>
      <w:r w:rsidR="00304241" w:rsidRPr="00EB3D5A">
        <w:rPr>
          <w:rFonts w:cs="Arial"/>
        </w:rPr>
        <w:t xml:space="preserve"> </w:t>
      </w:r>
      <w:r w:rsidR="00304241">
        <w:rPr>
          <w:rFonts w:cs="Arial"/>
          <w:color w:val="000000"/>
          <w:lang w:eastAsia="en-AU"/>
        </w:rPr>
        <w:t>cases</w:t>
      </w:r>
      <w:r w:rsidR="00304241" w:rsidRPr="00EB3D5A">
        <w:rPr>
          <w:rFonts w:cs="Arial"/>
        </w:rPr>
        <w:t xml:space="preserve"> </w:t>
      </w:r>
      <w:r w:rsidR="002173F6">
        <w:rPr>
          <w:rFonts w:cs="Arial"/>
        </w:rPr>
        <w:t>about</w:t>
      </w:r>
      <w:r w:rsidR="00304241" w:rsidRPr="00EB3D5A">
        <w:rPr>
          <w:rFonts w:cs="Arial"/>
        </w:rPr>
        <w:t xml:space="preserve"> </w:t>
      </w:r>
      <w:r w:rsidR="007E0420">
        <w:rPr>
          <w:rFonts w:cs="Arial"/>
        </w:rPr>
        <w:t>four</w:t>
      </w:r>
      <w:r w:rsidR="00304241" w:rsidRPr="00EB3D5A">
        <w:rPr>
          <w:rFonts w:cs="Arial"/>
        </w:rPr>
        <w:t xml:space="preserve"> operating wind farms</w:t>
      </w:r>
      <w:r w:rsidR="002173F6">
        <w:rPr>
          <w:rFonts w:cs="Arial"/>
        </w:rPr>
        <w:t>,</w:t>
      </w:r>
      <w:r w:rsidR="00CE23DD">
        <w:rPr>
          <w:rFonts w:cs="Arial"/>
        </w:rPr>
        <w:t xml:space="preserve"> all located</w:t>
      </w:r>
      <w:r w:rsidR="00304241" w:rsidRPr="00EB3D5A">
        <w:rPr>
          <w:rFonts w:cs="Arial"/>
        </w:rPr>
        <w:t xml:space="preserve"> in Victoria</w:t>
      </w:r>
      <w:r w:rsidR="007E0420">
        <w:rPr>
          <w:rFonts w:cs="Arial"/>
        </w:rPr>
        <w:t>.</w:t>
      </w:r>
      <w:r w:rsidR="003A5FC2">
        <w:rPr>
          <w:rFonts w:cs="Arial"/>
        </w:rPr>
        <w:t xml:space="preserve"> </w:t>
      </w:r>
      <w:r w:rsidR="002173F6">
        <w:rPr>
          <w:rFonts w:cs="Arial"/>
        </w:rPr>
        <w:t>This is c</w:t>
      </w:r>
      <w:r w:rsidR="007D7588">
        <w:rPr>
          <w:rFonts w:cs="Arial"/>
        </w:rPr>
        <w:t xml:space="preserve">ompared to 14 </w:t>
      </w:r>
      <w:r w:rsidR="002173F6">
        <w:rPr>
          <w:rFonts w:cs="Arial"/>
        </w:rPr>
        <w:t>c</w:t>
      </w:r>
      <w:r w:rsidR="007D7588">
        <w:rPr>
          <w:rFonts w:cs="Arial"/>
        </w:rPr>
        <w:t xml:space="preserve">ases received </w:t>
      </w:r>
      <w:r w:rsidR="002173F6">
        <w:rPr>
          <w:rFonts w:cs="Arial"/>
        </w:rPr>
        <w:t>about</w:t>
      </w:r>
      <w:r w:rsidR="007D7588" w:rsidRPr="00EB3D5A">
        <w:rPr>
          <w:rFonts w:cs="Arial"/>
        </w:rPr>
        <w:t xml:space="preserve"> </w:t>
      </w:r>
      <w:r w:rsidR="007D7588">
        <w:rPr>
          <w:rFonts w:cs="Arial"/>
        </w:rPr>
        <w:t>seven</w:t>
      </w:r>
      <w:r w:rsidR="007D7588" w:rsidRPr="00EB3D5A">
        <w:rPr>
          <w:rFonts w:cs="Arial"/>
        </w:rPr>
        <w:t xml:space="preserve"> operating wind farms</w:t>
      </w:r>
      <w:r w:rsidR="007D7588">
        <w:rPr>
          <w:rFonts w:cs="Arial"/>
        </w:rPr>
        <w:t xml:space="preserve"> during 2021. As of</w:t>
      </w:r>
      <w:r w:rsidR="00304241" w:rsidRPr="00EB3D5A">
        <w:rPr>
          <w:rFonts w:cs="Arial"/>
        </w:rPr>
        <w:t xml:space="preserve"> </w:t>
      </w:r>
      <w:r w:rsidR="00304241" w:rsidRPr="001E4F30">
        <w:rPr>
          <w:rFonts w:cs="Arial"/>
        </w:rPr>
        <w:t>31</w:t>
      </w:r>
      <w:r w:rsidR="00E12D8D" w:rsidRPr="001E4F30">
        <w:rPr>
          <w:rFonts w:cs="Arial"/>
        </w:rPr>
        <w:t> </w:t>
      </w:r>
      <w:r w:rsidR="00304241" w:rsidRPr="001E4F30">
        <w:rPr>
          <w:rFonts w:cs="Arial"/>
        </w:rPr>
        <w:t>December 202</w:t>
      </w:r>
      <w:r w:rsidR="007E0420" w:rsidRPr="001E4F30">
        <w:rPr>
          <w:rFonts w:cs="Arial"/>
        </w:rPr>
        <w:t>2</w:t>
      </w:r>
      <w:r w:rsidR="00304241" w:rsidRPr="001E4F30">
        <w:rPr>
          <w:rFonts w:cs="Arial"/>
        </w:rPr>
        <w:t>,</w:t>
      </w:r>
      <w:r w:rsidR="00304241" w:rsidRPr="00A569BD">
        <w:rPr>
          <w:rFonts w:cs="Arial"/>
        </w:rPr>
        <w:t xml:space="preserve"> </w:t>
      </w:r>
      <w:r w:rsidR="007E0420">
        <w:rPr>
          <w:rFonts w:cs="Arial"/>
        </w:rPr>
        <w:t>four</w:t>
      </w:r>
      <w:r w:rsidR="00304241" w:rsidRPr="00A569BD">
        <w:rPr>
          <w:rFonts w:cs="Arial"/>
        </w:rPr>
        <w:t xml:space="preserve"> of </w:t>
      </w:r>
      <w:r w:rsidR="007D7588">
        <w:rPr>
          <w:rFonts w:cs="Arial"/>
        </w:rPr>
        <w:t>the five</w:t>
      </w:r>
      <w:r w:rsidR="00304241" w:rsidRPr="00A569BD">
        <w:rPr>
          <w:rFonts w:cs="Arial"/>
        </w:rPr>
        <w:t xml:space="preserve"> </w:t>
      </w:r>
      <w:r w:rsidR="00304241">
        <w:rPr>
          <w:rFonts w:cs="Arial"/>
          <w:color w:val="000000"/>
          <w:lang w:eastAsia="en-AU"/>
        </w:rPr>
        <w:t>cases</w:t>
      </w:r>
      <w:r w:rsidR="007D7588">
        <w:rPr>
          <w:rFonts w:cs="Arial"/>
          <w:color w:val="000000"/>
          <w:lang w:eastAsia="en-AU"/>
        </w:rPr>
        <w:t xml:space="preserve"> received during 2022</w:t>
      </w:r>
      <w:r w:rsidR="00304241" w:rsidRPr="00A569BD">
        <w:rPr>
          <w:rFonts w:cs="Arial"/>
        </w:rPr>
        <w:t xml:space="preserve"> </w:t>
      </w:r>
      <w:r w:rsidR="00577F83">
        <w:rPr>
          <w:rFonts w:cs="Arial"/>
        </w:rPr>
        <w:t>had been</w:t>
      </w:r>
      <w:r w:rsidR="00304241" w:rsidRPr="00A569BD">
        <w:rPr>
          <w:rFonts w:cs="Arial"/>
        </w:rPr>
        <w:t xml:space="preserve"> closed</w:t>
      </w:r>
      <w:r w:rsidR="00304241" w:rsidRPr="00A569BD">
        <w:rPr>
          <w:rFonts w:cs="Arial"/>
          <w:color w:val="000000"/>
          <w:lang w:eastAsia="en-AU"/>
        </w:rPr>
        <w:t xml:space="preserve"> and</w:t>
      </w:r>
      <w:r w:rsidR="00CE23DD">
        <w:rPr>
          <w:rFonts w:cs="Arial"/>
          <w:color w:val="000000"/>
          <w:lang w:eastAsia="en-AU"/>
        </w:rPr>
        <w:t xml:space="preserve"> </w:t>
      </w:r>
      <w:r w:rsidR="007E6F68">
        <w:rPr>
          <w:rFonts w:cs="Arial"/>
          <w:color w:val="000000"/>
          <w:lang w:eastAsia="en-AU"/>
        </w:rPr>
        <w:t xml:space="preserve">one case </w:t>
      </w:r>
      <w:r w:rsidR="00577F83">
        <w:rPr>
          <w:rFonts w:cs="Arial"/>
          <w:color w:val="000000"/>
          <w:lang w:eastAsia="en-AU"/>
        </w:rPr>
        <w:t>remained</w:t>
      </w:r>
      <w:r w:rsidR="007E6F68">
        <w:rPr>
          <w:rFonts w:cs="Arial"/>
          <w:color w:val="000000"/>
          <w:lang w:eastAsia="en-AU"/>
        </w:rPr>
        <w:t xml:space="preserve"> open.</w:t>
      </w:r>
    </w:p>
    <w:p w14:paraId="4585C347" w14:textId="1C4DA829" w:rsidR="004077CD" w:rsidRPr="002D7001" w:rsidRDefault="004077CD" w:rsidP="002D7001">
      <w:pPr>
        <w:pStyle w:val="Heading3"/>
      </w:pPr>
      <w:bookmarkStart w:id="22" w:name="_Toc135390581"/>
      <w:r w:rsidRPr="002D7001">
        <w:t>Proposed</w:t>
      </w:r>
      <w:r w:rsidR="00487E03" w:rsidRPr="002D7001">
        <w:t xml:space="preserve"> </w:t>
      </w:r>
      <w:r w:rsidR="00577F83" w:rsidRPr="002D7001">
        <w:t>w</w:t>
      </w:r>
      <w:r w:rsidR="00487E03" w:rsidRPr="002D7001">
        <w:t>ind farms in 2022</w:t>
      </w:r>
      <w:bookmarkEnd w:id="22"/>
    </w:p>
    <w:p w14:paraId="2D26A3B7" w14:textId="0F0904A7" w:rsidR="003414CB" w:rsidRDefault="003414CB" w:rsidP="007D7588">
      <w:pPr>
        <w:spacing w:line="264" w:lineRule="auto"/>
        <w:rPr>
          <w:rFonts w:cs="Arial"/>
        </w:rPr>
      </w:pPr>
      <w:r w:rsidRPr="003414CB">
        <w:rPr>
          <w:rFonts w:cs="Arial"/>
        </w:rPr>
        <w:t xml:space="preserve">Between 1 January 2022 and 31 December 2022, the Office received 24 cases about 15 proposed wind farms, compared to 49 cases concerning 21 proposed wind farms in 2021. Ten of the cases received in 2022 related to six proposed wind farms in Victoria, three cases related to two proposed wind farms in Queensland and the remaining 11 cases pertained to seven proposed wind farms in New South Wales. As of 31 December 2022, 21 of these cases had been closed, and the remaining three cases were at various stages of the complaint handling process. </w:t>
      </w:r>
    </w:p>
    <w:p w14:paraId="1F976E33" w14:textId="038AB1B2" w:rsidR="00304241" w:rsidRDefault="007D7588" w:rsidP="00304241">
      <w:pPr>
        <w:spacing w:line="264" w:lineRule="auto"/>
        <w:rPr>
          <w:rFonts w:cs="Arial"/>
        </w:rPr>
      </w:pPr>
      <w:r w:rsidRPr="0046524D">
        <w:rPr>
          <w:rFonts w:cs="Arial"/>
          <w:b/>
        </w:rPr>
        <w:t>Figure </w:t>
      </w:r>
      <w:r>
        <w:rPr>
          <w:rFonts w:cs="Arial"/>
          <w:b/>
        </w:rPr>
        <w:t>2</w:t>
      </w:r>
      <w:r>
        <w:rPr>
          <w:rFonts w:cs="Arial"/>
        </w:rPr>
        <w:t xml:space="preserve"> shows</w:t>
      </w:r>
      <w:r w:rsidRPr="00F47E6D">
        <w:rPr>
          <w:rFonts w:cs="Arial"/>
        </w:rPr>
        <w:t xml:space="preserve"> </w:t>
      </w:r>
      <w:r>
        <w:rPr>
          <w:rFonts w:cs="Arial"/>
        </w:rPr>
        <w:t xml:space="preserve">the number of </w:t>
      </w:r>
      <w:r w:rsidRPr="007824CD">
        <w:rPr>
          <w:rFonts w:cs="Arial"/>
          <w:color w:val="000000"/>
          <w:lang w:eastAsia="en-AU"/>
        </w:rPr>
        <w:t>cases</w:t>
      </w:r>
      <w:r w:rsidRPr="007824CD">
        <w:rPr>
          <w:rFonts w:cs="Arial"/>
        </w:rPr>
        <w:t xml:space="preserve"> the Office received </w:t>
      </w:r>
      <w:r w:rsidR="00924EB2">
        <w:rPr>
          <w:rFonts w:cs="Arial"/>
        </w:rPr>
        <w:t>about</w:t>
      </w:r>
      <w:r>
        <w:rPr>
          <w:rFonts w:cs="Arial"/>
        </w:rPr>
        <w:t xml:space="preserve"> proposed wind farms compared to the number of </w:t>
      </w:r>
      <w:r>
        <w:rPr>
          <w:rFonts w:cs="Arial"/>
          <w:color w:val="000000"/>
          <w:lang w:eastAsia="en-AU"/>
        </w:rPr>
        <w:t>cases</w:t>
      </w:r>
      <w:r>
        <w:rPr>
          <w:rFonts w:cs="Arial"/>
        </w:rPr>
        <w:t xml:space="preserve"> </w:t>
      </w:r>
      <w:r w:rsidR="00924EB2">
        <w:rPr>
          <w:rFonts w:cs="Arial"/>
        </w:rPr>
        <w:t>about</w:t>
      </w:r>
      <w:r>
        <w:rPr>
          <w:rFonts w:cs="Arial"/>
        </w:rPr>
        <w:t xml:space="preserve"> operating wind farms, per state, between 1 January 2022 and 31 </w:t>
      </w:r>
      <w:r w:rsidRPr="00F47E6D">
        <w:rPr>
          <w:rFonts w:cs="Arial"/>
        </w:rPr>
        <w:t>December 20</w:t>
      </w:r>
      <w:r>
        <w:rPr>
          <w:rFonts w:cs="Arial"/>
        </w:rPr>
        <w:t xml:space="preserve">22. </w:t>
      </w:r>
    </w:p>
    <w:p w14:paraId="50104FFA" w14:textId="58CD5AE4" w:rsidR="00864DD5" w:rsidRDefault="00FC617F" w:rsidP="00864DD5">
      <w:pPr>
        <w:spacing w:line="264" w:lineRule="auto"/>
        <w:rPr>
          <w:rFonts w:cs="Arial"/>
        </w:rPr>
      </w:pPr>
      <w:r>
        <w:rPr>
          <w:noProof/>
        </w:rPr>
        <w:drawing>
          <wp:inline distT="0" distB="0" distL="0" distR="0" wp14:anchorId="5924C042" wp14:editId="63424D24">
            <wp:extent cx="6515100" cy="2514600"/>
            <wp:effectExtent l="0" t="0" r="0" b="0"/>
            <wp:docPr id="5" name="Chart 5" descr="Figure 2 shows the Number of Wind Farm Cases in 2022 broken-down per State&#10;Total: 29 Cases&#10;&#10;">
              <a:extLst xmlns:a="http://schemas.openxmlformats.org/drawingml/2006/main">
                <a:ext uri="{FF2B5EF4-FFF2-40B4-BE49-F238E27FC236}">
                  <a16:creationId xmlns:a16="http://schemas.microsoft.com/office/drawing/2014/main" id="{86943496-2EC5-4654-B644-129CF8BBB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6822E3" w14:textId="0C4AB5B6" w:rsidR="003A5FC2" w:rsidRDefault="003A5FC2" w:rsidP="003A5FC2">
      <w:pPr>
        <w:spacing w:line="264" w:lineRule="auto"/>
        <w:rPr>
          <w:rFonts w:cs="Arial"/>
        </w:rPr>
      </w:pPr>
      <w:r w:rsidRPr="007B0053">
        <w:rPr>
          <w:rFonts w:cs="Arial"/>
          <w:b/>
        </w:rPr>
        <w:lastRenderedPageBreak/>
        <w:t xml:space="preserve">Figure </w:t>
      </w:r>
      <w:r>
        <w:rPr>
          <w:rFonts w:cs="Arial"/>
          <w:b/>
        </w:rPr>
        <w:t>3</w:t>
      </w:r>
      <w:r w:rsidRPr="007B0053">
        <w:rPr>
          <w:rFonts w:cs="Arial"/>
          <w:b/>
        </w:rPr>
        <w:t xml:space="preserve"> </w:t>
      </w:r>
      <w:r w:rsidR="0032432E" w:rsidRPr="00ED25A6">
        <w:rPr>
          <w:rFonts w:cs="Arial"/>
        </w:rPr>
        <w:t>shows</w:t>
      </w:r>
      <w:r w:rsidRPr="00ED25A6">
        <w:rPr>
          <w:rFonts w:cs="Arial"/>
        </w:rPr>
        <w:t xml:space="preserve"> the </w:t>
      </w:r>
      <w:r w:rsidR="00FF3E9E" w:rsidRPr="00ED25A6">
        <w:rPr>
          <w:rFonts w:cs="Arial"/>
        </w:rPr>
        <w:t>number of</w:t>
      </w:r>
      <w:r w:rsidR="00EA6FF9" w:rsidRPr="00ED25A6">
        <w:rPr>
          <w:rFonts w:cs="Arial"/>
        </w:rPr>
        <w:t xml:space="preserve"> proposed and operating windfarm projects per state </w:t>
      </w:r>
      <w:r w:rsidR="009419D7">
        <w:rPr>
          <w:rFonts w:cs="Arial"/>
        </w:rPr>
        <w:t>about</w:t>
      </w:r>
      <w:r w:rsidR="009419D7" w:rsidRPr="00ED25A6">
        <w:rPr>
          <w:rFonts w:cs="Arial"/>
        </w:rPr>
        <w:t xml:space="preserve"> </w:t>
      </w:r>
      <w:r w:rsidR="00EA6FF9" w:rsidRPr="00ED25A6">
        <w:rPr>
          <w:rFonts w:cs="Arial"/>
        </w:rPr>
        <w:t xml:space="preserve">which our office has received cases </w:t>
      </w:r>
      <w:r w:rsidRPr="00ED25A6">
        <w:rPr>
          <w:rFonts w:cs="Arial"/>
        </w:rPr>
        <w:t>for the period 1 January 202</w:t>
      </w:r>
      <w:r w:rsidR="00ED25A6" w:rsidRPr="00ED25A6">
        <w:rPr>
          <w:rFonts w:cs="Arial"/>
        </w:rPr>
        <w:t>2</w:t>
      </w:r>
      <w:r w:rsidRPr="00ED25A6">
        <w:rPr>
          <w:rFonts w:cs="Arial"/>
        </w:rPr>
        <w:t xml:space="preserve"> to 31 December 202</w:t>
      </w:r>
      <w:r w:rsidR="00ED25A6" w:rsidRPr="00ED25A6">
        <w:rPr>
          <w:rFonts w:cs="Arial"/>
        </w:rPr>
        <w:t>2</w:t>
      </w:r>
      <w:r w:rsidRPr="00ED25A6">
        <w:rPr>
          <w:rFonts w:cs="Arial"/>
        </w:rPr>
        <w:t>.</w:t>
      </w:r>
      <w:r>
        <w:rPr>
          <w:rFonts w:cs="Arial"/>
        </w:rPr>
        <w:t xml:space="preserve"> </w:t>
      </w:r>
    </w:p>
    <w:p w14:paraId="00745B38" w14:textId="7477B8D1" w:rsidR="00304241" w:rsidRDefault="00E76EEF" w:rsidP="00304241">
      <w:pPr>
        <w:rPr>
          <w:rFonts w:cs="Arial"/>
        </w:rPr>
      </w:pPr>
      <w:r>
        <w:rPr>
          <w:noProof/>
        </w:rPr>
        <w:drawing>
          <wp:inline distT="0" distB="0" distL="0" distR="0" wp14:anchorId="2FFA1B12" wp14:editId="392DD14B">
            <wp:extent cx="6515100" cy="3333750"/>
            <wp:effectExtent l="0" t="0" r="0" b="0"/>
            <wp:docPr id="6" name="Chart 6" descr="Figure 3 shows the Total Number of Wind Farm Projects in which cases were received in 2022 (broken down Per State)&#10;Total: 19 Wind Farms&#10;">
              <a:extLst xmlns:a="http://schemas.openxmlformats.org/drawingml/2006/main">
                <a:ext uri="{FF2B5EF4-FFF2-40B4-BE49-F238E27FC236}">
                  <a16:creationId xmlns:a16="http://schemas.microsoft.com/office/drawing/2014/main" id="{A9785D96-3DDF-4CE5-B24D-F42092B69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DC2C85" w14:textId="11E0C27B" w:rsidR="00304241" w:rsidRDefault="005A6468" w:rsidP="002D7001">
      <w:pPr>
        <w:pStyle w:val="Heading3"/>
      </w:pPr>
      <w:bookmarkStart w:id="23" w:name="_Toc135390582"/>
      <w:r>
        <w:t xml:space="preserve">Solar farms and </w:t>
      </w:r>
      <w:r w:rsidR="00F46745">
        <w:t>e</w:t>
      </w:r>
      <w:r>
        <w:t xml:space="preserve">nergy </w:t>
      </w:r>
      <w:r w:rsidR="00F46745">
        <w:t>s</w:t>
      </w:r>
      <w:r>
        <w:t xml:space="preserve">torage in </w:t>
      </w:r>
      <w:r w:rsidR="00304241">
        <w:t>202</w:t>
      </w:r>
      <w:r w:rsidR="000C7B41">
        <w:t>2</w:t>
      </w:r>
      <w:bookmarkEnd w:id="23"/>
    </w:p>
    <w:p w14:paraId="531FF847" w14:textId="71B07B00" w:rsidR="000C7B41" w:rsidRDefault="0032432E" w:rsidP="00304241">
      <w:r>
        <w:rPr>
          <w:rFonts w:cs="Arial"/>
        </w:rPr>
        <w:t>Between</w:t>
      </w:r>
      <w:r w:rsidR="00DA39E2">
        <w:rPr>
          <w:rFonts w:cs="Arial"/>
        </w:rPr>
        <w:t xml:space="preserve"> 1 </w:t>
      </w:r>
      <w:r w:rsidR="00DA39E2" w:rsidRPr="00EB3D5A">
        <w:rPr>
          <w:rFonts w:cs="Arial"/>
        </w:rPr>
        <w:t>January 20</w:t>
      </w:r>
      <w:r w:rsidR="00DA39E2">
        <w:rPr>
          <w:rFonts w:cs="Arial"/>
        </w:rPr>
        <w:t>2</w:t>
      </w:r>
      <w:r w:rsidR="000C7B41">
        <w:rPr>
          <w:rFonts w:cs="Arial"/>
        </w:rPr>
        <w:t>2</w:t>
      </w:r>
      <w:r w:rsidR="00DA39E2" w:rsidRPr="00EB3D5A">
        <w:rPr>
          <w:rFonts w:cs="Arial"/>
        </w:rPr>
        <w:t xml:space="preserve"> </w:t>
      </w:r>
      <w:r>
        <w:rPr>
          <w:rFonts w:cs="Arial"/>
        </w:rPr>
        <w:t>and</w:t>
      </w:r>
      <w:r w:rsidRPr="00EB3D5A">
        <w:rPr>
          <w:rFonts w:cs="Arial"/>
        </w:rPr>
        <w:t xml:space="preserve"> </w:t>
      </w:r>
      <w:r w:rsidR="00DA39E2" w:rsidRPr="00EB3D5A">
        <w:rPr>
          <w:rFonts w:cs="Arial"/>
        </w:rPr>
        <w:t>31 December 202</w:t>
      </w:r>
      <w:r w:rsidR="000C7B41">
        <w:rPr>
          <w:rFonts w:cs="Arial"/>
        </w:rPr>
        <w:t>2</w:t>
      </w:r>
      <w:r w:rsidR="00DA39E2" w:rsidRPr="00EB3D5A">
        <w:rPr>
          <w:rFonts w:cs="Arial"/>
        </w:rPr>
        <w:t xml:space="preserve">, the Office received </w:t>
      </w:r>
      <w:r w:rsidR="000C7B41">
        <w:rPr>
          <w:rFonts w:cs="Arial"/>
        </w:rPr>
        <w:t>two</w:t>
      </w:r>
      <w:r w:rsidR="00DA39E2">
        <w:rPr>
          <w:rFonts w:cs="Arial"/>
        </w:rPr>
        <w:t xml:space="preserve"> </w:t>
      </w:r>
      <w:r w:rsidR="00DA39E2">
        <w:rPr>
          <w:rFonts w:cs="Arial"/>
          <w:color w:val="000000"/>
          <w:lang w:eastAsia="en-AU"/>
        </w:rPr>
        <w:t>cases</w:t>
      </w:r>
      <w:r w:rsidR="00DA39E2" w:rsidRPr="00EB3D5A">
        <w:rPr>
          <w:rFonts w:cs="Arial"/>
        </w:rPr>
        <w:t xml:space="preserve"> </w:t>
      </w:r>
      <w:r>
        <w:rPr>
          <w:rFonts w:cs="Arial"/>
        </w:rPr>
        <w:t>about</w:t>
      </w:r>
      <w:r w:rsidR="00DA39E2">
        <w:rPr>
          <w:rFonts w:cs="Arial"/>
        </w:rPr>
        <w:t xml:space="preserve"> </w:t>
      </w:r>
      <w:r w:rsidR="000C7B41">
        <w:rPr>
          <w:rFonts w:cs="Arial"/>
        </w:rPr>
        <w:t>two</w:t>
      </w:r>
      <w:r w:rsidR="00DA39E2" w:rsidRPr="00EB3D5A">
        <w:rPr>
          <w:rFonts w:cs="Arial"/>
        </w:rPr>
        <w:t xml:space="preserve"> </w:t>
      </w:r>
      <w:r w:rsidR="00DA39E2">
        <w:rPr>
          <w:rFonts w:cs="Arial"/>
        </w:rPr>
        <w:t>proposed solar farms</w:t>
      </w:r>
      <w:r w:rsidR="005659D3">
        <w:rPr>
          <w:rFonts w:cs="Arial"/>
        </w:rPr>
        <w:t xml:space="preserve">, compared to eight </w:t>
      </w:r>
      <w:r w:rsidR="005659D3">
        <w:rPr>
          <w:rFonts w:cs="Arial"/>
          <w:color w:val="000000"/>
          <w:lang w:eastAsia="en-AU"/>
        </w:rPr>
        <w:t>cases</w:t>
      </w:r>
      <w:r w:rsidR="005659D3" w:rsidRPr="00EB3D5A">
        <w:rPr>
          <w:rFonts w:cs="Arial"/>
        </w:rPr>
        <w:t xml:space="preserve"> </w:t>
      </w:r>
      <w:r w:rsidR="005659D3">
        <w:rPr>
          <w:rFonts w:cs="Arial"/>
        </w:rPr>
        <w:t xml:space="preserve">received </w:t>
      </w:r>
      <w:r w:rsidR="008D05CB">
        <w:rPr>
          <w:rFonts w:cs="Arial"/>
        </w:rPr>
        <w:t>about</w:t>
      </w:r>
      <w:r w:rsidR="005659D3">
        <w:rPr>
          <w:rFonts w:cs="Arial"/>
        </w:rPr>
        <w:t xml:space="preserve"> five</w:t>
      </w:r>
      <w:r w:rsidR="005659D3" w:rsidRPr="00EB3D5A">
        <w:rPr>
          <w:rFonts w:cs="Arial"/>
        </w:rPr>
        <w:t xml:space="preserve"> </w:t>
      </w:r>
      <w:r w:rsidR="005659D3">
        <w:rPr>
          <w:rFonts w:cs="Arial"/>
        </w:rPr>
        <w:t>proposed solar farms during 2021</w:t>
      </w:r>
      <w:r w:rsidR="00DA39E2" w:rsidRPr="00EB3D5A">
        <w:rPr>
          <w:rFonts w:cs="Arial"/>
        </w:rPr>
        <w:t xml:space="preserve">. </w:t>
      </w:r>
      <w:r w:rsidR="006A2772">
        <w:rPr>
          <w:rFonts w:cs="Arial"/>
        </w:rPr>
        <w:t>One of the cases</w:t>
      </w:r>
      <w:r w:rsidR="005659D3">
        <w:rPr>
          <w:rFonts w:cs="Arial"/>
        </w:rPr>
        <w:t xml:space="preserve"> received in 2022</w:t>
      </w:r>
      <w:r w:rsidR="006A2772">
        <w:rPr>
          <w:rFonts w:cs="Arial"/>
        </w:rPr>
        <w:t xml:space="preserve"> related to a proposed solar farm in Victoria </w:t>
      </w:r>
      <w:r w:rsidR="006A2772" w:rsidRPr="00EB3D5A">
        <w:rPr>
          <w:rFonts w:cs="Arial"/>
        </w:rPr>
        <w:t xml:space="preserve">and the </w:t>
      </w:r>
      <w:r w:rsidR="000738E4">
        <w:rPr>
          <w:rFonts w:cs="Arial"/>
        </w:rPr>
        <w:t>other</w:t>
      </w:r>
      <w:r w:rsidR="000738E4" w:rsidRPr="00EB3D5A">
        <w:rPr>
          <w:rFonts w:cs="Arial"/>
        </w:rPr>
        <w:t xml:space="preserve"> </w:t>
      </w:r>
      <w:r w:rsidR="006A2772">
        <w:rPr>
          <w:rFonts w:cs="Arial"/>
          <w:color w:val="000000"/>
          <w:lang w:eastAsia="en-AU"/>
        </w:rPr>
        <w:t>case</w:t>
      </w:r>
      <w:r w:rsidR="006A2772" w:rsidRPr="00EB3D5A">
        <w:rPr>
          <w:rFonts w:cs="Arial"/>
        </w:rPr>
        <w:t xml:space="preserve"> </w:t>
      </w:r>
      <w:r w:rsidR="007E6F68">
        <w:rPr>
          <w:rFonts w:cs="Arial"/>
        </w:rPr>
        <w:t>related</w:t>
      </w:r>
      <w:r w:rsidR="006A2772" w:rsidRPr="00EB3D5A">
        <w:rPr>
          <w:rFonts w:cs="Arial"/>
        </w:rPr>
        <w:t xml:space="preserve"> to </w:t>
      </w:r>
      <w:r w:rsidR="006A2772">
        <w:rPr>
          <w:rFonts w:cs="Arial"/>
        </w:rPr>
        <w:t>a</w:t>
      </w:r>
      <w:r w:rsidR="006A2772" w:rsidRPr="00EB3D5A">
        <w:rPr>
          <w:rFonts w:cs="Arial"/>
        </w:rPr>
        <w:t xml:space="preserve"> </w:t>
      </w:r>
      <w:r w:rsidR="006A2772">
        <w:rPr>
          <w:rFonts w:cs="Arial"/>
        </w:rPr>
        <w:t>proposed</w:t>
      </w:r>
      <w:r w:rsidR="006A2772" w:rsidRPr="00EB3D5A">
        <w:rPr>
          <w:rFonts w:cs="Arial"/>
        </w:rPr>
        <w:t xml:space="preserve"> </w:t>
      </w:r>
      <w:r w:rsidR="006A2772">
        <w:rPr>
          <w:rFonts w:cs="Arial"/>
        </w:rPr>
        <w:t>solar</w:t>
      </w:r>
      <w:r w:rsidR="006A2772" w:rsidRPr="00EB3D5A">
        <w:rPr>
          <w:rFonts w:cs="Arial"/>
        </w:rPr>
        <w:t xml:space="preserve"> farm in </w:t>
      </w:r>
      <w:r w:rsidR="006A2772">
        <w:rPr>
          <w:rFonts w:cs="Arial"/>
        </w:rPr>
        <w:t>New South Wales</w:t>
      </w:r>
      <w:r w:rsidR="006A2772" w:rsidRPr="00EB3D5A">
        <w:rPr>
          <w:rFonts w:cs="Arial"/>
        </w:rPr>
        <w:t>.</w:t>
      </w:r>
      <w:r w:rsidR="006A2772">
        <w:rPr>
          <w:rFonts w:cs="Arial"/>
        </w:rPr>
        <w:t xml:space="preserve"> </w:t>
      </w:r>
      <w:r w:rsidR="006C52DD">
        <w:t>As of</w:t>
      </w:r>
      <w:r w:rsidR="00DA39E2" w:rsidRPr="00F47E6D">
        <w:t xml:space="preserve"> </w:t>
      </w:r>
      <w:r w:rsidR="00DA39E2">
        <w:t>31 </w:t>
      </w:r>
      <w:r w:rsidR="00DA39E2" w:rsidRPr="00F47E6D">
        <w:t>December 20</w:t>
      </w:r>
      <w:r w:rsidR="00DA39E2">
        <w:t>2</w:t>
      </w:r>
      <w:r w:rsidR="000C7B41">
        <w:t>2</w:t>
      </w:r>
      <w:r w:rsidR="00DA39E2">
        <w:t xml:space="preserve">, one of these </w:t>
      </w:r>
      <w:r w:rsidR="00DA39E2">
        <w:rPr>
          <w:rFonts w:cs="Arial"/>
          <w:color w:val="000000"/>
          <w:lang w:eastAsia="en-AU"/>
        </w:rPr>
        <w:t>cases</w:t>
      </w:r>
      <w:r w:rsidR="00DA39E2">
        <w:t xml:space="preserve"> remain</w:t>
      </w:r>
      <w:r w:rsidR="000738E4">
        <w:t xml:space="preserve">ed </w:t>
      </w:r>
      <w:r w:rsidR="00DA39E2">
        <w:t>open.</w:t>
      </w:r>
    </w:p>
    <w:p w14:paraId="3BA48E22" w14:textId="47175AF3" w:rsidR="00DA39E2" w:rsidRDefault="0032432E" w:rsidP="00304241">
      <w:r>
        <w:rPr>
          <w:rFonts w:cs="Arial"/>
        </w:rPr>
        <w:t>Between</w:t>
      </w:r>
      <w:r w:rsidR="000C7B41">
        <w:rPr>
          <w:rFonts w:cs="Arial"/>
        </w:rPr>
        <w:t xml:space="preserve"> 1 </w:t>
      </w:r>
      <w:r w:rsidR="000C7B41" w:rsidRPr="00EB3D5A">
        <w:rPr>
          <w:rFonts w:cs="Arial"/>
        </w:rPr>
        <w:t>January 20</w:t>
      </w:r>
      <w:r w:rsidR="000C7B41">
        <w:rPr>
          <w:rFonts w:cs="Arial"/>
        </w:rPr>
        <w:t>22</w:t>
      </w:r>
      <w:r w:rsidR="000C7B41" w:rsidRPr="00EB3D5A">
        <w:rPr>
          <w:rFonts w:cs="Arial"/>
        </w:rPr>
        <w:t xml:space="preserve"> </w:t>
      </w:r>
      <w:r>
        <w:rPr>
          <w:rFonts w:cs="Arial"/>
        </w:rPr>
        <w:t>and</w:t>
      </w:r>
      <w:r w:rsidRPr="00EB3D5A">
        <w:rPr>
          <w:rFonts w:cs="Arial"/>
        </w:rPr>
        <w:t xml:space="preserve"> </w:t>
      </w:r>
      <w:r w:rsidR="000C7B41" w:rsidRPr="00EB3D5A">
        <w:rPr>
          <w:rFonts w:cs="Arial"/>
        </w:rPr>
        <w:t>31 December 202</w:t>
      </w:r>
      <w:r w:rsidR="000C7B41">
        <w:rPr>
          <w:rFonts w:cs="Arial"/>
        </w:rPr>
        <w:t>2</w:t>
      </w:r>
      <w:r w:rsidR="000C7B41" w:rsidRPr="00EB3D5A">
        <w:rPr>
          <w:rFonts w:cs="Arial"/>
        </w:rPr>
        <w:t xml:space="preserve">, the Office received </w:t>
      </w:r>
      <w:r w:rsidR="000C7B41">
        <w:rPr>
          <w:rFonts w:cs="Arial"/>
        </w:rPr>
        <w:t xml:space="preserve">two </w:t>
      </w:r>
      <w:r w:rsidR="000C7B41">
        <w:rPr>
          <w:rFonts w:cs="Arial"/>
          <w:color w:val="000000"/>
          <w:lang w:eastAsia="en-AU"/>
        </w:rPr>
        <w:t>cases</w:t>
      </w:r>
      <w:r w:rsidR="000C7B41" w:rsidRPr="00EB3D5A">
        <w:rPr>
          <w:rFonts w:cs="Arial"/>
        </w:rPr>
        <w:t xml:space="preserve"> </w:t>
      </w:r>
      <w:r>
        <w:rPr>
          <w:rFonts w:cs="Arial"/>
        </w:rPr>
        <w:t>about</w:t>
      </w:r>
      <w:r w:rsidR="000C7B41">
        <w:rPr>
          <w:rFonts w:cs="Arial"/>
        </w:rPr>
        <w:t xml:space="preserve"> one</w:t>
      </w:r>
      <w:r w:rsidR="000C7B41" w:rsidRPr="00EB3D5A">
        <w:rPr>
          <w:rFonts w:cs="Arial"/>
        </w:rPr>
        <w:t xml:space="preserve"> </w:t>
      </w:r>
      <w:r w:rsidR="000C7B41">
        <w:rPr>
          <w:rFonts w:cs="Arial"/>
        </w:rPr>
        <w:t>proposed pumped hydro storage facility</w:t>
      </w:r>
      <w:r w:rsidR="000738E4">
        <w:rPr>
          <w:rFonts w:cs="Arial"/>
        </w:rPr>
        <w:t xml:space="preserve"> located</w:t>
      </w:r>
      <w:r w:rsidR="006A2772" w:rsidRPr="00EB3D5A">
        <w:rPr>
          <w:rFonts w:cs="Arial"/>
        </w:rPr>
        <w:t xml:space="preserve"> in </w:t>
      </w:r>
      <w:r w:rsidR="006A2772">
        <w:rPr>
          <w:rFonts w:cs="Arial"/>
        </w:rPr>
        <w:t>New South Wales</w:t>
      </w:r>
      <w:r w:rsidR="006A2772">
        <w:t xml:space="preserve">. </w:t>
      </w:r>
      <w:r w:rsidR="006C52DD">
        <w:t>As of</w:t>
      </w:r>
      <w:r w:rsidR="000C7B41" w:rsidRPr="00F47E6D">
        <w:t xml:space="preserve"> </w:t>
      </w:r>
      <w:r w:rsidR="000C7B41">
        <w:t>31 </w:t>
      </w:r>
      <w:r w:rsidR="000C7B41" w:rsidRPr="00F47E6D">
        <w:t>December 20</w:t>
      </w:r>
      <w:r w:rsidR="000C7B41">
        <w:t xml:space="preserve">22, one of these </w:t>
      </w:r>
      <w:r w:rsidR="000C7B41">
        <w:rPr>
          <w:rFonts w:cs="Arial"/>
          <w:color w:val="000000"/>
          <w:lang w:eastAsia="en-AU"/>
        </w:rPr>
        <w:t>cases</w:t>
      </w:r>
      <w:r w:rsidR="000C7B41">
        <w:t xml:space="preserve"> remain</w:t>
      </w:r>
      <w:r w:rsidR="00C50F84">
        <w:t>ed</w:t>
      </w:r>
      <w:r w:rsidR="000C7B41">
        <w:t xml:space="preserve"> open.</w:t>
      </w:r>
    </w:p>
    <w:p w14:paraId="32ED8CF3" w14:textId="62EFEACD" w:rsidR="00304241" w:rsidRDefault="00304241" w:rsidP="002D7001">
      <w:pPr>
        <w:pStyle w:val="Heading3"/>
      </w:pPr>
      <w:bookmarkStart w:id="24" w:name="_Toc135390583"/>
      <w:r>
        <w:t xml:space="preserve">Major </w:t>
      </w:r>
      <w:r w:rsidR="007B2611">
        <w:t>t</w:t>
      </w:r>
      <w:r>
        <w:t xml:space="preserve">ransmission </w:t>
      </w:r>
      <w:r w:rsidR="007B2611">
        <w:t>p</w:t>
      </w:r>
      <w:r>
        <w:t>rojects</w:t>
      </w:r>
      <w:r w:rsidRPr="00EB3D5A">
        <w:t xml:space="preserve"> in 202</w:t>
      </w:r>
      <w:r w:rsidR="000C7B41">
        <w:t>2</w:t>
      </w:r>
      <w:bookmarkEnd w:id="24"/>
    </w:p>
    <w:p w14:paraId="118773ED" w14:textId="1D09B190" w:rsidR="009030F8" w:rsidRDefault="0032432E" w:rsidP="0082140F">
      <w:pPr>
        <w:spacing w:line="264" w:lineRule="auto"/>
        <w:rPr>
          <w:rFonts w:cs="Arial"/>
        </w:rPr>
      </w:pPr>
      <w:r>
        <w:rPr>
          <w:rFonts w:cs="Arial"/>
        </w:rPr>
        <w:t>Between</w:t>
      </w:r>
      <w:r w:rsidR="006A2772" w:rsidRPr="00EB3D5A">
        <w:rPr>
          <w:rFonts w:cs="Arial"/>
        </w:rPr>
        <w:t xml:space="preserve"> 1 January 20</w:t>
      </w:r>
      <w:r w:rsidR="006A2772">
        <w:rPr>
          <w:rFonts w:cs="Arial"/>
        </w:rPr>
        <w:t>22</w:t>
      </w:r>
      <w:r w:rsidR="006A2772" w:rsidRPr="00EB3D5A">
        <w:rPr>
          <w:rFonts w:cs="Arial"/>
        </w:rPr>
        <w:t xml:space="preserve"> </w:t>
      </w:r>
      <w:r>
        <w:rPr>
          <w:rFonts w:cs="Arial"/>
        </w:rPr>
        <w:t>and</w:t>
      </w:r>
      <w:r w:rsidRPr="00EB3D5A">
        <w:rPr>
          <w:rFonts w:cs="Arial"/>
        </w:rPr>
        <w:t xml:space="preserve"> </w:t>
      </w:r>
      <w:r w:rsidR="006A2772" w:rsidRPr="00EB3D5A">
        <w:rPr>
          <w:rFonts w:cs="Arial"/>
        </w:rPr>
        <w:t>31 December 202</w:t>
      </w:r>
      <w:r w:rsidR="006A2772">
        <w:rPr>
          <w:rFonts w:cs="Arial"/>
        </w:rPr>
        <w:t>2</w:t>
      </w:r>
      <w:r w:rsidR="006A2772" w:rsidRPr="00EB3D5A">
        <w:rPr>
          <w:rFonts w:cs="Arial"/>
        </w:rPr>
        <w:t xml:space="preserve">, the Office received </w:t>
      </w:r>
      <w:r w:rsidR="006A2772">
        <w:rPr>
          <w:rFonts w:cs="Arial"/>
        </w:rPr>
        <w:t>4</w:t>
      </w:r>
      <w:r w:rsidR="00F30DE5">
        <w:rPr>
          <w:rFonts w:cs="Arial"/>
        </w:rPr>
        <w:t>4</w:t>
      </w:r>
      <w:r w:rsidR="006A2772" w:rsidRPr="00EB3D5A">
        <w:rPr>
          <w:rFonts w:cs="Arial"/>
        </w:rPr>
        <w:t xml:space="preserve"> </w:t>
      </w:r>
      <w:r w:rsidR="006A2772">
        <w:rPr>
          <w:rFonts w:cs="Arial"/>
          <w:color w:val="000000"/>
          <w:lang w:eastAsia="en-AU"/>
        </w:rPr>
        <w:t>cases</w:t>
      </w:r>
      <w:r w:rsidR="006A2772" w:rsidRPr="00EB3D5A">
        <w:rPr>
          <w:rFonts w:cs="Arial"/>
        </w:rPr>
        <w:t xml:space="preserve"> </w:t>
      </w:r>
      <w:r>
        <w:rPr>
          <w:rFonts w:cs="Arial"/>
        </w:rPr>
        <w:t>about</w:t>
      </w:r>
      <w:r w:rsidR="006A2772" w:rsidRPr="00EB3D5A">
        <w:rPr>
          <w:rFonts w:cs="Arial"/>
        </w:rPr>
        <w:t xml:space="preserve"> </w:t>
      </w:r>
      <w:r w:rsidR="002309B1">
        <w:rPr>
          <w:rFonts w:cs="Arial"/>
        </w:rPr>
        <w:t>four</w:t>
      </w:r>
      <w:r w:rsidR="006A2772">
        <w:rPr>
          <w:rFonts w:cs="Arial"/>
        </w:rPr>
        <w:t> </w:t>
      </w:r>
      <w:r w:rsidR="006A2772" w:rsidRPr="00EB3D5A">
        <w:rPr>
          <w:rFonts w:cs="Arial"/>
        </w:rPr>
        <w:t xml:space="preserve">proposed </w:t>
      </w:r>
      <w:r w:rsidR="006A2772">
        <w:rPr>
          <w:rFonts w:cs="Arial"/>
        </w:rPr>
        <w:t>large-scale transmission projects</w:t>
      </w:r>
      <w:r w:rsidR="005659D3">
        <w:rPr>
          <w:rFonts w:cs="Arial"/>
        </w:rPr>
        <w:t xml:space="preserve">, compared to 111 </w:t>
      </w:r>
      <w:r w:rsidR="00E65E18">
        <w:rPr>
          <w:rFonts w:cs="Arial"/>
        </w:rPr>
        <w:t xml:space="preserve">cases </w:t>
      </w:r>
      <w:r w:rsidR="005659D3">
        <w:rPr>
          <w:rFonts w:cs="Arial"/>
        </w:rPr>
        <w:t xml:space="preserve">received </w:t>
      </w:r>
      <w:r w:rsidR="00E65E18">
        <w:rPr>
          <w:rFonts w:cs="Arial"/>
        </w:rPr>
        <w:t xml:space="preserve">about </w:t>
      </w:r>
      <w:r w:rsidR="005659D3">
        <w:rPr>
          <w:rFonts w:cs="Arial"/>
        </w:rPr>
        <w:t>three proposed transmission projects</w:t>
      </w:r>
      <w:r w:rsidR="00E65E18">
        <w:rPr>
          <w:rFonts w:cs="Arial"/>
        </w:rPr>
        <w:t xml:space="preserve"> in 2021</w:t>
      </w:r>
      <w:r w:rsidR="006A2772" w:rsidRPr="00EB3D5A">
        <w:rPr>
          <w:rFonts w:cs="Arial"/>
        </w:rPr>
        <w:t xml:space="preserve">. </w:t>
      </w:r>
      <w:r w:rsidR="003A5FC2">
        <w:rPr>
          <w:rFonts w:cs="Arial"/>
        </w:rPr>
        <w:t>Of the</w:t>
      </w:r>
      <w:r w:rsidR="005659D3">
        <w:rPr>
          <w:rFonts w:cs="Arial"/>
        </w:rPr>
        <w:t xml:space="preserve"> cases received in 2022</w:t>
      </w:r>
      <w:r w:rsidR="007B2611">
        <w:rPr>
          <w:rFonts w:cs="Arial"/>
        </w:rPr>
        <w:t>,</w:t>
      </w:r>
      <w:r w:rsidR="003A5FC2">
        <w:rPr>
          <w:rFonts w:cs="Arial"/>
        </w:rPr>
        <w:t xml:space="preserve"> </w:t>
      </w:r>
      <w:r w:rsidR="006A2772">
        <w:rPr>
          <w:rFonts w:cs="Arial"/>
        </w:rPr>
        <w:t>2</w:t>
      </w:r>
      <w:r w:rsidR="00F30DE5">
        <w:rPr>
          <w:rFonts w:cs="Arial"/>
        </w:rPr>
        <w:t>9</w:t>
      </w:r>
      <w:r>
        <w:rPr>
          <w:rFonts w:cs="Arial"/>
        </w:rPr>
        <w:t xml:space="preserve"> cases</w:t>
      </w:r>
      <w:r w:rsidR="006A2772">
        <w:rPr>
          <w:rFonts w:cs="Arial"/>
        </w:rPr>
        <w:t xml:space="preserve"> </w:t>
      </w:r>
      <w:r w:rsidR="006A2772" w:rsidRPr="00EB3D5A">
        <w:rPr>
          <w:rFonts w:cs="Arial"/>
        </w:rPr>
        <w:t xml:space="preserve">related to </w:t>
      </w:r>
      <w:r w:rsidR="00271822">
        <w:rPr>
          <w:rFonts w:cs="Arial"/>
        </w:rPr>
        <w:t>t</w:t>
      </w:r>
      <w:r w:rsidR="00526432">
        <w:rPr>
          <w:rFonts w:cs="Arial"/>
        </w:rPr>
        <w:t>hree</w:t>
      </w:r>
      <w:r w:rsidR="006A2772" w:rsidRPr="00EB3D5A">
        <w:rPr>
          <w:rFonts w:cs="Arial"/>
        </w:rPr>
        <w:t xml:space="preserve"> </w:t>
      </w:r>
      <w:r w:rsidR="006A2772">
        <w:rPr>
          <w:rFonts w:cs="Arial"/>
        </w:rPr>
        <w:t>proposed</w:t>
      </w:r>
      <w:r w:rsidR="006A2772" w:rsidRPr="00EB3D5A">
        <w:rPr>
          <w:rFonts w:cs="Arial"/>
        </w:rPr>
        <w:t xml:space="preserve"> </w:t>
      </w:r>
      <w:r w:rsidR="007F2038">
        <w:rPr>
          <w:rFonts w:cs="Arial"/>
        </w:rPr>
        <w:t xml:space="preserve">transmission </w:t>
      </w:r>
      <w:r w:rsidR="006A2772">
        <w:rPr>
          <w:rFonts w:cs="Arial"/>
        </w:rPr>
        <w:t>projects</w:t>
      </w:r>
      <w:r w:rsidR="006A2772" w:rsidRPr="00EB3D5A">
        <w:rPr>
          <w:rFonts w:cs="Arial"/>
        </w:rPr>
        <w:t xml:space="preserve"> in Victoria</w:t>
      </w:r>
      <w:r w:rsidR="00271822">
        <w:rPr>
          <w:rFonts w:cs="Arial"/>
        </w:rPr>
        <w:t xml:space="preserve"> </w:t>
      </w:r>
      <w:r w:rsidR="006A2772" w:rsidRPr="00EB3D5A">
        <w:rPr>
          <w:rFonts w:cs="Arial"/>
        </w:rPr>
        <w:t xml:space="preserve">and </w:t>
      </w:r>
      <w:r w:rsidR="006A2772">
        <w:rPr>
          <w:rFonts w:cs="Arial"/>
        </w:rPr>
        <w:t xml:space="preserve">15 </w:t>
      </w:r>
      <w:r w:rsidR="006A2772">
        <w:rPr>
          <w:rFonts w:cs="Arial"/>
          <w:color w:val="000000"/>
          <w:lang w:eastAsia="en-AU"/>
        </w:rPr>
        <w:t>cases</w:t>
      </w:r>
      <w:r w:rsidR="006A2772" w:rsidRPr="00EB3D5A">
        <w:rPr>
          <w:rFonts w:cs="Arial"/>
        </w:rPr>
        <w:t xml:space="preserve"> </w:t>
      </w:r>
      <w:r w:rsidR="007B2611">
        <w:rPr>
          <w:rFonts w:cs="Arial"/>
        </w:rPr>
        <w:t>related</w:t>
      </w:r>
      <w:r w:rsidR="006A2772" w:rsidRPr="00EB3D5A">
        <w:rPr>
          <w:rFonts w:cs="Arial"/>
        </w:rPr>
        <w:t xml:space="preserve"> to </w:t>
      </w:r>
      <w:r w:rsidR="006A2772">
        <w:rPr>
          <w:rFonts w:cs="Arial"/>
        </w:rPr>
        <w:t>one</w:t>
      </w:r>
      <w:r w:rsidR="006A2772" w:rsidRPr="00EB3D5A">
        <w:rPr>
          <w:rFonts w:cs="Arial"/>
        </w:rPr>
        <w:t xml:space="preserve"> </w:t>
      </w:r>
      <w:r w:rsidR="006A2772">
        <w:rPr>
          <w:rFonts w:cs="Arial"/>
        </w:rPr>
        <w:t>proposed</w:t>
      </w:r>
      <w:r w:rsidR="006A2772" w:rsidRPr="00EB3D5A">
        <w:rPr>
          <w:rFonts w:cs="Arial"/>
        </w:rPr>
        <w:t xml:space="preserve"> </w:t>
      </w:r>
      <w:r w:rsidR="007F2038">
        <w:rPr>
          <w:rFonts w:cs="Arial"/>
        </w:rPr>
        <w:t xml:space="preserve">transmission </w:t>
      </w:r>
      <w:r w:rsidR="006A2772">
        <w:rPr>
          <w:rFonts w:cs="Arial"/>
        </w:rPr>
        <w:t>project</w:t>
      </w:r>
      <w:r w:rsidR="006A2772" w:rsidRPr="00EB3D5A">
        <w:rPr>
          <w:rFonts w:cs="Arial"/>
        </w:rPr>
        <w:t xml:space="preserve"> in </w:t>
      </w:r>
      <w:r w:rsidR="006A2772">
        <w:rPr>
          <w:rFonts w:cs="Arial"/>
        </w:rPr>
        <w:t>New South Wales</w:t>
      </w:r>
      <w:r w:rsidR="006A2772" w:rsidRPr="00EB3D5A">
        <w:rPr>
          <w:rFonts w:cs="Arial"/>
        </w:rPr>
        <w:t>.</w:t>
      </w:r>
      <w:r w:rsidR="009030F8">
        <w:rPr>
          <w:rFonts w:cs="Arial"/>
        </w:rPr>
        <w:t xml:space="preserve"> </w:t>
      </w:r>
    </w:p>
    <w:p w14:paraId="12714E2B" w14:textId="77777777" w:rsidR="00202281" w:rsidRDefault="00304241" w:rsidP="0082140F">
      <w:pPr>
        <w:spacing w:line="264" w:lineRule="auto"/>
        <w:rPr>
          <w:rFonts w:cs="Arial"/>
        </w:rPr>
      </w:pPr>
      <w:r w:rsidRPr="00EB3D5A">
        <w:rPr>
          <w:rFonts w:cs="Arial"/>
          <w:b/>
        </w:rPr>
        <w:t>Figure</w:t>
      </w:r>
      <w:r>
        <w:rPr>
          <w:rFonts w:cs="Arial"/>
          <w:b/>
        </w:rPr>
        <w:t xml:space="preserve"> </w:t>
      </w:r>
      <w:r w:rsidR="00050479">
        <w:rPr>
          <w:rFonts w:cs="Arial"/>
          <w:b/>
        </w:rPr>
        <w:t>4</w:t>
      </w:r>
      <w:r w:rsidRPr="00EB3D5A">
        <w:rPr>
          <w:rFonts w:cs="Arial"/>
        </w:rPr>
        <w:t xml:space="preserve"> </w:t>
      </w:r>
      <w:r w:rsidR="0032432E">
        <w:rPr>
          <w:rFonts w:cs="Arial"/>
        </w:rPr>
        <w:t>shows</w:t>
      </w:r>
      <w:r w:rsidRPr="00EB3D5A">
        <w:rPr>
          <w:rFonts w:cs="Arial"/>
        </w:rPr>
        <w:t xml:space="preserve"> the number </w:t>
      </w:r>
      <w:r w:rsidRPr="007824CD">
        <w:rPr>
          <w:rFonts w:cs="Arial"/>
        </w:rPr>
        <w:t xml:space="preserve">of </w:t>
      </w:r>
      <w:r w:rsidRPr="007824CD">
        <w:rPr>
          <w:rFonts w:cs="Arial"/>
          <w:color w:val="000000"/>
          <w:lang w:eastAsia="en-AU"/>
        </w:rPr>
        <w:t>cases</w:t>
      </w:r>
      <w:r w:rsidRPr="007824CD">
        <w:rPr>
          <w:rFonts w:cs="Arial"/>
        </w:rPr>
        <w:t xml:space="preserve"> </w:t>
      </w:r>
      <w:r w:rsidR="0032432E" w:rsidRPr="007824CD">
        <w:rPr>
          <w:rFonts w:cs="Arial"/>
        </w:rPr>
        <w:t xml:space="preserve">received </w:t>
      </w:r>
      <w:r w:rsidRPr="007824CD">
        <w:rPr>
          <w:rFonts w:cs="Arial"/>
        </w:rPr>
        <w:t>about proposed</w:t>
      </w:r>
      <w:r w:rsidRPr="00EB3D5A">
        <w:rPr>
          <w:rFonts w:cs="Arial"/>
        </w:rPr>
        <w:t xml:space="preserve"> </w:t>
      </w:r>
      <w:r>
        <w:rPr>
          <w:rFonts w:cs="Arial"/>
        </w:rPr>
        <w:t>large-scale transmission projects</w:t>
      </w:r>
      <w:r w:rsidRPr="00EB3D5A">
        <w:rPr>
          <w:rFonts w:cs="Arial"/>
        </w:rPr>
        <w:t xml:space="preserve">, </w:t>
      </w:r>
      <w:r w:rsidR="00981455">
        <w:rPr>
          <w:rFonts w:cs="Arial"/>
        </w:rPr>
        <w:t>per</w:t>
      </w:r>
      <w:r w:rsidRPr="00EB3D5A">
        <w:rPr>
          <w:rFonts w:cs="Arial"/>
        </w:rPr>
        <w:t xml:space="preserve"> state, </w:t>
      </w:r>
      <w:r w:rsidR="00A37DF2">
        <w:rPr>
          <w:rFonts w:cs="Arial"/>
        </w:rPr>
        <w:t>between</w:t>
      </w:r>
      <w:r w:rsidR="007B2611">
        <w:rPr>
          <w:rFonts w:cs="Arial"/>
        </w:rPr>
        <w:t xml:space="preserve"> </w:t>
      </w:r>
      <w:r w:rsidR="003A5FC2">
        <w:rPr>
          <w:rFonts w:cs="Arial"/>
        </w:rPr>
        <w:t>1</w:t>
      </w:r>
      <w:r>
        <w:rPr>
          <w:rFonts w:cs="Arial"/>
        </w:rPr>
        <w:t xml:space="preserve"> </w:t>
      </w:r>
      <w:r w:rsidR="003A5FC2">
        <w:rPr>
          <w:rFonts w:cs="Arial"/>
        </w:rPr>
        <w:t>January</w:t>
      </w:r>
      <w:r w:rsidRPr="00CB7184">
        <w:rPr>
          <w:rFonts w:cs="Arial"/>
        </w:rPr>
        <w:t xml:space="preserve"> 20</w:t>
      </w:r>
      <w:r>
        <w:rPr>
          <w:rFonts w:cs="Arial"/>
        </w:rPr>
        <w:t>2</w:t>
      </w:r>
      <w:r w:rsidR="003A5FC2">
        <w:rPr>
          <w:rFonts w:cs="Arial"/>
        </w:rPr>
        <w:t>2</w:t>
      </w:r>
      <w:r>
        <w:rPr>
          <w:rFonts w:cs="Arial"/>
        </w:rPr>
        <w:t xml:space="preserve"> </w:t>
      </w:r>
      <w:r w:rsidR="00A37DF2">
        <w:rPr>
          <w:rFonts w:cs="Arial"/>
        </w:rPr>
        <w:t>and</w:t>
      </w:r>
      <w:r w:rsidRPr="00EB3D5A">
        <w:rPr>
          <w:rFonts w:cs="Arial"/>
        </w:rPr>
        <w:t xml:space="preserve"> 31 December 202</w:t>
      </w:r>
      <w:r w:rsidR="003A5FC2">
        <w:rPr>
          <w:rFonts w:cs="Arial"/>
        </w:rPr>
        <w:t>2</w:t>
      </w:r>
      <w:r w:rsidR="006A2772">
        <w:rPr>
          <w:rFonts w:cs="Arial"/>
        </w:rPr>
        <w:t xml:space="preserve">. </w:t>
      </w:r>
    </w:p>
    <w:p w14:paraId="5E45194C" w14:textId="77CB7C51" w:rsidR="00304241" w:rsidRDefault="00C25F23" w:rsidP="0082140F">
      <w:pPr>
        <w:spacing w:line="264" w:lineRule="auto"/>
        <w:rPr>
          <w:rFonts w:cs="Arial"/>
        </w:rPr>
      </w:pPr>
      <w:r>
        <w:rPr>
          <w:noProof/>
        </w:rPr>
        <w:drawing>
          <wp:inline distT="0" distB="0" distL="0" distR="0" wp14:anchorId="546D2CC8" wp14:editId="29C9BCB4">
            <wp:extent cx="6553200" cy="2000250"/>
            <wp:effectExtent l="0" t="0" r="0" b="0"/>
            <wp:docPr id="8" name="Chart 8" descr="Figure 4: Number of Large-scale Transmission Cases per state.&#10;Total Number of Transmission Cases 44&#10;Total Cases in NSW 15&#10;Total Cases in Victoria 29&#10;">
              <a:extLst xmlns:a="http://schemas.openxmlformats.org/drawingml/2006/main">
                <a:ext uri="{FF2B5EF4-FFF2-40B4-BE49-F238E27FC236}">
                  <a16:creationId xmlns:a16="http://schemas.microsoft.com/office/drawing/2014/main" id="{01275757-1D25-4737-AFFA-5A21BDE7E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E13D31" w14:textId="5B71BCE9" w:rsidR="005A6468" w:rsidRPr="002D7001" w:rsidRDefault="00050479" w:rsidP="002D7001">
      <w:pPr>
        <w:pStyle w:val="Heading2"/>
      </w:pPr>
      <w:bookmarkStart w:id="25" w:name="_Toc135390584"/>
      <w:r w:rsidRPr="002D7001">
        <w:lastRenderedPageBreak/>
        <w:t>Case activity since inception</w:t>
      </w:r>
      <w:bookmarkEnd w:id="25"/>
    </w:p>
    <w:p w14:paraId="18F579BD" w14:textId="23CA20B3" w:rsidR="005A6468" w:rsidRPr="00080CEC" w:rsidRDefault="005A6468" w:rsidP="005A6468">
      <w:pPr>
        <w:spacing w:line="264" w:lineRule="auto"/>
        <w:rPr>
          <w:rFonts w:cs="Arial"/>
        </w:rPr>
      </w:pPr>
      <w:r w:rsidRPr="00080CEC">
        <w:rPr>
          <w:rFonts w:cs="Arial"/>
        </w:rPr>
        <w:t xml:space="preserve">From the Office’s inception </w:t>
      </w:r>
      <w:r w:rsidR="00EC138E">
        <w:rPr>
          <w:rFonts w:cs="Arial"/>
        </w:rPr>
        <w:t>o</w:t>
      </w:r>
      <w:r>
        <w:rPr>
          <w:rFonts w:cs="Arial"/>
        </w:rPr>
        <w:t xml:space="preserve">n </w:t>
      </w:r>
      <w:r w:rsidR="00EC138E">
        <w:rPr>
          <w:rFonts w:cs="Arial"/>
        </w:rPr>
        <w:t xml:space="preserve">1 </w:t>
      </w:r>
      <w:r>
        <w:rPr>
          <w:rFonts w:cs="Arial"/>
        </w:rPr>
        <w:t xml:space="preserve">November 2015 </w:t>
      </w:r>
      <w:r w:rsidRPr="00080CEC">
        <w:rPr>
          <w:rFonts w:cs="Arial"/>
        </w:rPr>
        <w:t>to 31 December 20</w:t>
      </w:r>
      <w:r>
        <w:rPr>
          <w:rFonts w:cs="Arial"/>
        </w:rPr>
        <w:t>2</w:t>
      </w:r>
      <w:r w:rsidR="0082140F">
        <w:rPr>
          <w:rFonts w:cs="Arial"/>
        </w:rPr>
        <w:t>2</w:t>
      </w:r>
      <w:r w:rsidRPr="00080CEC">
        <w:rPr>
          <w:rFonts w:cs="Arial"/>
        </w:rPr>
        <w:t>, the Office</w:t>
      </w:r>
      <w:r w:rsidR="00E65E18">
        <w:rPr>
          <w:rFonts w:cs="Arial"/>
        </w:rPr>
        <w:t xml:space="preserve"> has</w:t>
      </w:r>
      <w:r w:rsidRPr="00080CEC">
        <w:rPr>
          <w:rFonts w:cs="Arial"/>
        </w:rPr>
        <w:t xml:space="preserve"> </w:t>
      </w:r>
      <w:r>
        <w:rPr>
          <w:rFonts w:cs="Arial"/>
        </w:rPr>
        <w:t xml:space="preserve">received a total of </w:t>
      </w:r>
      <w:r w:rsidR="005F026F">
        <w:rPr>
          <w:rFonts w:cs="Arial"/>
        </w:rPr>
        <w:t>82</w:t>
      </w:r>
      <w:r w:rsidR="00A81205">
        <w:rPr>
          <w:rFonts w:cs="Arial"/>
        </w:rPr>
        <w:t>4</w:t>
      </w:r>
      <w:r w:rsidRPr="00957219">
        <w:rPr>
          <w:rFonts w:cs="Arial"/>
        </w:rPr>
        <w:t xml:space="preserve"> </w:t>
      </w:r>
      <w:r>
        <w:rPr>
          <w:rFonts w:cs="Arial"/>
          <w:color w:val="000000"/>
          <w:lang w:eastAsia="en-AU"/>
        </w:rPr>
        <w:t>cases</w:t>
      </w:r>
      <w:r>
        <w:rPr>
          <w:rFonts w:cs="Arial"/>
        </w:rPr>
        <w:t>, comprising:</w:t>
      </w:r>
    </w:p>
    <w:p w14:paraId="234E5748" w14:textId="3F665749" w:rsidR="000274D3" w:rsidRPr="001D6743" w:rsidRDefault="000274D3" w:rsidP="000274D3">
      <w:pPr>
        <w:pStyle w:val="ListParagraph"/>
        <w:numPr>
          <w:ilvl w:val="0"/>
          <w:numId w:val="16"/>
        </w:numPr>
        <w:autoSpaceDE w:val="0"/>
        <w:autoSpaceDN w:val="0"/>
        <w:adjustRightInd w:val="0"/>
        <w:spacing w:line="264" w:lineRule="auto"/>
        <w:rPr>
          <w:rFonts w:cs="Arial"/>
          <w:color w:val="000000"/>
          <w:lang w:eastAsia="en-AU"/>
        </w:rPr>
      </w:pPr>
      <w:r w:rsidRPr="001D6743">
        <w:rPr>
          <w:rFonts w:cs="Arial"/>
          <w:color w:val="000000"/>
          <w:lang w:eastAsia="en-AU"/>
        </w:rPr>
        <w:t xml:space="preserve">430 </w:t>
      </w:r>
      <w:r w:rsidRPr="001D6743">
        <w:rPr>
          <w:rFonts w:cs="Arial"/>
        </w:rPr>
        <w:t>cases</w:t>
      </w:r>
      <w:r w:rsidRPr="001D6743">
        <w:rPr>
          <w:rFonts w:cs="Arial"/>
          <w:color w:val="000000"/>
          <w:lang w:eastAsia="en-AU"/>
        </w:rPr>
        <w:t xml:space="preserve"> </w:t>
      </w:r>
      <w:r w:rsidR="00E65E18">
        <w:rPr>
          <w:rFonts w:cs="Arial"/>
          <w:color w:val="000000"/>
          <w:lang w:eastAsia="en-AU"/>
        </w:rPr>
        <w:t>about</w:t>
      </w:r>
      <w:r w:rsidRPr="001D6743">
        <w:rPr>
          <w:rFonts w:cs="Arial"/>
          <w:color w:val="000000"/>
          <w:lang w:eastAsia="en-AU"/>
        </w:rPr>
        <w:t xml:space="preserve"> </w:t>
      </w:r>
      <w:r w:rsidRPr="00F84929">
        <w:rPr>
          <w:rFonts w:cs="Arial"/>
          <w:color w:val="000000"/>
          <w:lang w:eastAsia="en-AU"/>
        </w:rPr>
        <w:t>7</w:t>
      </w:r>
      <w:r w:rsidRPr="001D6743">
        <w:rPr>
          <w:rFonts w:cs="Arial"/>
          <w:color w:val="000000"/>
          <w:lang w:eastAsia="en-AU"/>
        </w:rPr>
        <w:t>5 proposed wind farms</w:t>
      </w:r>
    </w:p>
    <w:p w14:paraId="1C4C0195" w14:textId="542F5540" w:rsidR="005A6468" w:rsidRPr="001D6743" w:rsidRDefault="00271822" w:rsidP="005A6468">
      <w:pPr>
        <w:pStyle w:val="ListParagraph"/>
        <w:numPr>
          <w:ilvl w:val="0"/>
          <w:numId w:val="16"/>
        </w:numPr>
        <w:spacing w:line="264" w:lineRule="auto"/>
        <w:rPr>
          <w:rFonts w:cs="Arial"/>
        </w:rPr>
      </w:pPr>
      <w:r w:rsidRPr="001D6743">
        <w:rPr>
          <w:rFonts w:cs="Arial"/>
        </w:rPr>
        <w:t>15</w:t>
      </w:r>
      <w:r w:rsidR="00A81205" w:rsidRPr="001D6743">
        <w:rPr>
          <w:rFonts w:cs="Arial"/>
        </w:rPr>
        <w:t>5</w:t>
      </w:r>
      <w:r w:rsidR="005A6468" w:rsidRPr="001D6743">
        <w:rPr>
          <w:rFonts w:cs="Arial"/>
        </w:rPr>
        <w:t xml:space="preserve"> cases </w:t>
      </w:r>
      <w:r w:rsidR="00E65E18">
        <w:rPr>
          <w:rFonts w:cs="Arial"/>
        </w:rPr>
        <w:t>about</w:t>
      </w:r>
      <w:r w:rsidR="005A6468" w:rsidRPr="001D6743">
        <w:rPr>
          <w:rFonts w:cs="Arial"/>
        </w:rPr>
        <w:t xml:space="preserve"> </w:t>
      </w:r>
      <w:r w:rsidR="00747A50" w:rsidRPr="001D6743">
        <w:rPr>
          <w:rFonts w:cs="Arial"/>
        </w:rPr>
        <w:t>five</w:t>
      </w:r>
      <w:r w:rsidR="005A6468" w:rsidRPr="001D6743">
        <w:rPr>
          <w:rFonts w:cs="Arial"/>
        </w:rPr>
        <w:t xml:space="preserve"> </w:t>
      </w:r>
      <w:bookmarkStart w:id="26" w:name="_Hlk124935927"/>
      <w:r w:rsidR="005A6468" w:rsidRPr="001D6743">
        <w:rPr>
          <w:rFonts w:cs="Arial"/>
        </w:rPr>
        <w:t>proposed large-scale transmission projects</w:t>
      </w:r>
      <w:bookmarkEnd w:id="26"/>
    </w:p>
    <w:p w14:paraId="696E5433" w14:textId="77777777" w:rsidR="000274D3" w:rsidRPr="001D6743" w:rsidRDefault="000274D3" w:rsidP="000274D3">
      <w:pPr>
        <w:pStyle w:val="ListParagraph"/>
        <w:numPr>
          <w:ilvl w:val="0"/>
          <w:numId w:val="16"/>
        </w:numPr>
        <w:autoSpaceDE w:val="0"/>
        <w:autoSpaceDN w:val="0"/>
        <w:adjustRightInd w:val="0"/>
        <w:spacing w:line="264" w:lineRule="auto"/>
        <w:rPr>
          <w:rFonts w:cs="Arial"/>
          <w:color w:val="000000"/>
          <w:lang w:eastAsia="en-AU"/>
        </w:rPr>
      </w:pPr>
      <w:r w:rsidRPr="001D6743">
        <w:rPr>
          <w:rFonts w:cs="Arial"/>
          <w:color w:val="000000"/>
          <w:lang w:eastAsia="en-AU"/>
        </w:rPr>
        <w:t xml:space="preserve">123 </w:t>
      </w:r>
      <w:r w:rsidRPr="001D6743">
        <w:rPr>
          <w:rFonts w:cs="Arial"/>
        </w:rPr>
        <w:t>cases</w:t>
      </w:r>
      <w:r w:rsidRPr="001D6743">
        <w:rPr>
          <w:rFonts w:cs="Arial"/>
          <w:color w:val="000000"/>
          <w:lang w:eastAsia="en-AU"/>
        </w:rPr>
        <w:t xml:space="preserve"> that did not specify a particular project or development</w:t>
      </w:r>
    </w:p>
    <w:p w14:paraId="2AE57444" w14:textId="36E647E6" w:rsidR="005A6468" w:rsidRPr="001D6743" w:rsidRDefault="00271822" w:rsidP="005A6468">
      <w:pPr>
        <w:pStyle w:val="ListParagraph"/>
        <w:numPr>
          <w:ilvl w:val="0"/>
          <w:numId w:val="16"/>
        </w:numPr>
        <w:spacing w:line="264" w:lineRule="auto"/>
        <w:rPr>
          <w:rFonts w:cs="Arial"/>
        </w:rPr>
      </w:pPr>
      <w:r w:rsidRPr="001D6743">
        <w:rPr>
          <w:rFonts w:cs="Arial"/>
          <w:color w:val="000000"/>
          <w:lang w:eastAsia="en-AU"/>
        </w:rPr>
        <w:t>97</w:t>
      </w:r>
      <w:r w:rsidR="005A6468" w:rsidRPr="001D6743">
        <w:rPr>
          <w:rFonts w:cs="Arial"/>
          <w:color w:val="000000"/>
          <w:lang w:eastAsia="en-AU"/>
        </w:rPr>
        <w:t xml:space="preserve"> </w:t>
      </w:r>
      <w:r w:rsidR="005A6468" w:rsidRPr="001D6743">
        <w:rPr>
          <w:rFonts w:cs="Arial"/>
        </w:rPr>
        <w:t>cases</w:t>
      </w:r>
      <w:r w:rsidR="005A6468" w:rsidRPr="001D6743">
        <w:rPr>
          <w:rFonts w:cs="Arial"/>
          <w:color w:val="000000"/>
          <w:lang w:eastAsia="en-AU"/>
        </w:rPr>
        <w:t xml:space="preserve"> </w:t>
      </w:r>
      <w:r w:rsidR="00E65E18">
        <w:rPr>
          <w:rFonts w:cs="Arial"/>
          <w:color w:val="000000"/>
          <w:lang w:eastAsia="en-AU"/>
        </w:rPr>
        <w:t>about</w:t>
      </w:r>
      <w:r w:rsidR="005A6468" w:rsidRPr="001D6743">
        <w:rPr>
          <w:rFonts w:cs="Arial"/>
          <w:color w:val="000000"/>
          <w:lang w:eastAsia="en-AU"/>
        </w:rPr>
        <w:t xml:space="preserve"> </w:t>
      </w:r>
      <w:r w:rsidR="0069278A" w:rsidRPr="001D6743">
        <w:rPr>
          <w:rFonts w:cs="Arial"/>
          <w:color w:val="000000"/>
          <w:lang w:eastAsia="en-AU"/>
        </w:rPr>
        <w:t>23</w:t>
      </w:r>
      <w:r w:rsidR="005A6468" w:rsidRPr="001D6743">
        <w:rPr>
          <w:rFonts w:cs="Arial"/>
          <w:color w:val="000000"/>
          <w:lang w:eastAsia="en-AU"/>
        </w:rPr>
        <w:t xml:space="preserve"> operating wind farms</w:t>
      </w:r>
    </w:p>
    <w:p w14:paraId="58669BF2" w14:textId="3B611F9E" w:rsidR="005F026F" w:rsidRPr="001D6743" w:rsidRDefault="005F026F" w:rsidP="005A6468">
      <w:pPr>
        <w:pStyle w:val="ListParagraph"/>
        <w:numPr>
          <w:ilvl w:val="0"/>
          <w:numId w:val="16"/>
        </w:numPr>
        <w:autoSpaceDE w:val="0"/>
        <w:autoSpaceDN w:val="0"/>
        <w:adjustRightInd w:val="0"/>
        <w:spacing w:line="264" w:lineRule="auto"/>
        <w:rPr>
          <w:rFonts w:cs="Arial"/>
          <w:color w:val="000000"/>
          <w:lang w:eastAsia="en-AU"/>
        </w:rPr>
      </w:pPr>
      <w:r w:rsidRPr="001D6743">
        <w:rPr>
          <w:rFonts w:cs="Arial"/>
          <w:color w:val="000000"/>
          <w:lang w:eastAsia="en-AU"/>
        </w:rPr>
        <w:t>17</w:t>
      </w:r>
      <w:r w:rsidR="005A6468" w:rsidRPr="001D6743">
        <w:rPr>
          <w:rFonts w:cs="Arial"/>
          <w:color w:val="000000"/>
          <w:lang w:eastAsia="en-AU"/>
        </w:rPr>
        <w:t xml:space="preserve"> </w:t>
      </w:r>
      <w:r w:rsidR="005A6468" w:rsidRPr="001D6743">
        <w:rPr>
          <w:rFonts w:cs="Arial"/>
        </w:rPr>
        <w:t>cases</w:t>
      </w:r>
      <w:r w:rsidR="005A6468" w:rsidRPr="001D6743">
        <w:rPr>
          <w:rFonts w:cs="Arial"/>
          <w:color w:val="000000"/>
          <w:lang w:eastAsia="en-AU"/>
        </w:rPr>
        <w:t xml:space="preserve"> </w:t>
      </w:r>
      <w:r w:rsidR="00E65E18">
        <w:rPr>
          <w:rFonts w:cs="Arial"/>
          <w:color w:val="000000"/>
          <w:lang w:eastAsia="en-AU"/>
        </w:rPr>
        <w:t>about</w:t>
      </w:r>
      <w:r w:rsidR="005A6468" w:rsidRPr="001D6743">
        <w:rPr>
          <w:rFonts w:cs="Arial"/>
          <w:color w:val="000000"/>
          <w:lang w:eastAsia="en-AU"/>
        </w:rPr>
        <w:t xml:space="preserve"> </w:t>
      </w:r>
      <w:r w:rsidR="005A6468" w:rsidRPr="00F84929">
        <w:rPr>
          <w:rFonts w:cs="Arial"/>
          <w:color w:val="000000"/>
          <w:lang w:eastAsia="en-AU"/>
        </w:rPr>
        <w:t>1</w:t>
      </w:r>
      <w:r w:rsidRPr="00F84929">
        <w:rPr>
          <w:rFonts w:cs="Arial"/>
          <w:color w:val="000000"/>
          <w:lang w:eastAsia="en-AU"/>
        </w:rPr>
        <w:t>2</w:t>
      </w:r>
      <w:r w:rsidR="005A6468" w:rsidRPr="001D6743">
        <w:rPr>
          <w:rFonts w:cs="Arial"/>
          <w:color w:val="000000"/>
          <w:lang w:eastAsia="en-AU"/>
        </w:rPr>
        <w:t xml:space="preserve"> proposed solar farms</w:t>
      </w:r>
    </w:p>
    <w:p w14:paraId="7D586CB8" w14:textId="1806BACE" w:rsidR="005A6468" w:rsidRPr="001D6743" w:rsidRDefault="005F026F" w:rsidP="005A6468">
      <w:pPr>
        <w:pStyle w:val="ListParagraph"/>
        <w:numPr>
          <w:ilvl w:val="0"/>
          <w:numId w:val="16"/>
        </w:numPr>
        <w:autoSpaceDE w:val="0"/>
        <w:autoSpaceDN w:val="0"/>
        <w:adjustRightInd w:val="0"/>
        <w:spacing w:line="264" w:lineRule="auto"/>
        <w:rPr>
          <w:rFonts w:cs="Arial"/>
          <w:color w:val="000000"/>
          <w:lang w:eastAsia="en-AU"/>
        </w:rPr>
      </w:pPr>
      <w:r w:rsidRPr="001D6743">
        <w:rPr>
          <w:rFonts w:cs="Arial"/>
          <w:color w:val="000000"/>
          <w:lang w:eastAsia="en-AU"/>
        </w:rPr>
        <w:t xml:space="preserve">two </w:t>
      </w:r>
      <w:r w:rsidRPr="001D6743">
        <w:rPr>
          <w:rFonts w:cs="Arial"/>
        </w:rPr>
        <w:t>cases</w:t>
      </w:r>
      <w:r w:rsidRPr="001D6743">
        <w:rPr>
          <w:rFonts w:cs="Arial"/>
          <w:color w:val="000000"/>
          <w:lang w:eastAsia="en-AU"/>
        </w:rPr>
        <w:t xml:space="preserve"> </w:t>
      </w:r>
      <w:r w:rsidR="00E65E18">
        <w:rPr>
          <w:rFonts w:cs="Arial"/>
          <w:color w:val="000000"/>
          <w:lang w:eastAsia="en-AU"/>
        </w:rPr>
        <w:t>about</w:t>
      </w:r>
      <w:r w:rsidRPr="001D6743">
        <w:rPr>
          <w:rFonts w:cs="Arial"/>
          <w:color w:val="000000"/>
          <w:lang w:eastAsia="en-AU"/>
        </w:rPr>
        <w:t xml:space="preserve"> one proposed pumped hydro storage facility</w:t>
      </w:r>
    </w:p>
    <w:p w14:paraId="4345A270" w14:textId="57F3D1BA" w:rsidR="005A6468" w:rsidRPr="001D6743" w:rsidRDefault="005A6468" w:rsidP="005A6468">
      <w:pPr>
        <w:autoSpaceDE w:val="0"/>
        <w:autoSpaceDN w:val="0"/>
        <w:adjustRightInd w:val="0"/>
        <w:spacing w:line="264" w:lineRule="auto"/>
        <w:rPr>
          <w:rFonts w:cs="Arial"/>
          <w:color w:val="000000"/>
          <w:lang w:eastAsia="en-AU"/>
        </w:rPr>
      </w:pPr>
      <w:r w:rsidRPr="001D6743">
        <w:rPr>
          <w:rFonts w:cs="Arial"/>
          <w:color w:val="000000"/>
          <w:lang w:eastAsia="en-AU"/>
        </w:rPr>
        <w:t xml:space="preserve">Of </w:t>
      </w:r>
      <w:r w:rsidR="00E65E18">
        <w:rPr>
          <w:rFonts w:cs="Arial"/>
          <w:color w:val="000000"/>
          <w:lang w:eastAsia="en-AU"/>
        </w:rPr>
        <w:t>the</w:t>
      </w:r>
      <w:r w:rsidR="00E65E18" w:rsidRPr="001D6743">
        <w:rPr>
          <w:rFonts w:cs="Arial"/>
          <w:color w:val="000000"/>
          <w:lang w:eastAsia="en-AU"/>
        </w:rPr>
        <w:t xml:space="preserve"> </w:t>
      </w:r>
      <w:r w:rsidR="0069278A" w:rsidRPr="001D6743">
        <w:rPr>
          <w:rFonts w:cs="Arial"/>
        </w:rPr>
        <w:t>82</w:t>
      </w:r>
      <w:r w:rsidR="00A81205" w:rsidRPr="001D6743">
        <w:rPr>
          <w:rFonts w:cs="Arial"/>
        </w:rPr>
        <w:t>4</w:t>
      </w:r>
      <w:r w:rsidRPr="001D6743">
        <w:rPr>
          <w:rFonts w:cs="Arial"/>
          <w:color w:val="000000"/>
          <w:lang w:eastAsia="en-AU"/>
        </w:rPr>
        <w:t xml:space="preserve"> cases, </w:t>
      </w:r>
      <w:r w:rsidR="0069278A" w:rsidRPr="00F84929">
        <w:rPr>
          <w:rFonts w:cs="Arial"/>
          <w:color w:val="000000"/>
          <w:lang w:eastAsia="en-AU"/>
        </w:rPr>
        <w:t>80</w:t>
      </w:r>
      <w:r w:rsidR="00C85E0E" w:rsidRPr="00F84929">
        <w:rPr>
          <w:rFonts w:cs="Arial"/>
          <w:color w:val="000000"/>
          <w:lang w:eastAsia="en-AU"/>
        </w:rPr>
        <w:t>3</w:t>
      </w:r>
      <w:r w:rsidRPr="001D6743">
        <w:rPr>
          <w:rFonts w:cs="Arial"/>
          <w:color w:val="000000"/>
          <w:lang w:eastAsia="en-AU"/>
        </w:rPr>
        <w:t xml:space="preserve"> cases </w:t>
      </w:r>
      <w:r w:rsidR="00233CA3" w:rsidRPr="001D6743">
        <w:rPr>
          <w:rFonts w:cs="Arial"/>
          <w:color w:val="000000"/>
          <w:lang w:eastAsia="en-AU"/>
        </w:rPr>
        <w:t xml:space="preserve">had </w:t>
      </w:r>
      <w:r w:rsidRPr="001D6743">
        <w:rPr>
          <w:rFonts w:cs="Arial"/>
          <w:color w:val="000000"/>
          <w:lang w:eastAsia="en-AU"/>
        </w:rPr>
        <w:t>been closed</w:t>
      </w:r>
      <w:r w:rsidR="00E65E18">
        <w:rPr>
          <w:rFonts w:cs="Arial"/>
          <w:color w:val="000000"/>
          <w:lang w:eastAsia="en-AU"/>
        </w:rPr>
        <w:t xml:space="preserve"> </w:t>
      </w:r>
      <w:r w:rsidR="006E499A">
        <w:rPr>
          <w:rFonts w:cs="Arial"/>
          <w:color w:val="000000"/>
          <w:lang w:eastAsia="en-AU"/>
        </w:rPr>
        <w:t xml:space="preserve">as </w:t>
      </w:r>
      <w:r w:rsidR="006E499A" w:rsidRPr="001D6743">
        <w:rPr>
          <w:rFonts w:cs="Arial"/>
          <w:color w:val="000000"/>
          <w:lang w:eastAsia="en-AU"/>
        </w:rPr>
        <w:t>of</w:t>
      </w:r>
      <w:r w:rsidR="00E65E18" w:rsidRPr="001D6743">
        <w:rPr>
          <w:rFonts w:cs="Arial"/>
          <w:color w:val="000000"/>
          <w:lang w:eastAsia="en-AU"/>
        </w:rPr>
        <w:t xml:space="preserve"> 31 December 2022</w:t>
      </w:r>
      <w:r w:rsidRPr="001D6743">
        <w:rPr>
          <w:rFonts w:cs="Arial"/>
          <w:color w:val="000000"/>
          <w:lang w:eastAsia="en-AU"/>
        </w:rPr>
        <w:t xml:space="preserve">. The remaining </w:t>
      </w:r>
      <w:r w:rsidR="00F6119E" w:rsidRPr="00F84929">
        <w:rPr>
          <w:rFonts w:cs="Arial"/>
          <w:color w:val="000000"/>
          <w:lang w:eastAsia="en-AU"/>
        </w:rPr>
        <w:t>21</w:t>
      </w:r>
      <w:r w:rsidRPr="001D6743">
        <w:rPr>
          <w:rFonts w:cs="Arial"/>
          <w:color w:val="000000"/>
          <w:lang w:eastAsia="en-AU"/>
        </w:rPr>
        <w:t xml:space="preserve"> cases were at various stages of the complaint handling process.</w:t>
      </w:r>
    </w:p>
    <w:p w14:paraId="7AF38446" w14:textId="071EB00A" w:rsidR="00FE671A" w:rsidRDefault="005A6468" w:rsidP="005A6468">
      <w:pPr>
        <w:spacing w:line="264" w:lineRule="auto"/>
        <w:rPr>
          <w:rFonts w:cs="Arial"/>
        </w:rPr>
      </w:pPr>
      <w:r w:rsidRPr="001D6743">
        <w:rPr>
          <w:rFonts w:cs="Arial"/>
          <w:b/>
        </w:rPr>
        <w:t xml:space="preserve">Figure </w:t>
      </w:r>
      <w:r w:rsidR="00050479" w:rsidRPr="001D6743">
        <w:rPr>
          <w:rFonts w:cs="Arial"/>
          <w:b/>
        </w:rPr>
        <w:t>5</w:t>
      </w:r>
      <w:r w:rsidR="00237A82" w:rsidRPr="001D6743">
        <w:rPr>
          <w:rFonts w:cs="Arial"/>
          <w:b/>
        </w:rPr>
        <w:t xml:space="preserve"> </w:t>
      </w:r>
      <w:r w:rsidR="00A37DF2" w:rsidRPr="001D6743">
        <w:rPr>
          <w:rFonts w:cs="Arial"/>
          <w:color w:val="000000"/>
        </w:rPr>
        <w:t>shows</w:t>
      </w:r>
      <w:r w:rsidR="00237A82" w:rsidRPr="001D6743">
        <w:rPr>
          <w:rFonts w:cs="Arial"/>
          <w:color w:val="000000"/>
        </w:rPr>
        <w:t xml:space="preserve"> the </w:t>
      </w:r>
      <w:r w:rsidR="00237A82" w:rsidRPr="001D6743">
        <w:rPr>
          <w:rFonts w:cs="Arial"/>
        </w:rPr>
        <w:t>number of cases the Office has received each calendar year since the commencement of the Commissioner’s role in November 2015</w:t>
      </w:r>
      <w:r w:rsidR="00396D94" w:rsidRPr="001D6743">
        <w:rPr>
          <w:rFonts w:cs="Arial"/>
        </w:rPr>
        <w:t>.</w:t>
      </w:r>
    </w:p>
    <w:p w14:paraId="1C4D0A98" w14:textId="2925327E" w:rsidR="004B7B74" w:rsidRDefault="00C25F23" w:rsidP="004B7B74">
      <w:pPr>
        <w:spacing w:line="264" w:lineRule="auto"/>
        <w:rPr>
          <w:rFonts w:cs="Arial"/>
          <w:b/>
        </w:rPr>
      </w:pPr>
      <w:r>
        <w:rPr>
          <w:noProof/>
        </w:rPr>
        <w:drawing>
          <wp:inline distT="0" distB="0" distL="0" distR="0" wp14:anchorId="605DAF33" wp14:editId="0D68AEA6">
            <wp:extent cx="6506845" cy="2448000"/>
            <wp:effectExtent l="0" t="0" r="8255" b="9525"/>
            <wp:docPr id="11" name="Chart 11" descr="Figure 5: Total Numberof Cases opened each year from 2015 to 2022.&#10;2015/2016: 91&#10;2017: 72&#10;2018: 123&#10;2019: 75&#10;2020: 164&#10;2021: 212&#10;2022: 87">
              <a:extLst xmlns:a="http://schemas.openxmlformats.org/drawingml/2006/main">
                <a:ext uri="{FF2B5EF4-FFF2-40B4-BE49-F238E27FC236}">
                  <a16:creationId xmlns:a16="http://schemas.microsoft.com/office/drawing/2014/main" id="{1548269B-E0DF-49C1-80EE-B0D90451B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B7B74" w:rsidRPr="00EB3D5A">
        <w:rPr>
          <w:rFonts w:cs="Arial"/>
          <w:i/>
          <w:sz w:val="16"/>
          <w:szCs w:val="16"/>
        </w:rPr>
        <w:t xml:space="preserve">*2015-16 – refers to </w:t>
      </w:r>
      <w:r w:rsidR="004B7B74">
        <w:rPr>
          <w:rFonts w:cs="Arial"/>
          <w:i/>
          <w:sz w:val="16"/>
          <w:szCs w:val="16"/>
        </w:rPr>
        <w:t>case volumes from</w:t>
      </w:r>
      <w:r w:rsidR="004B7B74" w:rsidRPr="00EB3D5A">
        <w:rPr>
          <w:rFonts w:cs="Arial"/>
          <w:i/>
          <w:sz w:val="16"/>
          <w:szCs w:val="16"/>
        </w:rPr>
        <w:t xml:space="preserve"> inception of the Office on 1 November 2015 </w:t>
      </w:r>
      <w:r w:rsidR="004B7B74">
        <w:rPr>
          <w:rFonts w:cs="Arial"/>
          <w:i/>
          <w:sz w:val="16"/>
          <w:szCs w:val="16"/>
        </w:rPr>
        <w:t>through</w:t>
      </w:r>
      <w:r w:rsidR="004B7B74" w:rsidRPr="00EB3D5A">
        <w:rPr>
          <w:rFonts w:cs="Arial"/>
          <w:i/>
          <w:sz w:val="16"/>
          <w:szCs w:val="16"/>
        </w:rPr>
        <w:t xml:space="preserve"> 31 December 2016</w:t>
      </w:r>
    </w:p>
    <w:p w14:paraId="5F479549" w14:textId="45F290BD" w:rsidR="004B7B74" w:rsidRDefault="004B7B74" w:rsidP="004B7B74">
      <w:pPr>
        <w:spacing w:line="264" w:lineRule="auto"/>
        <w:rPr>
          <w:rFonts w:cs="Arial"/>
        </w:rPr>
      </w:pPr>
      <w:r w:rsidRPr="001D6743">
        <w:rPr>
          <w:rFonts w:cs="Arial"/>
          <w:b/>
        </w:rPr>
        <w:t xml:space="preserve">Figure </w:t>
      </w:r>
      <w:r>
        <w:rPr>
          <w:rFonts w:cs="Arial"/>
          <w:b/>
        </w:rPr>
        <w:t>6</w:t>
      </w:r>
      <w:r w:rsidRPr="001D6743">
        <w:rPr>
          <w:rFonts w:cs="Arial"/>
          <w:b/>
        </w:rPr>
        <w:t xml:space="preserve"> </w:t>
      </w:r>
      <w:r w:rsidRPr="001D6743">
        <w:rPr>
          <w:rFonts w:cs="Arial"/>
          <w:color w:val="000000"/>
        </w:rPr>
        <w:t xml:space="preserve">shows the </w:t>
      </w:r>
      <w:r w:rsidRPr="001D6743">
        <w:rPr>
          <w:rFonts w:cs="Arial"/>
        </w:rPr>
        <w:t xml:space="preserve">number of cases the Office has </w:t>
      </w:r>
      <w:r w:rsidR="0014077D">
        <w:rPr>
          <w:rFonts w:cs="Arial"/>
        </w:rPr>
        <w:t>closed</w:t>
      </w:r>
      <w:r>
        <w:rPr>
          <w:rFonts w:cs="Arial"/>
        </w:rPr>
        <w:t xml:space="preserve"> </w:t>
      </w:r>
      <w:r w:rsidRPr="001D6743">
        <w:rPr>
          <w:rFonts w:cs="Arial"/>
        </w:rPr>
        <w:t>each calendar year since the commencement of the Commissioner’s role in November 2015.</w:t>
      </w:r>
    </w:p>
    <w:p w14:paraId="6F07F498" w14:textId="40416DFC" w:rsidR="001925A4" w:rsidRDefault="001925A4" w:rsidP="00315A91">
      <w:pPr>
        <w:spacing w:before="240" w:line="264" w:lineRule="auto"/>
        <w:rPr>
          <w:rFonts w:eastAsia="Times New Roman" w:cs="Arial"/>
          <w:b/>
        </w:rPr>
      </w:pPr>
      <w:r>
        <w:rPr>
          <w:noProof/>
        </w:rPr>
        <w:drawing>
          <wp:inline distT="0" distB="0" distL="0" distR="0" wp14:anchorId="638DCF55" wp14:editId="4F212564">
            <wp:extent cx="6506845" cy="2448000"/>
            <wp:effectExtent l="0" t="0" r="8255" b="9525"/>
            <wp:docPr id="3" name="Chart 3" descr="Figure 6: Total number of cases closed per year from 2015 to 2022.&#10;2015/2016: 68&#10;2017: 77&#10;2018: 122&#10;2019: 80&#10;2020: 151&#10;2021: 167&#10;2022: 138">
              <a:extLst xmlns:a="http://schemas.openxmlformats.org/drawingml/2006/main">
                <a:ext uri="{FF2B5EF4-FFF2-40B4-BE49-F238E27FC236}">
                  <a16:creationId xmlns:a16="http://schemas.microsoft.com/office/drawing/2014/main" id="{1548269B-E0DF-49C1-80EE-B0D90451B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B7B74" w:rsidRPr="00EB3D5A">
        <w:rPr>
          <w:rFonts w:cs="Arial"/>
          <w:i/>
          <w:sz w:val="16"/>
          <w:szCs w:val="16"/>
        </w:rPr>
        <w:t xml:space="preserve">*2015-16 – refers to </w:t>
      </w:r>
      <w:r w:rsidR="004B7B74">
        <w:rPr>
          <w:rFonts w:cs="Arial"/>
          <w:i/>
          <w:sz w:val="16"/>
          <w:szCs w:val="16"/>
        </w:rPr>
        <w:t>case volumes from</w:t>
      </w:r>
      <w:r w:rsidR="004B7B74" w:rsidRPr="00EB3D5A">
        <w:rPr>
          <w:rFonts w:cs="Arial"/>
          <w:i/>
          <w:sz w:val="16"/>
          <w:szCs w:val="16"/>
        </w:rPr>
        <w:t xml:space="preserve"> inception of the Office on 1 November 2015 </w:t>
      </w:r>
      <w:r w:rsidR="004B7B74">
        <w:rPr>
          <w:rFonts w:cs="Arial"/>
          <w:i/>
          <w:sz w:val="16"/>
          <w:szCs w:val="16"/>
        </w:rPr>
        <w:t>through</w:t>
      </w:r>
      <w:r w:rsidR="004B7B74" w:rsidRPr="00EB3D5A">
        <w:rPr>
          <w:rFonts w:cs="Arial"/>
          <w:i/>
          <w:sz w:val="16"/>
          <w:szCs w:val="16"/>
        </w:rPr>
        <w:t xml:space="preserve"> 31 December 2016</w:t>
      </w:r>
    </w:p>
    <w:p w14:paraId="1A9170C3" w14:textId="64B21D19" w:rsidR="00602D53" w:rsidRPr="00210156" w:rsidRDefault="00602D53" w:rsidP="00315A91">
      <w:pPr>
        <w:spacing w:before="240" w:line="264" w:lineRule="auto"/>
        <w:rPr>
          <w:rFonts w:eastAsia="Times New Roman" w:cs="Arial"/>
        </w:rPr>
      </w:pPr>
      <w:r w:rsidRPr="009225EA">
        <w:rPr>
          <w:rFonts w:eastAsia="Times New Roman" w:cs="Arial"/>
          <w:b/>
        </w:rPr>
        <w:lastRenderedPageBreak/>
        <w:t xml:space="preserve">Figure </w:t>
      </w:r>
      <w:r w:rsidR="004B7B74">
        <w:rPr>
          <w:rFonts w:eastAsia="Times New Roman" w:cs="Arial"/>
          <w:b/>
        </w:rPr>
        <w:t>7</w:t>
      </w:r>
      <w:r w:rsidRPr="009225EA">
        <w:rPr>
          <w:rFonts w:eastAsia="Times New Roman" w:cs="Arial"/>
        </w:rPr>
        <w:t xml:space="preserve"> shows </w:t>
      </w:r>
      <w:r w:rsidR="00E42A5A">
        <w:rPr>
          <w:rFonts w:eastAsia="Times New Roman" w:cs="Arial"/>
        </w:rPr>
        <w:t xml:space="preserve">the total </w:t>
      </w:r>
      <w:r w:rsidRPr="009225EA">
        <w:rPr>
          <w:rFonts w:eastAsia="Times New Roman" w:cs="Arial"/>
        </w:rPr>
        <w:t>cases received</w:t>
      </w:r>
      <w:r w:rsidR="00E42A5A">
        <w:rPr>
          <w:rFonts w:eastAsia="Times New Roman" w:cs="Arial"/>
        </w:rPr>
        <w:t xml:space="preserve"> </w:t>
      </w:r>
      <w:r w:rsidRPr="009225EA">
        <w:rPr>
          <w:rFonts w:eastAsia="Times New Roman" w:cs="Arial"/>
        </w:rPr>
        <w:t xml:space="preserve">by project type and </w:t>
      </w:r>
      <w:r w:rsidR="001D6743" w:rsidRPr="009225EA">
        <w:rPr>
          <w:rFonts w:eastAsia="Times New Roman" w:cs="Arial"/>
        </w:rPr>
        <w:t>stage</w:t>
      </w:r>
      <w:r w:rsidR="00596C61">
        <w:rPr>
          <w:rFonts w:eastAsia="Times New Roman" w:cs="Arial"/>
        </w:rPr>
        <w:t>. It ill</w:t>
      </w:r>
      <w:r w:rsidR="00B72962">
        <w:rPr>
          <w:rFonts w:eastAsia="Times New Roman" w:cs="Arial"/>
        </w:rPr>
        <w:t xml:space="preserve">ustrates </w:t>
      </w:r>
      <w:r w:rsidRPr="009225EA">
        <w:rPr>
          <w:rFonts w:eastAsia="Times New Roman" w:cs="Arial"/>
        </w:rPr>
        <w:t xml:space="preserve">the </w:t>
      </w:r>
      <w:r w:rsidR="004110B8">
        <w:rPr>
          <w:rFonts w:eastAsia="Times New Roman" w:cs="Arial"/>
        </w:rPr>
        <w:t xml:space="preserve">ongoing </w:t>
      </w:r>
      <w:r w:rsidRPr="009225EA">
        <w:rPr>
          <w:rFonts w:eastAsia="Times New Roman" w:cs="Arial"/>
        </w:rPr>
        <w:t xml:space="preserve">trend </w:t>
      </w:r>
      <w:r w:rsidRPr="009225EA">
        <w:rPr>
          <w:rFonts w:cs="Arial"/>
        </w:rPr>
        <w:t xml:space="preserve">of </w:t>
      </w:r>
      <w:r w:rsidR="004110B8">
        <w:rPr>
          <w:rFonts w:cs="Arial"/>
        </w:rPr>
        <w:t>case numbers for proposed projects</w:t>
      </w:r>
      <w:r w:rsidR="00E42A5A">
        <w:rPr>
          <w:rFonts w:cs="Arial"/>
        </w:rPr>
        <w:t xml:space="preserve"> being </w:t>
      </w:r>
      <w:r w:rsidR="00255F6D">
        <w:rPr>
          <w:rFonts w:cs="Arial"/>
        </w:rPr>
        <w:t>far greater</w:t>
      </w:r>
      <w:r w:rsidR="004110B8">
        <w:rPr>
          <w:rFonts w:cs="Arial"/>
        </w:rPr>
        <w:t xml:space="preserve"> than for operating projects</w:t>
      </w:r>
      <w:r w:rsidR="009E103A">
        <w:rPr>
          <w:rFonts w:cs="Arial"/>
        </w:rPr>
        <w:t>.</w:t>
      </w:r>
    </w:p>
    <w:p w14:paraId="14CDEDA2" w14:textId="23DFDA70" w:rsidR="005A6468" w:rsidRDefault="00144D45" w:rsidP="004702A8">
      <w:pPr>
        <w:pStyle w:val="NoSpacing"/>
        <w:rPr>
          <w:rFonts w:cs="Arial"/>
          <w:i/>
          <w:sz w:val="16"/>
          <w:szCs w:val="16"/>
        </w:rPr>
      </w:pPr>
      <w:r>
        <w:rPr>
          <w:noProof/>
        </w:rPr>
        <w:drawing>
          <wp:inline distT="0" distB="0" distL="0" distR="0" wp14:anchorId="5DCBC77D" wp14:editId="5CBD47D5">
            <wp:extent cx="6631305" cy="4029075"/>
            <wp:effectExtent l="0" t="0" r="17145" b="9525"/>
            <wp:docPr id="13" name="Chart 13" descr="Figure 7: total Case by Development Stage per year from 2015 to 2022&#10;&#10; ">
              <a:extLst xmlns:a="http://schemas.openxmlformats.org/drawingml/2006/main">
                <a:ext uri="{FF2B5EF4-FFF2-40B4-BE49-F238E27FC236}">
                  <a16:creationId xmlns:a16="http://schemas.microsoft.com/office/drawing/2014/main" id="{158C30EB-EDCC-4204-AF5F-6A6D0E6A9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A6468" w:rsidRPr="00EB3D5A">
        <w:rPr>
          <w:rFonts w:cs="Arial"/>
          <w:i/>
          <w:sz w:val="16"/>
          <w:szCs w:val="16"/>
        </w:rPr>
        <w:t xml:space="preserve">*2015-16 – refers to </w:t>
      </w:r>
      <w:r w:rsidR="00F01BCB">
        <w:rPr>
          <w:rFonts w:cs="Arial"/>
          <w:i/>
          <w:sz w:val="16"/>
          <w:szCs w:val="16"/>
        </w:rPr>
        <w:t xml:space="preserve">case </w:t>
      </w:r>
      <w:r w:rsidR="001B5110">
        <w:rPr>
          <w:rFonts w:cs="Arial"/>
          <w:i/>
          <w:sz w:val="16"/>
          <w:szCs w:val="16"/>
        </w:rPr>
        <w:t>volumes from</w:t>
      </w:r>
      <w:r w:rsidR="005A6468" w:rsidRPr="00EB3D5A">
        <w:rPr>
          <w:rFonts w:cs="Arial"/>
          <w:i/>
          <w:sz w:val="16"/>
          <w:szCs w:val="16"/>
        </w:rPr>
        <w:t xml:space="preserve"> inception of the Office on 1 November 2015 </w:t>
      </w:r>
      <w:r w:rsidR="001B5110">
        <w:rPr>
          <w:rFonts w:cs="Arial"/>
          <w:i/>
          <w:sz w:val="16"/>
          <w:szCs w:val="16"/>
        </w:rPr>
        <w:t>through</w:t>
      </w:r>
      <w:r w:rsidR="005A6468" w:rsidRPr="00EB3D5A">
        <w:rPr>
          <w:rFonts w:cs="Arial"/>
          <w:i/>
          <w:sz w:val="16"/>
          <w:szCs w:val="16"/>
        </w:rPr>
        <w:t xml:space="preserve"> 31 December 2016</w:t>
      </w:r>
    </w:p>
    <w:p w14:paraId="1A805289" w14:textId="09C45ACF" w:rsidR="00F34F99" w:rsidRDefault="001B4401" w:rsidP="00F34F99">
      <w:pPr>
        <w:spacing w:before="240" w:after="0" w:line="264" w:lineRule="auto"/>
        <w:rPr>
          <w:noProof/>
        </w:rPr>
      </w:pPr>
      <w:r w:rsidRPr="009225EA">
        <w:rPr>
          <w:rFonts w:eastAsia="Times New Roman" w:cs="Arial"/>
          <w:b/>
        </w:rPr>
        <w:t xml:space="preserve">Figure </w:t>
      </w:r>
      <w:r w:rsidR="004B7B74">
        <w:rPr>
          <w:rFonts w:eastAsia="Times New Roman" w:cs="Arial"/>
          <w:b/>
        </w:rPr>
        <w:t>8</w:t>
      </w:r>
      <w:r w:rsidRPr="009225EA">
        <w:rPr>
          <w:rFonts w:eastAsia="Times New Roman" w:cs="Arial"/>
        </w:rPr>
        <w:t xml:space="preserve"> shows the </w:t>
      </w:r>
      <w:r w:rsidR="00E42A5A">
        <w:rPr>
          <w:rFonts w:eastAsia="Times New Roman" w:cs="Arial"/>
        </w:rPr>
        <w:t>total cases</w:t>
      </w:r>
      <w:r w:rsidRPr="009225EA">
        <w:rPr>
          <w:rFonts w:eastAsia="Times New Roman" w:cs="Arial"/>
        </w:rPr>
        <w:t xml:space="preserve"> received </w:t>
      </w:r>
      <w:r>
        <w:rPr>
          <w:rFonts w:eastAsia="Times New Roman" w:cs="Arial"/>
        </w:rPr>
        <w:t xml:space="preserve">from each </w:t>
      </w:r>
      <w:r w:rsidR="00A37DF2">
        <w:rPr>
          <w:rFonts w:eastAsia="Times New Roman" w:cs="Arial"/>
        </w:rPr>
        <w:t>s</w:t>
      </w:r>
      <w:r>
        <w:rPr>
          <w:rFonts w:eastAsia="Times New Roman" w:cs="Arial"/>
        </w:rPr>
        <w:t xml:space="preserve">tate per year since the </w:t>
      </w:r>
      <w:r w:rsidRPr="001B4401">
        <w:rPr>
          <w:rFonts w:eastAsia="Times New Roman" w:cs="Arial"/>
        </w:rPr>
        <w:t>inception of the Office</w:t>
      </w:r>
      <w:r>
        <w:rPr>
          <w:rFonts w:eastAsia="Times New Roman" w:cs="Arial"/>
        </w:rPr>
        <w:t xml:space="preserve"> in November 2015.</w:t>
      </w:r>
      <w:r w:rsidR="00DD32C9" w:rsidRPr="00DD32C9">
        <w:rPr>
          <w:noProof/>
        </w:rPr>
        <w:t xml:space="preserve"> </w:t>
      </w:r>
    </w:p>
    <w:p w14:paraId="7F2C1D59" w14:textId="59D68D1F" w:rsidR="001B4401" w:rsidRPr="00F34F99" w:rsidRDefault="00F46EF5" w:rsidP="00F34F99">
      <w:pPr>
        <w:spacing w:before="240" w:after="0" w:line="264" w:lineRule="auto"/>
        <w:rPr>
          <w:noProof/>
        </w:rPr>
      </w:pPr>
      <w:r>
        <w:rPr>
          <w:noProof/>
        </w:rPr>
        <w:drawing>
          <wp:inline distT="0" distB="0" distL="0" distR="0" wp14:anchorId="16F0D374" wp14:editId="0D6C3940">
            <wp:extent cx="6631305" cy="4000500"/>
            <wp:effectExtent l="0" t="0" r="17145" b="0"/>
            <wp:docPr id="14" name="Chart 14" descr="Figure 8: shows the total Case by state per year from 2015 to 2022&#10;">
              <a:extLst xmlns:a="http://schemas.openxmlformats.org/drawingml/2006/main">
                <a:ext uri="{FF2B5EF4-FFF2-40B4-BE49-F238E27FC236}">
                  <a16:creationId xmlns:a16="http://schemas.microsoft.com/office/drawing/2014/main" id="{83C65F4D-C06F-4F26-86A9-7F2328974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1B4401">
        <w:rPr>
          <w:rFonts w:cs="Arial"/>
          <w:i/>
          <w:sz w:val="16"/>
          <w:szCs w:val="16"/>
        </w:rPr>
        <w:t>*</w:t>
      </w:r>
      <w:r w:rsidR="001B4401" w:rsidRPr="00EB3D5A">
        <w:rPr>
          <w:rFonts w:cs="Arial"/>
          <w:i/>
          <w:sz w:val="16"/>
          <w:szCs w:val="16"/>
        </w:rPr>
        <w:t xml:space="preserve">2015-16 – refers to </w:t>
      </w:r>
      <w:r w:rsidR="001B4401">
        <w:rPr>
          <w:rFonts w:cs="Arial"/>
          <w:i/>
          <w:sz w:val="16"/>
          <w:szCs w:val="16"/>
        </w:rPr>
        <w:t>case volumes from</w:t>
      </w:r>
      <w:r w:rsidR="001B4401" w:rsidRPr="00EB3D5A">
        <w:rPr>
          <w:rFonts w:cs="Arial"/>
          <w:i/>
          <w:sz w:val="16"/>
          <w:szCs w:val="16"/>
        </w:rPr>
        <w:t xml:space="preserve"> inception of the Office on 1 November 2015 </w:t>
      </w:r>
      <w:r w:rsidR="001B4401">
        <w:rPr>
          <w:rFonts w:cs="Arial"/>
          <w:i/>
          <w:sz w:val="16"/>
          <w:szCs w:val="16"/>
        </w:rPr>
        <w:t>through</w:t>
      </w:r>
      <w:r w:rsidR="001B4401" w:rsidRPr="00EB3D5A">
        <w:rPr>
          <w:rFonts w:cs="Arial"/>
          <w:i/>
          <w:sz w:val="16"/>
          <w:szCs w:val="16"/>
        </w:rPr>
        <w:t xml:space="preserve"> 31 December 2016</w:t>
      </w:r>
    </w:p>
    <w:p w14:paraId="271B1A5E" w14:textId="28CE6BD6" w:rsidR="005A6468" w:rsidRPr="003329B0" w:rsidRDefault="000933A0" w:rsidP="00474668">
      <w:pPr>
        <w:pStyle w:val="Heading3"/>
      </w:pPr>
      <w:bookmarkStart w:id="27" w:name="_Toc135390585"/>
      <w:r w:rsidRPr="003329B0">
        <w:lastRenderedPageBreak/>
        <w:t>W</w:t>
      </w:r>
      <w:r w:rsidR="005A6468" w:rsidRPr="003329B0">
        <w:t>ind farms – overview 2015-202</w:t>
      </w:r>
      <w:r w:rsidRPr="003329B0">
        <w:t>2</w:t>
      </w:r>
      <w:bookmarkEnd w:id="27"/>
    </w:p>
    <w:p w14:paraId="6FB30920" w14:textId="4DB5E04E" w:rsidR="00C515C0" w:rsidRPr="00EB3D5A" w:rsidRDefault="005A6468" w:rsidP="005A6468">
      <w:pPr>
        <w:rPr>
          <w:rFonts w:cs="Arial"/>
        </w:rPr>
      </w:pPr>
      <w:r w:rsidRPr="00EB3D5A">
        <w:rPr>
          <w:rFonts w:cs="Arial"/>
          <w:b/>
        </w:rPr>
        <w:t xml:space="preserve">Figure </w:t>
      </w:r>
      <w:r w:rsidR="004B7B74">
        <w:rPr>
          <w:rFonts w:cs="Arial"/>
          <w:b/>
        </w:rPr>
        <w:t>9</w:t>
      </w:r>
      <w:r w:rsidRPr="00EB3D5A">
        <w:rPr>
          <w:rFonts w:cs="Arial"/>
        </w:rPr>
        <w:t xml:space="preserve"> </w:t>
      </w:r>
      <w:r w:rsidR="00E42A5A">
        <w:rPr>
          <w:rFonts w:cs="Arial"/>
        </w:rPr>
        <w:t xml:space="preserve">shows </w:t>
      </w:r>
      <w:r w:rsidRPr="00EB3D5A">
        <w:rPr>
          <w:rFonts w:cs="Arial"/>
        </w:rPr>
        <w:t xml:space="preserve">the </w:t>
      </w:r>
      <w:r w:rsidR="009E103A">
        <w:rPr>
          <w:rFonts w:cs="Arial"/>
        </w:rPr>
        <w:t>total number</w:t>
      </w:r>
      <w:r w:rsidRPr="00EB3D5A">
        <w:rPr>
          <w:rFonts w:cs="Arial"/>
        </w:rPr>
        <w:t xml:space="preserve"> of </w:t>
      </w:r>
      <w:r>
        <w:rPr>
          <w:rFonts w:cs="Arial"/>
          <w:color w:val="000000"/>
          <w:lang w:eastAsia="en-AU"/>
        </w:rPr>
        <w:t>cases</w:t>
      </w:r>
      <w:r w:rsidRPr="00EB3D5A">
        <w:rPr>
          <w:rFonts w:cs="Arial"/>
        </w:rPr>
        <w:t xml:space="preserve"> </w:t>
      </w:r>
      <w:r w:rsidR="00E42A5A">
        <w:rPr>
          <w:rFonts w:cs="Arial"/>
        </w:rPr>
        <w:t>about</w:t>
      </w:r>
      <w:r w:rsidRPr="00EB3D5A">
        <w:rPr>
          <w:rFonts w:cs="Arial"/>
        </w:rPr>
        <w:t xml:space="preserve"> </w:t>
      </w:r>
      <w:r w:rsidR="00036731">
        <w:rPr>
          <w:rFonts w:cs="Arial"/>
        </w:rPr>
        <w:t xml:space="preserve">proposed </w:t>
      </w:r>
      <w:r w:rsidR="009E103A">
        <w:rPr>
          <w:rFonts w:cs="Arial"/>
        </w:rPr>
        <w:t>wind farms compared to</w:t>
      </w:r>
      <w:r w:rsidR="00EB399F">
        <w:rPr>
          <w:rFonts w:cs="Arial"/>
        </w:rPr>
        <w:t xml:space="preserve"> the total</w:t>
      </w:r>
      <w:r w:rsidR="009E103A">
        <w:rPr>
          <w:rFonts w:cs="Arial"/>
        </w:rPr>
        <w:t xml:space="preserve"> number of cases about</w:t>
      </w:r>
      <w:r w:rsidR="000933A0">
        <w:rPr>
          <w:rFonts w:cs="Arial"/>
        </w:rPr>
        <w:t xml:space="preserve"> </w:t>
      </w:r>
      <w:r w:rsidR="00036731">
        <w:rPr>
          <w:rFonts w:cs="Arial"/>
        </w:rPr>
        <w:t xml:space="preserve">operating </w:t>
      </w:r>
      <w:r w:rsidRPr="00EB3D5A">
        <w:rPr>
          <w:rFonts w:cs="Arial"/>
        </w:rPr>
        <w:t xml:space="preserve">wind farms </w:t>
      </w:r>
      <w:r w:rsidR="009E103A">
        <w:rPr>
          <w:rFonts w:cs="Arial"/>
        </w:rPr>
        <w:t>per</w:t>
      </w:r>
      <w:r w:rsidRPr="00EB3D5A">
        <w:rPr>
          <w:rFonts w:cs="Arial"/>
        </w:rPr>
        <w:t xml:space="preserve"> </w:t>
      </w:r>
      <w:r w:rsidR="00A37DF2">
        <w:rPr>
          <w:rFonts w:cs="Arial"/>
        </w:rPr>
        <w:t>s</w:t>
      </w:r>
      <w:r w:rsidRPr="00EB3D5A">
        <w:rPr>
          <w:rFonts w:cs="Arial"/>
        </w:rPr>
        <w:t>tate, from November 2015 to 31 December 202</w:t>
      </w:r>
      <w:r w:rsidR="000933A0">
        <w:rPr>
          <w:rFonts w:cs="Arial"/>
        </w:rPr>
        <w:t>2</w:t>
      </w:r>
      <w:r w:rsidRPr="00EB3D5A">
        <w:rPr>
          <w:rFonts w:cs="Arial"/>
        </w:rPr>
        <w:t>.</w:t>
      </w:r>
    </w:p>
    <w:p w14:paraId="3C9454AF" w14:textId="34557A35" w:rsidR="005A6468" w:rsidRPr="00EB3D5A" w:rsidRDefault="00A06AE3" w:rsidP="005A6468">
      <w:pPr>
        <w:spacing w:line="240" w:lineRule="auto"/>
      </w:pPr>
      <w:r>
        <w:rPr>
          <w:noProof/>
        </w:rPr>
        <w:drawing>
          <wp:inline distT="0" distB="0" distL="0" distR="0" wp14:anchorId="4E3E15E6" wp14:editId="7827018F">
            <wp:extent cx="6521450" cy="3902075"/>
            <wp:effectExtent l="0" t="0" r="12700" b="3175"/>
            <wp:docPr id="15" name="Chart 15" descr="Figure 9: Total Number of Wind Farms Cases per state since the inception of the office from 2015 to 2022">
              <a:extLst xmlns:a="http://schemas.openxmlformats.org/drawingml/2006/main">
                <a:ext uri="{FF2B5EF4-FFF2-40B4-BE49-F238E27FC236}">
                  <a16:creationId xmlns:a16="http://schemas.microsoft.com/office/drawing/2014/main" id="{D1CDE4A4-263D-445F-AE2C-4B50B48D1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8BD70F2" w14:textId="681EDAEF" w:rsidR="00FC18EA" w:rsidRPr="00EB3D5A" w:rsidRDefault="005A6468" w:rsidP="005A6468">
      <w:pPr>
        <w:rPr>
          <w:rFonts w:cs="Arial"/>
        </w:rPr>
      </w:pPr>
      <w:r w:rsidRPr="00EB3D5A">
        <w:rPr>
          <w:rFonts w:cs="Arial"/>
          <w:b/>
        </w:rPr>
        <w:t xml:space="preserve">Figure </w:t>
      </w:r>
      <w:r w:rsidR="004B7B74">
        <w:rPr>
          <w:rFonts w:cs="Arial"/>
          <w:b/>
        </w:rPr>
        <w:t>10</w:t>
      </w:r>
      <w:r w:rsidRPr="00EB3D5A">
        <w:rPr>
          <w:rFonts w:cs="Arial"/>
        </w:rPr>
        <w:t xml:space="preserve"> </w:t>
      </w:r>
      <w:r w:rsidR="00E42A5A">
        <w:rPr>
          <w:rFonts w:cs="Arial"/>
        </w:rPr>
        <w:t>shows</w:t>
      </w:r>
      <w:r w:rsidRPr="00EB3D5A">
        <w:rPr>
          <w:rFonts w:cs="Arial"/>
        </w:rPr>
        <w:t xml:space="preserve"> the number of operating</w:t>
      </w:r>
      <w:r w:rsidR="008F5A53">
        <w:rPr>
          <w:rFonts w:cs="Arial"/>
        </w:rPr>
        <w:t xml:space="preserve"> wind farms compared to the number of</w:t>
      </w:r>
      <w:r w:rsidR="002B48DE">
        <w:rPr>
          <w:rFonts w:cs="Arial"/>
        </w:rPr>
        <w:t xml:space="preserve"> proposed </w:t>
      </w:r>
      <w:r w:rsidRPr="00EB3D5A">
        <w:rPr>
          <w:rFonts w:cs="Arial"/>
        </w:rPr>
        <w:t xml:space="preserve">wind farms, </w:t>
      </w:r>
      <w:r w:rsidR="008F5A53">
        <w:rPr>
          <w:rFonts w:cs="Arial"/>
        </w:rPr>
        <w:t>per</w:t>
      </w:r>
      <w:r w:rsidRPr="00EB3D5A">
        <w:rPr>
          <w:rFonts w:cs="Arial"/>
        </w:rPr>
        <w:t xml:space="preserve"> </w:t>
      </w:r>
      <w:r w:rsidR="00F93E66">
        <w:rPr>
          <w:rFonts w:cs="Arial"/>
        </w:rPr>
        <w:t>S</w:t>
      </w:r>
      <w:r w:rsidRPr="00EB3D5A">
        <w:rPr>
          <w:rFonts w:cs="Arial"/>
        </w:rPr>
        <w:t xml:space="preserve">tate, for which the Office received </w:t>
      </w:r>
      <w:r>
        <w:rPr>
          <w:rFonts w:cs="Arial"/>
          <w:color w:val="000000"/>
          <w:lang w:eastAsia="en-AU"/>
        </w:rPr>
        <w:t>cases</w:t>
      </w:r>
      <w:r w:rsidRPr="00EB3D5A">
        <w:rPr>
          <w:rFonts w:cs="Arial"/>
        </w:rPr>
        <w:t xml:space="preserve"> from the period of the Office’s inception to </w:t>
      </w:r>
      <w:r w:rsidR="00A53CF9">
        <w:rPr>
          <w:rFonts w:cs="Arial"/>
        </w:rPr>
        <w:t>3</w:t>
      </w:r>
      <w:r w:rsidRPr="00EB3D5A">
        <w:rPr>
          <w:rFonts w:cs="Arial"/>
        </w:rPr>
        <w:t>1 December 202</w:t>
      </w:r>
      <w:r w:rsidR="00C4798D">
        <w:rPr>
          <w:rFonts w:cs="Arial"/>
        </w:rPr>
        <w:t>2</w:t>
      </w:r>
      <w:r w:rsidRPr="00EB3D5A">
        <w:rPr>
          <w:rFonts w:cs="Arial"/>
        </w:rPr>
        <w:t xml:space="preserve">. </w:t>
      </w:r>
    </w:p>
    <w:p w14:paraId="170BC64A" w14:textId="2E5E782A" w:rsidR="00CF4281" w:rsidRDefault="0032340B" w:rsidP="00CF4281">
      <w:pPr>
        <w:spacing w:after="0" w:line="240" w:lineRule="auto"/>
      </w:pPr>
      <w:r>
        <w:rPr>
          <w:noProof/>
        </w:rPr>
        <w:drawing>
          <wp:inline distT="0" distB="0" distL="0" distR="0" wp14:anchorId="7934AEDB" wp14:editId="73F4D5DF">
            <wp:extent cx="6521450" cy="3533775"/>
            <wp:effectExtent l="0" t="0" r="12700" b="9525"/>
            <wp:docPr id="16" name="Chart 16" descr="Figure 10: Total Number of Wind Farms Projects per state since the inception of the office from 2015 to 2022">
              <a:extLst xmlns:a="http://schemas.openxmlformats.org/drawingml/2006/main">
                <a:ext uri="{FF2B5EF4-FFF2-40B4-BE49-F238E27FC236}">
                  <a16:creationId xmlns:a16="http://schemas.microsoft.com/office/drawing/2014/main" id="{5B644996-456E-448C-8311-116483E2A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9E8B17" w14:textId="77777777" w:rsidR="00CF4281" w:rsidRDefault="00CF4281" w:rsidP="00CF4281">
      <w:pPr>
        <w:spacing w:after="0" w:line="240" w:lineRule="auto"/>
      </w:pPr>
    </w:p>
    <w:p w14:paraId="274D37D5" w14:textId="25FF71BC" w:rsidR="005A6468" w:rsidRPr="003329B0" w:rsidRDefault="005A6468" w:rsidP="00474668">
      <w:pPr>
        <w:pStyle w:val="Heading3"/>
      </w:pPr>
      <w:bookmarkStart w:id="28" w:name="_Toc135390586"/>
      <w:r w:rsidRPr="003329B0">
        <w:lastRenderedPageBreak/>
        <w:t xml:space="preserve">Solar </w:t>
      </w:r>
      <w:r w:rsidR="00F93E66" w:rsidRPr="003329B0">
        <w:t>f</w:t>
      </w:r>
      <w:r w:rsidRPr="003329B0">
        <w:t xml:space="preserve">arms and </w:t>
      </w:r>
      <w:r w:rsidR="00E525BC" w:rsidRPr="003329B0">
        <w:t>e</w:t>
      </w:r>
      <w:r w:rsidRPr="003329B0">
        <w:t xml:space="preserve">nergy </w:t>
      </w:r>
      <w:r w:rsidR="00F93E66" w:rsidRPr="003329B0">
        <w:t>s</w:t>
      </w:r>
      <w:r w:rsidRPr="003329B0">
        <w:t>torage – overview 2018-</w:t>
      </w:r>
      <w:r w:rsidR="002F1D0F" w:rsidRPr="003329B0">
        <w:t>20</w:t>
      </w:r>
      <w:r w:rsidRPr="003329B0">
        <w:t>2</w:t>
      </w:r>
      <w:r w:rsidR="00315029" w:rsidRPr="003329B0">
        <w:t>2</w:t>
      </w:r>
      <w:bookmarkEnd w:id="28"/>
    </w:p>
    <w:p w14:paraId="632CDA83" w14:textId="156432D7" w:rsidR="00B4422D" w:rsidRDefault="005A6468" w:rsidP="005A6468">
      <w:r>
        <w:t xml:space="preserve">Since the Commissioner’s role was expanded to include solar farms and energy storage in October 2018, the </w:t>
      </w:r>
      <w:r w:rsidR="00B4422D">
        <w:t xml:space="preserve">Office </w:t>
      </w:r>
      <w:r>
        <w:t>has received</w:t>
      </w:r>
      <w:r w:rsidR="00B4422D">
        <w:t>:</w:t>
      </w:r>
    </w:p>
    <w:p w14:paraId="0E0C843E" w14:textId="3FFF1DF9" w:rsidR="00B4422D" w:rsidRDefault="005A6468" w:rsidP="00B4422D">
      <w:pPr>
        <w:pStyle w:val="ListParagraph"/>
        <w:numPr>
          <w:ilvl w:val="0"/>
          <w:numId w:val="41"/>
        </w:numPr>
      </w:pPr>
      <w:r>
        <w:t>1</w:t>
      </w:r>
      <w:r w:rsidR="007B41BC">
        <w:t>7</w:t>
      </w:r>
      <w:r>
        <w:t xml:space="preserve"> </w:t>
      </w:r>
      <w:r w:rsidRPr="00B4422D">
        <w:rPr>
          <w:rFonts w:cs="Arial"/>
          <w:color w:val="000000"/>
          <w:lang w:eastAsia="en-AU"/>
        </w:rPr>
        <w:t>cases</w:t>
      </w:r>
      <w:r>
        <w:t xml:space="preserve"> about </w:t>
      </w:r>
      <w:r w:rsidRPr="009C6A72">
        <w:t>1</w:t>
      </w:r>
      <w:r w:rsidR="007B41BC" w:rsidRPr="009C6A72">
        <w:t>2</w:t>
      </w:r>
      <w:r>
        <w:t xml:space="preserve"> proposed solar farm</w:t>
      </w:r>
      <w:r w:rsidR="00B4422D">
        <w:t>s</w:t>
      </w:r>
    </w:p>
    <w:p w14:paraId="5863A265" w14:textId="1D5FA178" w:rsidR="005A6468" w:rsidRDefault="00BA4F59" w:rsidP="006251A9">
      <w:pPr>
        <w:pStyle w:val="ListParagraph"/>
        <w:numPr>
          <w:ilvl w:val="0"/>
          <w:numId w:val="41"/>
        </w:numPr>
      </w:pPr>
      <w:r>
        <w:t xml:space="preserve">two </w:t>
      </w:r>
      <w:r w:rsidRPr="00B4422D">
        <w:rPr>
          <w:rFonts w:cs="Arial"/>
          <w:color w:val="000000"/>
          <w:lang w:eastAsia="en-AU"/>
        </w:rPr>
        <w:t>cases</w:t>
      </w:r>
      <w:r>
        <w:t xml:space="preserve"> about one proposed </w:t>
      </w:r>
      <w:r w:rsidRPr="00E87216">
        <w:t>pumped hydro</w:t>
      </w:r>
      <w:r>
        <w:t xml:space="preserve"> storage facility</w:t>
      </w:r>
    </w:p>
    <w:p w14:paraId="0159E97E" w14:textId="572F2C77" w:rsidR="005A6468" w:rsidRDefault="009B1BE1" w:rsidP="005A6468">
      <w:r>
        <w:t>Where complaints</w:t>
      </w:r>
      <w:r w:rsidR="005A6468">
        <w:t xml:space="preserve"> </w:t>
      </w:r>
      <w:r>
        <w:t>were made about</w:t>
      </w:r>
      <w:r w:rsidR="005A6468">
        <w:t xml:space="preserve"> projects that could be considered </w:t>
      </w:r>
      <w:r w:rsidR="00ED307A">
        <w:t xml:space="preserve">a </w:t>
      </w:r>
      <w:r w:rsidR="005A6468">
        <w:t>hybrid renewable project</w:t>
      </w:r>
      <w:r>
        <w:t>,</w:t>
      </w:r>
      <w:r w:rsidR="002A67CD">
        <w:t xml:space="preserve"> </w:t>
      </w:r>
      <w:r w:rsidR="005A6468">
        <w:t>includ</w:t>
      </w:r>
      <w:r w:rsidR="002A67CD">
        <w:t>ing</w:t>
      </w:r>
      <w:r w:rsidR="005A6468">
        <w:t xml:space="preserve"> wind, solar and/or energy storage facilities</w:t>
      </w:r>
      <w:r>
        <w:t>, and the complaint</w:t>
      </w:r>
      <w:r w:rsidR="005A6468">
        <w:t xml:space="preserve"> </w:t>
      </w:r>
      <w:r>
        <w:t>was</w:t>
      </w:r>
      <w:r w:rsidR="005A6468">
        <w:t xml:space="preserve"> specifically </w:t>
      </w:r>
      <w:r>
        <w:t>about</w:t>
      </w:r>
      <w:r w:rsidR="005A6468">
        <w:t xml:space="preserve"> the wind </w:t>
      </w:r>
      <w:r w:rsidR="00A208BD">
        <w:t xml:space="preserve">farm </w:t>
      </w:r>
      <w:r w:rsidR="005A6468">
        <w:t xml:space="preserve">component of the proposal, </w:t>
      </w:r>
      <w:r>
        <w:t>the case was</w:t>
      </w:r>
      <w:r w:rsidR="005A6468">
        <w:t xml:space="preserve"> recorded as a wind farm </w:t>
      </w:r>
      <w:r w:rsidR="005A6468">
        <w:rPr>
          <w:rFonts w:cs="Arial"/>
          <w:color w:val="000000"/>
          <w:lang w:eastAsia="en-AU"/>
        </w:rPr>
        <w:t>case</w:t>
      </w:r>
      <w:r w:rsidR="005A6468">
        <w:t>.</w:t>
      </w:r>
    </w:p>
    <w:p w14:paraId="0DEC1F5A" w14:textId="68A1E3D5" w:rsidR="00BA4F59" w:rsidRPr="00EB3D5A" w:rsidRDefault="00BA4F59" w:rsidP="00BA4F59">
      <w:pPr>
        <w:rPr>
          <w:rFonts w:cs="Arial"/>
        </w:rPr>
      </w:pPr>
      <w:r w:rsidRPr="00EB3D5A">
        <w:rPr>
          <w:rFonts w:cs="Arial"/>
          <w:b/>
        </w:rPr>
        <w:t xml:space="preserve">Figure </w:t>
      </w:r>
      <w:r w:rsidR="001B4401">
        <w:rPr>
          <w:rFonts w:cs="Arial"/>
          <w:b/>
        </w:rPr>
        <w:t>1</w:t>
      </w:r>
      <w:r w:rsidR="004B7B74">
        <w:rPr>
          <w:rFonts w:cs="Arial"/>
          <w:b/>
        </w:rPr>
        <w:t>1</w:t>
      </w:r>
      <w:r w:rsidRPr="00EB3D5A">
        <w:rPr>
          <w:rFonts w:cs="Arial"/>
        </w:rPr>
        <w:t xml:space="preserve"> </w:t>
      </w:r>
      <w:r w:rsidR="000718B5">
        <w:rPr>
          <w:rFonts w:cs="Arial"/>
        </w:rPr>
        <w:t>shows</w:t>
      </w:r>
      <w:r w:rsidRPr="00EB3D5A">
        <w:rPr>
          <w:rFonts w:cs="Arial"/>
        </w:rPr>
        <w:t xml:space="preserve"> </w:t>
      </w:r>
      <w:r w:rsidR="000718B5">
        <w:rPr>
          <w:rFonts w:cs="Arial"/>
        </w:rPr>
        <w:t xml:space="preserve">cases </w:t>
      </w:r>
      <w:r w:rsidR="001208BE">
        <w:rPr>
          <w:rFonts w:cs="Arial"/>
        </w:rPr>
        <w:t>about</w:t>
      </w:r>
      <w:r w:rsidRPr="00EB3D5A">
        <w:rPr>
          <w:rFonts w:cs="Arial"/>
        </w:rPr>
        <w:t xml:space="preserve"> </w:t>
      </w:r>
      <w:r>
        <w:rPr>
          <w:rFonts w:cs="Arial"/>
        </w:rPr>
        <w:t>proposed</w:t>
      </w:r>
      <w:r w:rsidRPr="00EB3D5A">
        <w:rPr>
          <w:rFonts w:cs="Arial"/>
        </w:rPr>
        <w:t xml:space="preserve"> </w:t>
      </w:r>
      <w:r w:rsidR="00EB73C5">
        <w:rPr>
          <w:rFonts w:cs="Arial"/>
        </w:rPr>
        <w:t>s</w:t>
      </w:r>
      <w:r w:rsidRPr="00BA4F59">
        <w:rPr>
          <w:rFonts w:cs="Arial"/>
        </w:rPr>
        <w:t xml:space="preserve">olar farms and energy storage </w:t>
      </w:r>
      <w:r w:rsidRPr="00EB3D5A">
        <w:rPr>
          <w:rFonts w:cs="Arial"/>
        </w:rPr>
        <w:t xml:space="preserve">by state, from the period of the Office’s inception </w:t>
      </w:r>
      <w:r w:rsidR="00EC138E">
        <w:rPr>
          <w:rFonts w:cs="Arial"/>
        </w:rPr>
        <w:t>o</w:t>
      </w:r>
      <w:r w:rsidRPr="00EB3D5A">
        <w:rPr>
          <w:rFonts w:cs="Arial"/>
        </w:rPr>
        <w:t xml:space="preserve">n </w:t>
      </w:r>
      <w:r w:rsidR="00EC138E">
        <w:rPr>
          <w:rFonts w:cs="Arial"/>
        </w:rPr>
        <w:t xml:space="preserve">1 </w:t>
      </w:r>
      <w:r w:rsidRPr="00EB3D5A">
        <w:rPr>
          <w:rFonts w:cs="Arial"/>
        </w:rPr>
        <w:t>November 2015 to 31 December 202</w:t>
      </w:r>
      <w:r>
        <w:rPr>
          <w:rFonts w:cs="Arial"/>
        </w:rPr>
        <w:t>2</w:t>
      </w:r>
      <w:r w:rsidRPr="00EB3D5A">
        <w:rPr>
          <w:rFonts w:cs="Arial"/>
        </w:rPr>
        <w:t>.</w:t>
      </w:r>
    </w:p>
    <w:p w14:paraId="6E60AD7A" w14:textId="52B1CFAB" w:rsidR="00BA4F59" w:rsidRDefault="00F41D0D" w:rsidP="005A6468">
      <w:r>
        <w:rPr>
          <w:noProof/>
        </w:rPr>
        <w:drawing>
          <wp:inline distT="0" distB="0" distL="0" distR="0" wp14:anchorId="0A78B727" wp14:editId="5F8B0372">
            <wp:extent cx="6521450" cy="2971800"/>
            <wp:effectExtent l="0" t="0" r="12700" b="0"/>
            <wp:docPr id="17" name="Chart 17" descr="Figure 11: Total number of solar farms and energy storage cases received per State from October 2018 to December 2022">
              <a:extLst xmlns:a="http://schemas.openxmlformats.org/drawingml/2006/main">
                <a:ext uri="{FF2B5EF4-FFF2-40B4-BE49-F238E27FC236}">
                  <a16:creationId xmlns:a16="http://schemas.microsoft.com/office/drawing/2014/main" id="{9D940B33-01A6-4B8E-9334-708C0F4F4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751093" w14:textId="7BE33D84" w:rsidR="001E37C1" w:rsidRPr="003329B0" w:rsidRDefault="001E37C1" w:rsidP="00474668">
      <w:pPr>
        <w:pStyle w:val="Heading3"/>
      </w:pPr>
      <w:bookmarkStart w:id="29" w:name="_Toc135390587"/>
      <w:r w:rsidRPr="003329B0">
        <w:t xml:space="preserve">Major </w:t>
      </w:r>
      <w:r w:rsidR="00D75C47" w:rsidRPr="003329B0">
        <w:t>t</w:t>
      </w:r>
      <w:r w:rsidRPr="003329B0">
        <w:t xml:space="preserve">ransmission </w:t>
      </w:r>
      <w:r w:rsidR="00D75C47" w:rsidRPr="003329B0">
        <w:t>p</w:t>
      </w:r>
      <w:r w:rsidRPr="003329B0">
        <w:t>rojects – overview 2021-</w:t>
      </w:r>
      <w:r w:rsidR="004313D2" w:rsidRPr="003329B0">
        <w:t>20</w:t>
      </w:r>
      <w:r w:rsidRPr="003329B0">
        <w:t>22</w:t>
      </w:r>
      <w:bookmarkEnd w:id="29"/>
    </w:p>
    <w:p w14:paraId="2EAB22AD" w14:textId="0C4B4262" w:rsidR="001E37C1" w:rsidRPr="008D68C2" w:rsidRDefault="001E37C1" w:rsidP="005A6468">
      <w:pPr>
        <w:rPr>
          <w:rFonts w:cs="Arial"/>
        </w:rPr>
      </w:pPr>
      <w:r w:rsidRPr="008D68C2">
        <w:t xml:space="preserve">Since the Commissioner’s role was expanded to include new major transmission projects in March </w:t>
      </w:r>
      <w:r w:rsidR="008011F3" w:rsidRPr="008D68C2">
        <w:t>2021</w:t>
      </w:r>
      <w:r w:rsidR="00DB74E7" w:rsidRPr="008D68C2">
        <w:t>,</w:t>
      </w:r>
      <w:r w:rsidRPr="008D68C2">
        <w:t xml:space="preserve"> the Commissioner has received a total of 15</w:t>
      </w:r>
      <w:r w:rsidR="008D68C2" w:rsidRPr="008D68C2">
        <w:t>5</w:t>
      </w:r>
      <w:r w:rsidRPr="008D68C2">
        <w:t xml:space="preserve"> </w:t>
      </w:r>
      <w:r w:rsidRPr="008D68C2">
        <w:rPr>
          <w:rFonts w:cs="Arial"/>
          <w:color w:val="000000"/>
          <w:lang w:eastAsia="en-AU"/>
        </w:rPr>
        <w:t>cases</w:t>
      </w:r>
      <w:r w:rsidRPr="008D68C2">
        <w:t xml:space="preserve"> about five proposed transmission projects. </w:t>
      </w:r>
      <w:r w:rsidRPr="008D68C2">
        <w:rPr>
          <w:rFonts w:cs="Arial"/>
        </w:rPr>
        <w:t>Of the 15</w:t>
      </w:r>
      <w:r w:rsidR="008D68C2" w:rsidRPr="008D68C2">
        <w:rPr>
          <w:rFonts w:cs="Arial"/>
        </w:rPr>
        <w:t>5</w:t>
      </w:r>
      <w:r w:rsidRPr="008D68C2">
        <w:rPr>
          <w:rFonts w:cs="Arial"/>
        </w:rPr>
        <w:t xml:space="preserve"> cases, 11</w:t>
      </w:r>
      <w:r w:rsidR="008D68C2" w:rsidRPr="008D68C2">
        <w:rPr>
          <w:rFonts w:cs="Arial"/>
        </w:rPr>
        <w:t>9</w:t>
      </w:r>
      <w:r w:rsidRPr="008D68C2">
        <w:rPr>
          <w:rFonts w:cs="Arial"/>
        </w:rPr>
        <w:t xml:space="preserve"> </w:t>
      </w:r>
      <w:r w:rsidR="00DB74E7" w:rsidRPr="008D68C2">
        <w:rPr>
          <w:rFonts w:cs="Arial"/>
        </w:rPr>
        <w:t xml:space="preserve">cases </w:t>
      </w:r>
      <w:r w:rsidRPr="008D68C2">
        <w:rPr>
          <w:rFonts w:cs="Arial"/>
        </w:rPr>
        <w:t xml:space="preserve">related to </w:t>
      </w:r>
      <w:r w:rsidR="002F1D0F" w:rsidRPr="008D68C2">
        <w:rPr>
          <w:rFonts w:cs="Arial"/>
        </w:rPr>
        <w:t>three</w:t>
      </w:r>
      <w:r w:rsidRPr="008D68C2">
        <w:rPr>
          <w:rFonts w:cs="Arial"/>
        </w:rPr>
        <w:t xml:space="preserve"> proposed projects in Victoria, 35 </w:t>
      </w:r>
      <w:r w:rsidRPr="008D68C2">
        <w:rPr>
          <w:rFonts w:cs="Arial"/>
          <w:color w:val="000000"/>
          <w:lang w:eastAsia="en-AU"/>
        </w:rPr>
        <w:t>cases</w:t>
      </w:r>
      <w:r w:rsidRPr="008D68C2">
        <w:rPr>
          <w:rFonts w:cs="Arial"/>
        </w:rPr>
        <w:t xml:space="preserve"> </w:t>
      </w:r>
      <w:r w:rsidR="00DB74E7" w:rsidRPr="008D68C2">
        <w:rPr>
          <w:rFonts w:cs="Arial"/>
        </w:rPr>
        <w:t xml:space="preserve">related </w:t>
      </w:r>
      <w:r w:rsidRPr="008D68C2">
        <w:rPr>
          <w:rFonts w:cs="Arial"/>
        </w:rPr>
        <w:t xml:space="preserve">to one proposed project in New South Wales and the remaining </w:t>
      </w:r>
      <w:r w:rsidR="00537D8B" w:rsidRPr="008D68C2">
        <w:rPr>
          <w:rFonts w:cs="Arial"/>
        </w:rPr>
        <w:t xml:space="preserve">one </w:t>
      </w:r>
      <w:r w:rsidRPr="008D68C2">
        <w:rPr>
          <w:rFonts w:cs="Arial"/>
        </w:rPr>
        <w:t>case related to one proposed project in Queensland.</w:t>
      </w:r>
    </w:p>
    <w:p w14:paraId="709DBB7B" w14:textId="2D7EC603" w:rsidR="001E37C1" w:rsidRDefault="001E37C1" w:rsidP="001E37C1">
      <w:pPr>
        <w:spacing w:line="264" w:lineRule="auto"/>
        <w:rPr>
          <w:rFonts w:cs="Arial"/>
        </w:rPr>
      </w:pPr>
      <w:r w:rsidRPr="008D68C2">
        <w:rPr>
          <w:rFonts w:cs="Arial"/>
          <w:b/>
        </w:rPr>
        <w:t>Figure 1</w:t>
      </w:r>
      <w:r w:rsidR="004B7B74">
        <w:rPr>
          <w:rFonts w:cs="Arial"/>
          <w:b/>
        </w:rPr>
        <w:t>2</w:t>
      </w:r>
      <w:r w:rsidRPr="008D68C2">
        <w:rPr>
          <w:rFonts w:cs="Arial"/>
        </w:rPr>
        <w:t xml:space="preserve"> </w:t>
      </w:r>
      <w:r w:rsidR="0003174B" w:rsidRPr="008D68C2">
        <w:rPr>
          <w:rFonts w:cs="Arial"/>
        </w:rPr>
        <w:t>shows</w:t>
      </w:r>
      <w:r w:rsidRPr="008D68C2">
        <w:rPr>
          <w:rFonts w:cs="Arial"/>
        </w:rPr>
        <w:t xml:space="preserve"> the number of </w:t>
      </w:r>
      <w:r w:rsidRPr="008D68C2">
        <w:rPr>
          <w:rFonts w:cs="Arial"/>
          <w:color w:val="000000"/>
          <w:lang w:eastAsia="en-AU"/>
        </w:rPr>
        <w:t>cases</w:t>
      </w:r>
      <w:r w:rsidRPr="008D68C2">
        <w:rPr>
          <w:rFonts w:cs="Arial"/>
        </w:rPr>
        <w:t xml:space="preserve"> about proposed large-scale transmission projects, by state, </w:t>
      </w:r>
      <w:r w:rsidR="0003174B" w:rsidRPr="008D68C2">
        <w:rPr>
          <w:rFonts w:cs="Arial"/>
        </w:rPr>
        <w:t xml:space="preserve">for </w:t>
      </w:r>
      <w:r w:rsidRPr="008D68C2">
        <w:rPr>
          <w:rFonts w:cs="Arial"/>
        </w:rPr>
        <w:t>the period March 202</w:t>
      </w:r>
      <w:r w:rsidR="00B06324" w:rsidRPr="008D68C2">
        <w:rPr>
          <w:rFonts w:cs="Arial"/>
        </w:rPr>
        <w:t>1</w:t>
      </w:r>
      <w:r w:rsidRPr="008D68C2">
        <w:rPr>
          <w:rFonts w:cs="Arial"/>
        </w:rPr>
        <w:t xml:space="preserve"> to 31 December 2022.</w:t>
      </w:r>
      <w:r>
        <w:rPr>
          <w:rFonts w:cs="Arial"/>
        </w:rPr>
        <w:t xml:space="preserve"> </w:t>
      </w:r>
    </w:p>
    <w:p w14:paraId="7E6E82D2" w14:textId="3F4E97AE" w:rsidR="001E37C1" w:rsidRDefault="00AA57F9" w:rsidP="005A6468">
      <w:r>
        <w:rPr>
          <w:noProof/>
        </w:rPr>
        <w:drawing>
          <wp:inline distT="0" distB="0" distL="0" distR="0" wp14:anchorId="451DD65C" wp14:editId="7B304A5F">
            <wp:extent cx="6553200" cy="2000250"/>
            <wp:effectExtent l="0" t="0" r="0" b="0"/>
            <wp:docPr id="18" name="Chart 18" descr="Figure 12 shows the total number of Large-Scale Transmission Cases recieved per state from March 2021 to December 2022 ">
              <a:extLst xmlns:a="http://schemas.openxmlformats.org/drawingml/2006/main">
                <a:ext uri="{FF2B5EF4-FFF2-40B4-BE49-F238E27FC236}">
                  <a16:creationId xmlns:a16="http://schemas.microsoft.com/office/drawing/2014/main" id="{C124FBEF-3CC7-42E2-89B6-6E00E247A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5F305B" w14:textId="436B2640" w:rsidR="00304241" w:rsidRPr="003329B0" w:rsidRDefault="00304241" w:rsidP="00474668">
      <w:pPr>
        <w:pStyle w:val="Heading3"/>
      </w:pPr>
      <w:bookmarkStart w:id="30" w:name="_Toc135390588"/>
      <w:r w:rsidRPr="003329B0">
        <w:lastRenderedPageBreak/>
        <w:t xml:space="preserve">Resolutions and </w:t>
      </w:r>
      <w:r w:rsidR="00A47CC6" w:rsidRPr="003329B0">
        <w:t>c</w:t>
      </w:r>
      <w:r w:rsidRPr="003329B0">
        <w:t>losure</w:t>
      </w:r>
      <w:r w:rsidR="00CA733D" w:rsidRPr="003329B0">
        <w:t xml:space="preserve"> – overview 2015-</w:t>
      </w:r>
      <w:r w:rsidR="00415F44" w:rsidRPr="003329B0">
        <w:t>20</w:t>
      </w:r>
      <w:r w:rsidR="00CA733D" w:rsidRPr="003329B0">
        <w:t>22</w:t>
      </w:r>
      <w:bookmarkEnd w:id="30"/>
    </w:p>
    <w:p w14:paraId="6BCF0BFE" w14:textId="032DFAEA" w:rsidR="00304241" w:rsidRPr="00747F76" w:rsidRDefault="006E499A" w:rsidP="00304241">
      <w:pPr>
        <w:pStyle w:val="ListBullet"/>
        <w:numPr>
          <w:ilvl w:val="0"/>
          <w:numId w:val="0"/>
        </w:numPr>
        <w:rPr>
          <w:rFonts w:cs="Arial"/>
        </w:rPr>
      </w:pPr>
      <w:r>
        <w:rPr>
          <w:rFonts w:cs="Arial"/>
        </w:rPr>
        <w:t>On</w:t>
      </w:r>
      <w:r w:rsidR="00F37712">
        <w:rPr>
          <w:rFonts w:cs="Arial"/>
        </w:rPr>
        <w:t xml:space="preserve"> </w:t>
      </w:r>
      <w:r w:rsidR="00304241" w:rsidRPr="00747F76">
        <w:rPr>
          <w:rFonts w:cs="Arial"/>
        </w:rPr>
        <w:t>31 December 202</w:t>
      </w:r>
      <w:r w:rsidR="00C0229E" w:rsidRPr="00747F76">
        <w:rPr>
          <w:rFonts w:cs="Arial"/>
        </w:rPr>
        <w:t>2</w:t>
      </w:r>
      <w:r w:rsidR="00304241" w:rsidRPr="00747F76">
        <w:rPr>
          <w:rFonts w:cs="Arial"/>
        </w:rPr>
        <w:t xml:space="preserve">, </w:t>
      </w:r>
      <w:r w:rsidR="004D3150" w:rsidRPr="00747F76">
        <w:rPr>
          <w:rFonts w:cs="Arial"/>
        </w:rPr>
        <w:t>80</w:t>
      </w:r>
      <w:r w:rsidR="00747F76">
        <w:rPr>
          <w:rFonts w:cs="Arial"/>
        </w:rPr>
        <w:t>3</w:t>
      </w:r>
      <w:r w:rsidR="00304241" w:rsidRPr="00747F76">
        <w:rPr>
          <w:rFonts w:cs="Arial"/>
        </w:rPr>
        <w:t xml:space="preserve"> of the </w:t>
      </w:r>
      <w:r w:rsidR="001E37C1" w:rsidRPr="00747F76">
        <w:rPr>
          <w:rFonts w:cs="Arial"/>
        </w:rPr>
        <w:t>82</w:t>
      </w:r>
      <w:r w:rsidR="009E3006">
        <w:rPr>
          <w:rFonts w:cs="Arial"/>
        </w:rPr>
        <w:t>4</w:t>
      </w:r>
      <w:r w:rsidR="00304241" w:rsidRPr="00747F76">
        <w:rPr>
          <w:rFonts w:cs="Arial"/>
        </w:rPr>
        <w:t xml:space="preserve"> </w:t>
      </w:r>
      <w:r w:rsidR="00304241" w:rsidRPr="00747F76">
        <w:rPr>
          <w:rFonts w:cs="Arial"/>
          <w:color w:val="000000"/>
          <w:lang w:eastAsia="en-AU"/>
        </w:rPr>
        <w:t>cases</w:t>
      </w:r>
      <w:r w:rsidR="00304241" w:rsidRPr="00747F76">
        <w:rPr>
          <w:rFonts w:cs="Arial"/>
        </w:rPr>
        <w:t xml:space="preserve"> received since the inception of the Office ha</w:t>
      </w:r>
      <w:r w:rsidR="00B7348F" w:rsidRPr="00747F76">
        <w:rPr>
          <w:rFonts w:cs="Arial"/>
        </w:rPr>
        <w:t>d</w:t>
      </w:r>
      <w:r w:rsidR="00304241" w:rsidRPr="00747F76">
        <w:rPr>
          <w:rFonts w:cs="Arial"/>
        </w:rPr>
        <w:t xml:space="preserve"> been closed</w:t>
      </w:r>
      <w:r w:rsidR="00F37712">
        <w:rPr>
          <w:rFonts w:cs="Arial"/>
        </w:rPr>
        <w:t xml:space="preserve"> and </w:t>
      </w:r>
      <w:r w:rsidR="00761820" w:rsidRPr="00747F76">
        <w:rPr>
          <w:rFonts w:cs="Arial"/>
        </w:rPr>
        <w:t>2</w:t>
      </w:r>
      <w:r w:rsidR="00242FB5">
        <w:rPr>
          <w:rFonts w:cs="Arial"/>
        </w:rPr>
        <w:t>1</w:t>
      </w:r>
      <w:r w:rsidR="00304241" w:rsidRPr="00747F76">
        <w:rPr>
          <w:rFonts w:cs="Arial"/>
        </w:rPr>
        <w:t> </w:t>
      </w:r>
      <w:r w:rsidR="00304241" w:rsidRPr="00747F76">
        <w:rPr>
          <w:rFonts w:cs="Arial"/>
          <w:color w:val="000000"/>
          <w:lang w:eastAsia="en-AU"/>
        </w:rPr>
        <w:t>cases</w:t>
      </w:r>
      <w:r w:rsidR="00304241" w:rsidRPr="00747F76">
        <w:rPr>
          <w:rFonts w:cs="Arial"/>
        </w:rPr>
        <w:t xml:space="preserve"> </w:t>
      </w:r>
      <w:r w:rsidR="00F37712">
        <w:rPr>
          <w:rFonts w:cs="Arial"/>
        </w:rPr>
        <w:t>remained</w:t>
      </w:r>
      <w:r w:rsidR="00F37712" w:rsidRPr="00747F76">
        <w:rPr>
          <w:rFonts w:cs="Arial"/>
        </w:rPr>
        <w:t xml:space="preserve"> </w:t>
      </w:r>
      <w:r w:rsidR="00304241" w:rsidRPr="00747F76">
        <w:rPr>
          <w:rFonts w:cs="Arial"/>
        </w:rPr>
        <w:t>open at various stages of the complaint handling process.</w:t>
      </w:r>
      <w:r w:rsidR="002338B6" w:rsidRPr="00747F76">
        <w:rPr>
          <w:rFonts w:cs="Arial"/>
        </w:rPr>
        <w:t xml:space="preserve"> Many of the</w:t>
      </w:r>
      <w:r w:rsidR="005312A2" w:rsidRPr="00747F76">
        <w:rPr>
          <w:rFonts w:cs="Arial"/>
        </w:rPr>
        <w:t xml:space="preserve"> open </w:t>
      </w:r>
      <w:r w:rsidR="00AE08CE">
        <w:rPr>
          <w:rFonts w:cs="Arial"/>
        </w:rPr>
        <w:t>cases</w:t>
      </w:r>
      <w:r w:rsidR="00AE08CE" w:rsidRPr="00747F76">
        <w:rPr>
          <w:rFonts w:cs="Arial"/>
        </w:rPr>
        <w:t xml:space="preserve"> </w:t>
      </w:r>
      <w:r w:rsidR="003D378B">
        <w:rPr>
          <w:rFonts w:cs="Arial"/>
        </w:rPr>
        <w:t>were</w:t>
      </w:r>
      <w:r w:rsidR="00237A64">
        <w:rPr>
          <w:rFonts w:cs="Arial"/>
        </w:rPr>
        <w:t xml:space="preserve"> about </w:t>
      </w:r>
      <w:r w:rsidR="005312A2" w:rsidRPr="00747F76">
        <w:rPr>
          <w:rFonts w:cs="Arial"/>
        </w:rPr>
        <w:t>proposed transmission projects</w:t>
      </w:r>
      <w:r w:rsidR="00C850F1" w:rsidRPr="00747F76">
        <w:rPr>
          <w:rFonts w:cs="Arial"/>
        </w:rPr>
        <w:t xml:space="preserve"> </w:t>
      </w:r>
      <w:r w:rsidR="003D378B">
        <w:rPr>
          <w:rFonts w:cs="Arial"/>
        </w:rPr>
        <w:t>and</w:t>
      </w:r>
      <w:r w:rsidR="003D378B" w:rsidRPr="00747F76">
        <w:rPr>
          <w:rFonts w:cs="Arial"/>
        </w:rPr>
        <w:t xml:space="preserve"> </w:t>
      </w:r>
      <w:r w:rsidR="00C850F1" w:rsidRPr="00747F76">
        <w:rPr>
          <w:rFonts w:cs="Arial"/>
        </w:rPr>
        <w:t>were received towards the end of 2021</w:t>
      </w:r>
      <w:r w:rsidR="00761820" w:rsidRPr="00747F76">
        <w:rPr>
          <w:rFonts w:cs="Arial"/>
        </w:rPr>
        <w:t xml:space="preserve"> </w:t>
      </w:r>
      <w:r w:rsidR="003D378B">
        <w:rPr>
          <w:rFonts w:cs="Arial"/>
        </w:rPr>
        <w:t>or</w:t>
      </w:r>
      <w:r w:rsidR="003D378B" w:rsidRPr="00747F76">
        <w:rPr>
          <w:rFonts w:cs="Arial"/>
        </w:rPr>
        <w:t xml:space="preserve"> </w:t>
      </w:r>
      <w:r w:rsidR="00761820" w:rsidRPr="00747F76">
        <w:rPr>
          <w:rFonts w:cs="Arial"/>
        </w:rPr>
        <w:t>during 2022</w:t>
      </w:r>
      <w:r w:rsidR="00C850F1" w:rsidRPr="00747F76">
        <w:rPr>
          <w:rFonts w:cs="Arial"/>
        </w:rPr>
        <w:t>.</w:t>
      </w:r>
      <w:r w:rsidR="00304241" w:rsidRPr="00747F76">
        <w:rPr>
          <w:rFonts w:cs="Arial"/>
        </w:rPr>
        <w:t xml:space="preserve"> </w:t>
      </w:r>
    </w:p>
    <w:p w14:paraId="7887D66D" w14:textId="0D373125" w:rsidR="00EF6CFF" w:rsidRDefault="00EF6CFF" w:rsidP="00EF6CFF">
      <w:pPr>
        <w:pStyle w:val="ListBullet"/>
        <w:numPr>
          <w:ilvl w:val="0"/>
          <w:numId w:val="0"/>
        </w:numPr>
        <w:rPr>
          <w:rFonts w:cs="Arial"/>
        </w:rPr>
      </w:pPr>
      <w:r w:rsidRPr="00EB3D5A">
        <w:rPr>
          <w:rFonts w:cs="Arial"/>
          <w:b/>
        </w:rPr>
        <w:t>Figure</w:t>
      </w:r>
      <w:r>
        <w:rPr>
          <w:rFonts w:cs="Arial"/>
          <w:b/>
        </w:rPr>
        <w:t xml:space="preserve"> 1</w:t>
      </w:r>
      <w:r w:rsidR="004B7B74">
        <w:rPr>
          <w:rFonts w:cs="Arial"/>
          <w:b/>
        </w:rPr>
        <w:t>3</w:t>
      </w:r>
      <w:r>
        <w:rPr>
          <w:rFonts w:cs="Arial"/>
          <w:b/>
        </w:rPr>
        <w:t xml:space="preserve"> </w:t>
      </w:r>
      <w:r w:rsidR="008B5B6C">
        <w:rPr>
          <w:rFonts w:cs="Arial"/>
        </w:rPr>
        <w:t>shows</w:t>
      </w:r>
      <w:r w:rsidRPr="00EB3D5A">
        <w:rPr>
          <w:rFonts w:cs="Arial"/>
        </w:rPr>
        <w:t xml:space="preserve"> the </w:t>
      </w:r>
      <w:r w:rsidR="00EF1FAA">
        <w:rPr>
          <w:rFonts w:cs="Arial"/>
        </w:rPr>
        <w:t>stage at whi</w:t>
      </w:r>
      <w:r w:rsidR="006B4853">
        <w:rPr>
          <w:rFonts w:cs="Arial"/>
        </w:rPr>
        <w:t>ch each case</w:t>
      </w:r>
      <w:r w:rsidR="0024448A">
        <w:rPr>
          <w:rFonts w:cs="Arial"/>
        </w:rPr>
        <w:t xml:space="preserve"> was</w:t>
      </w:r>
      <w:r>
        <w:rPr>
          <w:rFonts w:cs="Arial"/>
          <w:color w:val="000000"/>
          <w:lang w:eastAsia="en-AU"/>
        </w:rPr>
        <w:t xml:space="preserve"> </w:t>
      </w:r>
      <w:r w:rsidR="008313D8">
        <w:rPr>
          <w:rFonts w:cs="Arial"/>
        </w:rPr>
        <w:t xml:space="preserve">closed </w:t>
      </w:r>
      <w:r w:rsidR="003570F4">
        <w:rPr>
          <w:rFonts w:cs="Arial"/>
        </w:rPr>
        <w:t>in</w:t>
      </w:r>
      <w:r w:rsidR="008313D8">
        <w:rPr>
          <w:rFonts w:cs="Arial"/>
        </w:rPr>
        <w:t xml:space="preserve"> the complaint </w:t>
      </w:r>
      <w:r w:rsidR="002E4B44">
        <w:rPr>
          <w:rFonts w:cs="Arial"/>
        </w:rPr>
        <w:t>process</w:t>
      </w:r>
      <w:r>
        <w:rPr>
          <w:rFonts w:cs="Arial"/>
        </w:rPr>
        <w:t xml:space="preserve"> </w:t>
      </w:r>
      <w:r w:rsidR="008B5B6C">
        <w:rPr>
          <w:rFonts w:cs="Arial"/>
        </w:rPr>
        <w:t>from</w:t>
      </w:r>
      <w:r w:rsidRPr="00CB7184">
        <w:rPr>
          <w:rFonts w:cs="Arial"/>
        </w:rPr>
        <w:t xml:space="preserve"> </w:t>
      </w:r>
      <w:r w:rsidR="00FB1A62">
        <w:rPr>
          <w:rFonts w:cs="Arial"/>
        </w:rPr>
        <w:t xml:space="preserve">1 </w:t>
      </w:r>
      <w:r>
        <w:rPr>
          <w:rFonts w:cs="Arial"/>
        </w:rPr>
        <w:t xml:space="preserve">November 2015 </w:t>
      </w:r>
      <w:r w:rsidRPr="00080CEC">
        <w:rPr>
          <w:rFonts w:cs="Arial"/>
        </w:rPr>
        <w:t>to 31 December 20</w:t>
      </w:r>
      <w:r>
        <w:rPr>
          <w:rFonts w:cs="Arial"/>
        </w:rPr>
        <w:t>22.</w:t>
      </w:r>
    </w:p>
    <w:p w14:paraId="48F8C975" w14:textId="17E99C81" w:rsidR="001B4401" w:rsidRDefault="00242FB5" w:rsidP="00304241">
      <w:pPr>
        <w:pStyle w:val="ListBullet"/>
        <w:numPr>
          <w:ilvl w:val="0"/>
          <w:numId w:val="0"/>
        </w:numPr>
        <w:rPr>
          <w:rFonts w:cs="Arial"/>
        </w:rPr>
      </w:pPr>
      <w:r>
        <w:rPr>
          <w:noProof/>
        </w:rPr>
        <w:drawing>
          <wp:inline distT="0" distB="0" distL="0" distR="0" wp14:anchorId="7825BFA6" wp14:editId="38D1B11A">
            <wp:extent cx="6540500" cy="2581275"/>
            <wp:effectExtent l="0" t="0" r="12700" b="9525"/>
            <wp:docPr id="19" name="Chart 19" descr="Figure 13: Number of Cases closed at each process stage.">
              <a:extLst xmlns:a="http://schemas.openxmlformats.org/drawingml/2006/main">
                <a:ext uri="{FF2B5EF4-FFF2-40B4-BE49-F238E27FC236}">
                  <a16:creationId xmlns:a16="http://schemas.microsoft.com/office/drawing/2014/main" id="{F648C8C9-0FF2-4A67-936D-5AD601A39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F621EA0" w14:textId="134C1984" w:rsidR="008313D8" w:rsidRDefault="00761820" w:rsidP="008313D8">
      <w:pPr>
        <w:pStyle w:val="ListBullet"/>
        <w:numPr>
          <w:ilvl w:val="0"/>
          <w:numId w:val="0"/>
        </w:numPr>
        <w:rPr>
          <w:rFonts w:cs="Arial"/>
        </w:rPr>
      </w:pPr>
      <w:r w:rsidRPr="00EB3D5A">
        <w:rPr>
          <w:rFonts w:cs="Arial"/>
          <w:b/>
        </w:rPr>
        <w:t>Figure</w:t>
      </w:r>
      <w:r>
        <w:rPr>
          <w:rFonts w:cs="Arial"/>
          <w:b/>
        </w:rPr>
        <w:t xml:space="preserve"> 1</w:t>
      </w:r>
      <w:r w:rsidR="004B7B74">
        <w:rPr>
          <w:rFonts w:cs="Arial"/>
          <w:b/>
        </w:rPr>
        <w:t>4</w:t>
      </w:r>
      <w:r w:rsidR="00927F28">
        <w:rPr>
          <w:rFonts w:cs="Arial"/>
          <w:b/>
        </w:rPr>
        <w:t xml:space="preserve"> </w:t>
      </w:r>
      <w:r w:rsidR="008B5B6C">
        <w:rPr>
          <w:rFonts w:cs="Arial"/>
        </w:rPr>
        <w:t>shows</w:t>
      </w:r>
      <w:r w:rsidRPr="00EB3D5A">
        <w:rPr>
          <w:rFonts w:cs="Arial"/>
        </w:rPr>
        <w:t xml:space="preserve"> the number of </w:t>
      </w:r>
      <w:r>
        <w:rPr>
          <w:rFonts w:cs="Arial"/>
          <w:color w:val="000000"/>
          <w:lang w:eastAsia="en-AU"/>
        </w:rPr>
        <w:t>cases</w:t>
      </w:r>
      <w:r w:rsidR="00927F28">
        <w:rPr>
          <w:rFonts w:cs="Arial"/>
          <w:color w:val="000000"/>
          <w:lang w:eastAsia="en-AU"/>
        </w:rPr>
        <w:t xml:space="preserve"> </w:t>
      </w:r>
      <w:r w:rsidR="00927F28">
        <w:rPr>
          <w:rFonts w:cs="Arial"/>
        </w:rPr>
        <w:t xml:space="preserve">received and closed each year </w:t>
      </w:r>
      <w:r w:rsidR="008B5B6C">
        <w:rPr>
          <w:rFonts w:cs="Arial"/>
        </w:rPr>
        <w:t>from</w:t>
      </w:r>
      <w:r w:rsidR="00927F28" w:rsidRPr="00CB7184">
        <w:rPr>
          <w:rFonts w:cs="Arial"/>
        </w:rPr>
        <w:t xml:space="preserve"> </w:t>
      </w:r>
      <w:r w:rsidR="00214024">
        <w:rPr>
          <w:rFonts w:cs="Arial"/>
        </w:rPr>
        <w:t xml:space="preserve">1 </w:t>
      </w:r>
      <w:r w:rsidR="00927F28">
        <w:rPr>
          <w:rFonts w:cs="Arial"/>
        </w:rPr>
        <w:t xml:space="preserve">November 2015 </w:t>
      </w:r>
      <w:r w:rsidR="00927F28" w:rsidRPr="00080CEC">
        <w:rPr>
          <w:rFonts w:cs="Arial"/>
        </w:rPr>
        <w:t>to 31 December 20</w:t>
      </w:r>
      <w:r w:rsidR="00927F28">
        <w:rPr>
          <w:rFonts w:cs="Arial"/>
        </w:rPr>
        <w:t>22.</w:t>
      </w:r>
      <w:r w:rsidR="00DA1D7C">
        <w:rPr>
          <w:rFonts w:cs="Arial"/>
        </w:rPr>
        <w:t xml:space="preserve"> </w:t>
      </w:r>
      <w:r w:rsidR="00DA1D7C" w:rsidRPr="00FD3720">
        <w:rPr>
          <w:rFonts w:cs="Arial"/>
        </w:rPr>
        <w:t xml:space="preserve">Further detail and analysis </w:t>
      </w:r>
      <w:r w:rsidR="008B5B6C">
        <w:rPr>
          <w:rFonts w:cs="Arial"/>
        </w:rPr>
        <w:t>of</w:t>
      </w:r>
      <w:r w:rsidR="00DA1D7C" w:rsidRPr="00FD3720">
        <w:rPr>
          <w:rFonts w:cs="Arial"/>
        </w:rPr>
        <w:t xml:space="preserve"> these </w:t>
      </w:r>
      <w:r w:rsidR="00DA1D7C">
        <w:rPr>
          <w:rFonts w:cs="Arial"/>
          <w:color w:val="000000"/>
          <w:lang w:eastAsia="en-AU"/>
        </w:rPr>
        <w:t>cases</w:t>
      </w:r>
      <w:r w:rsidR="00DA1D7C" w:rsidRPr="00FD3720">
        <w:rPr>
          <w:rFonts w:cs="Arial"/>
        </w:rPr>
        <w:t xml:space="preserve"> is available on </w:t>
      </w:r>
      <w:r w:rsidR="00DA1D7C" w:rsidRPr="00B910AA">
        <w:rPr>
          <w:rFonts w:cs="Arial"/>
        </w:rPr>
        <w:t>page 1</w:t>
      </w:r>
      <w:r w:rsidR="00C33E54">
        <w:rPr>
          <w:rFonts w:cs="Arial"/>
        </w:rPr>
        <w:t>9</w:t>
      </w:r>
      <w:r w:rsidR="00DA1D7C">
        <w:rPr>
          <w:rFonts w:cs="Arial"/>
        </w:rPr>
        <w:t>.</w:t>
      </w:r>
    </w:p>
    <w:p w14:paraId="13C985C3" w14:textId="58DF82C3" w:rsidR="005F40CC" w:rsidRDefault="00242FB5" w:rsidP="008313D8">
      <w:pPr>
        <w:pStyle w:val="ListBullet"/>
        <w:numPr>
          <w:ilvl w:val="0"/>
          <w:numId w:val="0"/>
        </w:numPr>
        <w:rPr>
          <w:rFonts w:cs="Arial"/>
          <w:i/>
          <w:sz w:val="16"/>
          <w:szCs w:val="16"/>
        </w:rPr>
      </w:pPr>
      <w:r>
        <w:rPr>
          <w:noProof/>
        </w:rPr>
        <w:drawing>
          <wp:inline distT="0" distB="0" distL="0" distR="0" wp14:anchorId="11A8524D" wp14:editId="335109AC">
            <wp:extent cx="6619875" cy="4581525"/>
            <wp:effectExtent l="0" t="0" r="9525" b="9525"/>
            <wp:docPr id="24" name="Chart 24" descr="Figure 14: Total number of cases opened and closed per year since the inception of the office. ">
              <a:extLst xmlns:a="http://schemas.openxmlformats.org/drawingml/2006/main">
                <a:ext uri="{FF2B5EF4-FFF2-40B4-BE49-F238E27FC236}">
                  <a16:creationId xmlns:a16="http://schemas.microsoft.com/office/drawing/2014/main" id="{13AB3E08-A619-4720-8D31-38DDDF998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F40CC" w:rsidRPr="00EB3D5A">
        <w:rPr>
          <w:rFonts w:cs="Arial"/>
          <w:i/>
          <w:sz w:val="16"/>
          <w:szCs w:val="16"/>
        </w:rPr>
        <w:t xml:space="preserve">*2015-16 – refers to </w:t>
      </w:r>
      <w:r w:rsidR="005F40CC">
        <w:rPr>
          <w:rFonts w:cs="Arial"/>
          <w:i/>
          <w:sz w:val="16"/>
          <w:szCs w:val="16"/>
        </w:rPr>
        <w:t>case volumes from</w:t>
      </w:r>
      <w:r w:rsidR="005F40CC" w:rsidRPr="00EB3D5A">
        <w:rPr>
          <w:rFonts w:cs="Arial"/>
          <w:i/>
          <w:sz w:val="16"/>
          <w:szCs w:val="16"/>
        </w:rPr>
        <w:t xml:space="preserve"> inception of the Office on 1 November 2015 </w:t>
      </w:r>
      <w:r w:rsidR="005F40CC">
        <w:rPr>
          <w:rFonts w:cs="Arial"/>
          <w:i/>
          <w:sz w:val="16"/>
          <w:szCs w:val="16"/>
        </w:rPr>
        <w:t>through</w:t>
      </w:r>
      <w:r w:rsidR="005F40CC" w:rsidRPr="00EB3D5A">
        <w:rPr>
          <w:rFonts w:cs="Arial"/>
          <w:i/>
          <w:sz w:val="16"/>
          <w:szCs w:val="16"/>
        </w:rPr>
        <w:t xml:space="preserve"> 31 December 2016</w:t>
      </w:r>
    </w:p>
    <w:p w14:paraId="1819A43E" w14:textId="29B627F1" w:rsidR="009E13B2" w:rsidRPr="003329B0" w:rsidRDefault="009E13B2" w:rsidP="00474668">
      <w:pPr>
        <w:pStyle w:val="Heading3"/>
      </w:pPr>
      <w:bookmarkStart w:id="31" w:name="_Toc135390589"/>
      <w:r w:rsidRPr="003329B0">
        <w:lastRenderedPageBreak/>
        <w:t xml:space="preserve">Complaint </w:t>
      </w:r>
      <w:r w:rsidR="008B5B6C" w:rsidRPr="003329B0">
        <w:t>i</w:t>
      </w:r>
      <w:r w:rsidRPr="003329B0">
        <w:t>ssues – overview 2015-</w:t>
      </w:r>
      <w:r w:rsidR="00237A64" w:rsidRPr="003329B0">
        <w:t>20</w:t>
      </w:r>
      <w:r w:rsidRPr="003329B0">
        <w:t>22</w:t>
      </w:r>
      <w:bookmarkEnd w:id="31"/>
    </w:p>
    <w:p w14:paraId="210D104A" w14:textId="21EB89DE" w:rsidR="00C00EA3" w:rsidRDefault="009E13B2" w:rsidP="00C00EA3">
      <w:pPr>
        <w:rPr>
          <w:rFonts w:cs="Arial"/>
        </w:rPr>
      </w:pPr>
      <w:r w:rsidRPr="00C515C0">
        <w:rPr>
          <w:rFonts w:cs="Arial"/>
          <w:b/>
        </w:rPr>
        <w:t>Figure 1</w:t>
      </w:r>
      <w:r w:rsidR="004B7B74">
        <w:rPr>
          <w:rFonts w:cs="Arial"/>
          <w:b/>
        </w:rPr>
        <w:t>5</w:t>
      </w:r>
      <w:r>
        <w:rPr>
          <w:rFonts w:cs="Arial"/>
        </w:rPr>
        <w:t xml:space="preserve"> </w:t>
      </w:r>
      <w:r w:rsidR="008B5B6C">
        <w:rPr>
          <w:rFonts w:cs="Arial"/>
        </w:rPr>
        <w:t>shows the number of times a complaint issue has been raised across all c</w:t>
      </w:r>
      <w:r w:rsidR="006F146F">
        <w:rPr>
          <w:rFonts w:cs="Arial"/>
        </w:rPr>
        <w:t>ase</w:t>
      </w:r>
      <w:r w:rsidR="008B5B6C">
        <w:rPr>
          <w:rFonts w:cs="Arial"/>
        </w:rPr>
        <w:t>s received by the Office</w:t>
      </w:r>
      <w:r w:rsidR="001208BE">
        <w:rPr>
          <w:rFonts w:cs="Arial"/>
        </w:rPr>
        <w:t xml:space="preserve"> since its inception </w:t>
      </w:r>
      <w:r w:rsidR="009D2283">
        <w:rPr>
          <w:rFonts w:cs="Arial"/>
        </w:rPr>
        <w:t>o</w:t>
      </w:r>
      <w:r w:rsidR="001208BE">
        <w:rPr>
          <w:rFonts w:cs="Arial"/>
        </w:rPr>
        <w:t xml:space="preserve">n </w:t>
      </w:r>
      <w:r w:rsidR="009D2283">
        <w:rPr>
          <w:rFonts w:cs="Arial"/>
        </w:rPr>
        <w:t xml:space="preserve">1 </w:t>
      </w:r>
      <w:r w:rsidR="001208BE">
        <w:rPr>
          <w:rFonts w:cs="Arial"/>
        </w:rPr>
        <w:t>November 2015</w:t>
      </w:r>
      <w:r w:rsidR="008B5B6C">
        <w:rPr>
          <w:rFonts w:cs="Arial"/>
        </w:rPr>
        <w:t xml:space="preserve">. </w:t>
      </w:r>
      <w:r w:rsidR="00187DE8" w:rsidRPr="00187DE8">
        <w:rPr>
          <w:rFonts w:cs="Arial"/>
          <w:b/>
          <w:bCs/>
        </w:rPr>
        <w:t>N</w:t>
      </w:r>
      <w:r w:rsidR="00C00EA3" w:rsidRPr="00187DE8">
        <w:rPr>
          <w:rFonts w:cs="Arial"/>
          <w:b/>
          <w:bCs/>
        </w:rPr>
        <w:t>ote</w:t>
      </w:r>
      <w:r w:rsidR="00C00EA3" w:rsidRPr="00EE2DBF">
        <w:rPr>
          <w:rFonts w:cs="Arial"/>
        </w:rPr>
        <w:t xml:space="preserve">: a case may include </w:t>
      </w:r>
      <w:r w:rsidR="00720998">
        <w:rPr>
          <w:rFonts w:cs="Arial"/>
        </w:rPr>
        <w:t xml:space="preserve">one or </w:t>
      </w:r>
      <w:r w:rsidR="00C00EA3" w:rsidRPr="00EE2DBF">
        <w:rPr>
          <w:rFonts w:cs="Arial"/>
        </w:rPr>
        <w:t xml:space="preserve">more </w:t>
      </w:r>
      <w:r w:rsidR="00723073">
        <w:rPr>
          <w:rFonts w:cs="Arial"/>
        </w:rPr>
        <w:t xml:space="preserve">complaint </w:t>
      </w:r>
      <w:r w:rsidR="00C00EA3" w:rsidRPr="00EE2DBF">
        <w:rPr>
          <w:rFonts w:cs="Arial"/>
        </w:rPr>
        <w:t>issue</w:t>
      </w:r>
      <w:r w:rsidR="00720998">
        <w:rPr>
          <w:rFonts w:cs="Arial"/>
        </w:rPr>
        <w:t>s</w:t>
      </w:r>
      <w:r w:rsidR="00C00EA3">
        <w:rPr>
          <w:rFonts w:cs="Arial"/>
        </w:rPr>
        <w:t>.</w:t>
      </w:r>
    </w:p>
    <w:p w14:paraId="7959DECE" w14:textId="2CEF4161" w:rsidR="009E13B2" w:rsidRDefault="00356DDE" w:rsidP="009E13B2">
      <w:pPr>
        <w:rPr>
          <w:rFonts w:cs="Arial"/>
        </w:rPr>
      </w:pPr>
      <w:r>
        <w:rPr>
          <w:noProof/>
        </w:rPr>
        <w:drawing>
          <wp:inline distT="0" distB="0" distL="0" distR="0" wp14:anchorId="71AC02C6" wp14:editId="06760EC2">
            <wp:extent cx="6705600" cy="8448675"/>
            <wp:effectExtent l="0" t="0" r="0" b="9525"/>
            <wp:docPr id="25" name="Chart 25" descr="Figure 15: total number of type of issues raised in cases since the inception of the office from 2015 to 2022">
              <a:extLst xmlns:a="http://schemas.openxmlformats.org/drawingml/2006/main">
                <a:ext uri="{FF2B5EF4-FFF2-40B4-BE49-F238E27FC236}">
                  <a16:creationId xmlns:a16="http://schemas.microsoft.com/office/drawing/2014/main" id="{41735A62-3F5B-405E-A837-F5DFC927B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F67EB6" w14:textId="411348F3" w:rsidR="009E13B2" w:rsidRDefault="00F56730" w:rsidP="00436A9A">
      <w:pPr>
        <w:rPr>
          <w:rFonts w:cs="Arial"/>
          <w:i/>
          <w:sz w:val="16"/>
          <w:szCs w:val="16"/>
        </w:rPr>
      </w:pPr>
      <w:r w:rsidRPr="00C515C0">
        <w:rPr>
          <w:rFonts w:cs="Arial"/>
          <w:b/>
        </w:rPr>
        <w:lastRenderedPageBreak/>
        <w:t>Figure 1</w:t>
      </w:r>
      <w:r w:rsidR="004B7B74">
        <w:rPr>
          <w:rFonts w:cs="Arial"/>
          <w:b/>
        </w:rPr>
        <w:t>6</w:t>
      </w:r>
      <w:r>
        <w:rPr>
          <w:rFonts w:cs="Arial"/>
        </w:rPr>
        <w:t xml:space="preserve"> </w:t>
      </w:r>
      <w:r w:rsidR="00DD6681">
        <w:rPr>
          <w:rFonts w:cs="Arial"/>
        </w:rPr>
        <w:t>shows</w:t>
      </w:r>
      <w:r>
        <w:rPr>
          <w:rFonts w:cs="Arial"/>
        </w:rPr>
        <w:t xml:space="preserve"> issues raised </w:t>
      </w:r>
      <w:r w:rsidR="007B25EC">
        <w:rPr>
          <w:rFonts w:cs="Arial"/>
        </w:rPr>
        <w:t xml:space="preserve">in complaint cases </w:t>
      </w:r>
      <w:r w:rsidR="001208BE">
        <w:rPr>
          <w:rFonts w:cs="Arial"/>
        </w:rPr>
        <w:t>about</w:t>
      </w:r>
      <w:r>
        <w:rPr>
          <w:rFonts w:cs="Arial"/>
        </w:rPr>
        <w:t xml:space="preserve"> proposed and operating wind farms each calendar year since the inception of the Office.</w:t>
      </w:r>
      <w:r w:rsidR="003C6DFF">
        <w:rPr>
          <w:rFonts w:cs="Arial"/>
        </w:rPr>
        <w:t xml:space="preserve"> </w:t>
      </w:r>
      <w:r w:rsidR="003C6DFF" w:rsidRPr="00BB36A1">
        <w:rPr>
          <w:rFonts w:cs="Arial"/>
          <w:b/>
          <w:bCs/>
        </w:rPr>
        <w:t>Note</w:t>
      </w:r>
      <w:r w:rsidR="00723073" w:rsidRPr="00BB36A1">
        <w:rPr>
          <w:rFonts w:cs="Arial"/>
          <w:b/>
          <w:bCs/>
        </w:rPr>
        <w:t>:</w:t>
      </w:r>
      <w:r w:rsidR="003C6DFF">
        <w:rPr>
          <w:rFonts w:cs="Arial"/>
        </w:rPr>
        <w:t xml:space="preserve"> a case may contain one or more </w:t>
      </w:r>
      <w:r w:rsidR="00C96304">
        <w:rPr>
          <w:rFonts w:cs="Arial"/>
        </w:rPr>
        <w:t>complaint issues.</w:t>
      </w:r>
      <w:r w:rsidR="00334C9B">
        <w:rPr>
          <w:noProof/>
        </w:rPr>
        <w:drawing>
          <wp:inline distT="0" distB="0" distL="0" distR="0" wp14:anchorId="138EAD79" wp14:editId="3BA6C003">
            <wp:extent cx="6629400" cy="8943975"/>
            <wp:effectExtent l="0" t="0" r="0" b="9525"/>
            <wp:docPr id="26" name="Chart 26" descr="Figure 16: total number of issues raised in cases relating to Wind Farms per year since the inception of the office from 2015 to 2022">
              <a:extLst xmlns:a="http://schemas.openxmlformats.org/drawingml/2006/main">
                <a:ext uri="{FF2B5EF4-FFF2-40B4-BE49-F238E27FC236}">
                  <a16:creationId xmlns:a16="http://schemas.microsoft.com/office/drawing/2014/main" id="{32FACC69-8FA1-4A86-8CB6-D756CC800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451A96" w:rsidRPr="00451A96">
        <w:rPr>
          <w:rFonts w:cs="Arial"/>
          <w:i/>
          <w:sz w:val="16"/>
          <w:szCs w:val="16"/>
        </w:rPr>
        <w:t xml:space="preserve"> </w:t>
      </w:r>
      <w:r w:rsidR="00451A96" w:rsidRPr="00EB3D5A">
        <w:rPr>
          <w:rFonts w:cs="Arial"/>
          <w:i/>
          <w:sz w:val="16"/>
          <w:szCs w:val="16"/>
        </w:rPr>
        <w:t xml:space="preserve">*2015-16 – refers to </w:t>
      </w:r>
      <w:r w:rsidR="00451A96">
        <w:rPr>
          <w:rFonts w:cs="Arial"/>
          <w:i/>
          <w:sz w:val="16"/>
          <w:szCs w:val="16"/>
        </w:rPr>
        <w:t>case volumes from</w:t>
      </w:r>
      <w:r w:rsidR="00451A96" w:rsidRPr="00EB3D5A">
        <w:rPr>
          <w:rFonts w:cs="Arial"/>
          <w:i/>
          <w:sz w:val="16"/>
          <w:szCs w:val="16"/>
        </w:rPr>
        <w:t xml:space="preserve"> inception of the Office on 1 November 2015 </w:t>
      </w:r>
      <w:r w:rsidR="00451A96">
        <w:rPr>
          <w:rFonts w:cs="Arial"/>
          <w:i/>
          <w:sz w:val="16"/>
          <w:szCs w:val="16"/>
        </w:rPr>
        <w:t>through</w:t>
      </w:r>
      <w:r w:rsidR="00451A96" w:rsidRPr="00EB3D5A">
        <w:rPr>
          <w:rFonts w:cs="Arial"/>
          <w:i/>
          <w:sz w:val="16"/>
          <w:szCs w:val="16"/>
        </w:rPr>
        <w:t xml:space="preserve"> 31 December 2016</w:t>
      </w:r>
    </w:p>
    <w:p w14:paraId="1A49572F" w14:textId="438150D5" w:rsidR="00806891" w:rsidRDefault="00806891" w:rsidP="00806891">
      <w:pPr>
        <w:rPr>
          <w:rFonts w:cs="Arial"/>
        </w:rPr>
      </w:pPr>
      <w:r w:rsidRPr="00C515C0">
        <w:rPr>
          <w:rFonts w:cs="Arial"/>
          <w:b/>
        </w:rPr>
        <w:lastRenderedPageBreak/>
        <w:t xml:space="preserve">Figure </w:t>
      </w:r>
      <w:r w:rsidR="007A553A" w:rsidRPr="00C515C0">
        <w:rPr>
          <w:rFonts w:cs="Arial"/>
          <w:b/>
        </w:rPr>
        <w:t>1</w:t>
      </w:r>
      <w:r w:rsidR="004B7B74">
        <w:rPr>
          <w:rFonts w:cs="Arial"/>
          <w:b/>
        </w:rPr>
        <w:t>7</w:t>
      </w:r>
      <w:r w:rsidR="007A553A">
        <w:rPr>
          <w:rFonts w:cs="Arial"/>
        </w:rPr>
        <w:t xml:space="preserve"> </w:t>
      </w:r>
      <w:r w:rsidR="007C406D">
        <w:rPr>
          <w:rFonts w:cs="Arial"/>
        </w:rPr>
        <w:t>s</w:t>
      </w:r>
      <w:r w:rsidR="007A553A">
        <w:rPr>
          <w:rFonts w:cs="Arial"/>
        </w:rPr>
        <w:t>hows</w:t>
      </w:r>
      <w:r w:rsidR="00436A9A">
        <w:rPr>
          <w:rFonts w:cs="Arial"/>
        </w:rPr>
        <w:t xml:space="preserve"> the issues raised in general enquiries</w:t>
      </w:r>
      <w:r w:rsidR="005F36F2">
        <w:rPr>
          <w:rFonts w:cs="Arial"/>
        </w:rPr>
        <w:t>, proposed solar farms and storage</w:t>
      </w:r>
      <w:r w:rsidR="00436A9A">
        <w:rPr>
          <w:rFonts w:cs="Arial"/>
        </w:rPr>
        <w:t xml:space="preserve"> </w:t>
      </w:r>
      <w:r w:rsidR="000D1B67">
        <w:rPr>
          <w:rFonts w:cs="Arial"/>
        </w:rPr>
        <w:t xml:space="preserve">projects </w:t>
      </w:r>
      <w:r w:rsidR="00436A9A">
        <w:rPr>
          <w:rFonts w:cs="Arial"/>
        </w:rPr>
        <w:t xml:space="preserve">each calendar year since the inception of the Office. </w:t>
      </w:r>
      <w:r w:rsidR="00A333CA" w:rsidRPr="00D228B7">
        <w:rPr>
          <w:rFonts w:cs="Arial"/>
          <w:b/>
          <w:bCs/>
        </w:rPr>
        <w:t>Note</w:t>
      </w:r>
      <w:r w:rsidR="00D228B7" w:rsidRPr="00D228B7">
        <w:rPr>
          <w:rFonts w:cs="Arial"/>
          <w:b/>
          <w:bCs/>
        </w:rPr>
        <w:t>:</w:t>
      </w:r>
      <w:r w:rsidR="00D228B7">
        <w:rPr>
          <w:rFonts w:cs="Arial"/>
        </w:rPr>
        <w:t xml:space="preserve"> a</w:t>
      </w:r>
      <w:r w:rsidR="00A333CA">
        <w:rPr>
          <w:rFonts w:cs="Arial"/>
        </w:rPr>
        <w:t xml:space="preserve"> </w:t>
      </w:r>
      <w:r w:rsidR="00D228B7">
        <w:rPr>
          <w:rFonts w:cs="Arial"/>
        </w:rPr>
        <w:t xml:space="preserve">general </w:t>
      </w:r>
      <w:r w:rsidR="00A333CA">
        <w:rPr>
          <w:rFonts w:cs="Arial"/>
        </w:rPr>
        <w:t>enquiry</w:t>
      </w:r>
      <w:r w:rsidR="00552420">
        <w:rPr>
          <w:rFonts w:cs="Arial"/>
        </w:rPr>
        <w:t xml:space="preserve"> or case</w:t>
      </w:r>
      <w:r w:rsidR="00431F60">
        <w:rPr>
          <w:rFonts w:cs="Arial"/>
        </w:rPr>
        <w:t xml:space="preserve"> may contain one or more</w:t>
      </w:r>
      <w:r w:rsidR="00C85F89">
        <w:rPr>
          <w:rFonts w:cs="Arial"/>
        </w:rPr>
        <w:t xml:space="preserve"> </w:t>
      </w:r>
      <w:r w:rsidR="00D228B7">
        <w:rPr>
          <w:rFonts w:cs="Arial"/>
        </w:rPr>
        <w:t xml:space="preserve">complaint </w:t>
      </w:r>
      <w:r w:rsidR="00C85F89">
        <w:rPr>
          <w:rFonts w:cs="Arial"/>
        </w:rPr>
        <w:t>issues.</w:t>
      </w:r>
    </w:p>
    <w:p w14:paraId="4AB7DD3E" w14:textId="5AA3E5F6" w:rsidR="00806891" w:rsidRDefault="00D06DF5" w:rsidP="008313D8">
      <w:pPr>
        <w:pStyle w:val="ListBullet"/>
        <w:numPr>
          <w:ilvl w:val="0"/>
          <w:numId w:val="0"/>
        </w:numPr>
        <w:rPr>
          <w:rFonts w:cs="Arial"/>
          <w:i/>
          <w:sz w:val="16"/>
          <w:szCs w:val="16"/>
        </w:rPr>
      </w:pPr>
      <w:r>
        <w:rPr>
          <w:noProof/>
        </w:rPr>
        <w:drawing>
          <wp:inline distT="0" distB="0" distL="0" distR="0" wp14:anchorId="22D48848" wp14:editId="1C0D5418">
            <wp:extent cx="6629400" cy="8629650"/>
            <wp:effectExtent l="0" t="0" r="0" b="0"/>
            <wp:docPr id="43" name="Chart 43" descr="Figure 17: total number of issues raised in cases relating to general enquiries, storage facility and solar farms per year since the inception of the office from 2015 to 2022">
              <a:extLst xmlns:a="http://schemas.openxmlformats.org/drawingml/2006/main">
                <a:ext uri="{FF2B5EF4-FFF2-40B4-BE49-F238E27FC236}">
                  <a16:creationId xmlns:a16="http://schemas.microsoft.com/office/drawing/2014/main" id="{0B8DF591-C326-4038-BAA0-9293B6A3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51A96" w:rsidRPr="00EB3D5A">
        <w:rPr>
          <w:rFonts w:cs="Arial"/>
          <w:i/>
          <w:sz w:val="16"/>
          <w:szCs w:val="16"/>
        </w:rPr>
        <w:t xml:space="preserve">*2015-16 – refers to </w:t>
      </w:r>
      <w:r w:rsidR="00451A96">
        <w:rPr>
          <w:rFonts w:cs="Arial"/>
          <w:i/>
          <w:sz w:val="16"/>
          <w:szCs w:val="16"/>
        </w:rPr>
        <w:t>case volumes from</w:t>
      </w:r>
      <w:r w:rsidR="00451A96" w:rsidRPr="00EB3D5A">
        <w:rPr>
          <w:rFonts w:cs="Arial"/>
          <w:i/>
          <w:sz w:val="16"/>
          <w:szCs w:val="16"/>
        </w:rPr>
        <w:t xml:space="preserve"> inception of the Office on 1 November 2015 </w:t>
      </w:r>
      <w:r w:rsidR="00451A96">
        <w:rPr>
          <w:rFonts w:cs="Arial"/>
          <w:i/>
          <w:sz w:val="16"/>
          <w:szCs w:val="16"/>
        </w:rPr>
        <w:t>through</w:t>
      </w:r>
      <w:r w:rsidR="00451A96" w:rsidRPr="00EB3D5A">
        <w:rPr>
          <w:rFonts w:cs="Arial"/>
          <w:i/>
          <w:sz w:val="16"/>
          <w:szCs w:val="16"/>
        </w:rPr>
        <w:t xml:space="preserve"> 31 December 2016</w:t>
      </w:r>
    </w:p>
    <w:p w14:paraId="15AD73A7" w14:textId="1BE27A94" w:rsidR="009E13B2" w:rsidRPr="00451A96" w:rsidRDefault="00C00EA3" w:rsidP="00926B3E">
      <w:r w:rsidRPr="00C515C0">
        <w:rPr>
          <w:rFonts w:cs="Arial"/>
          <w:b/>
        </w:rPr>
        <w:lastRenderedPageBreak/>
        <w:t xml:space="preserve">Figure </w:t>
      </w:r>
      <w:r w:rsidR="004B7B74">
        <w:rPr>
          <w:rFonts w:cs="Arial"/>
          <w:b/>
        </w:rPr>
        <w:t>18</w:t>
      </w:r>
      <w:r>
        <w:rPr>
          <w:rFonts w:cs="Arial"/>
        </w:rPr>
        <w:t xml:space="preserve"> </w:t>
      </w:r>
      <w:r w:rsidR="00D8027B">
        <w:rPr>
          <w:rFonts w:cs="Arial"/>
        </w:rPr>
        <w:t>shows</w:t>
      </w:r>
      <w:r>
        <w:rPr>
          <w:rFonts w:cs="Arial"/>
        </w:rPr>
        <w:t xml:space="preserve"> issues </w:t>
      </w:r>
      <w:r w:rsidR="001208BE">
        <w:rPr>
          <w:rFonts w:cs="Arial"/>
        </w:rPr>
        <w:t xml:space="preserve">raised </w:t>
      </w:r>
      <w:r w:rsidR="00C85F89">
        <w:rPr>
          <w:rFonts w:cs="Arial"/>
        </w:rPr>
        <w:t>in complaint</w:t>
      </w:r>
      <w:r w:rsidR="00CE7870">
        <w:rPr>
          <w:rFonts w:cs="Arial"/>
        </w:rPr>
        <w:t xml:space="preserve"> cases </w:t>
      </w:r>
      <w:r w:rsidR="001208BE">
        <w:rPr>
          <w:rFonts w:cs="Arial"/>
        </w:rPr>
        <w:t>about</w:t>
      </w:r>
      <w:r>
        <w:rPr>
          <w:rFonts w:cs="Arial"/>
        </w:rPr>
        <w:t xml:space="preserve"> large-scale </w:t>
      </w:r>
      <w:r w:rsidR="00837B7D">
        <w:rPr>
          <w:rFonts w:cs="Arial"/>
        </w:rPr>
        <w:t>transmission</w:t>
      </w:r>
      <w:r>
        <w:rPr>
          <w:rFonts w:cs="Arial"/>
        </w:rPr>
        <w:t xml:space="preserve"> projects each calendar year </w:t>
      </w:r>
      <w:r>
        <w:t>since March 2021.</w:t>
      </w:r>
      <w:r w:rsidR="0011070C">
        <w:t xml:space="preserve"> </w:t>
      </w:r>
      <w:r w:rsidR="0011070C" w:rsidRPr="002803CC">
        <w:rPr>
          <w:b/>
          <w:bCs/>
        </w:rPr>
        <w:t>N</w:t>
      </w:r>
      <w:r w:rsidR="00970AEC" w:rsidRPr="002803CC">
        <w:rPr>
          <w:b/>
          <w:bCs/>
        </w:rPr>
        <w:t>ote</w:t>
      </w:r>
      <w:r w:rsidR="002803CC" w:rsidRPr="002803CC">
        <w:rPr>
          <w:b/>
          <w:bCs/>
        </w:rPr>
        <w:t>:</w:t>
      </w:r>
      <w:r w:rsidR="00970AEC">
        <w:t xml:space="preserve"> a case may contain one or more complaint issues.</w:t>
      </w:r>
      <w:r w:rsidR="00926B3E">
        <w:rPr>
          <w:noProof/>
        </w:rPr>
        <w:drawing>
          <wp:inline distT="0" distB="0" distL="0" distR="0" wp14:anchorId="73719C50" wp14:editId="5456431A">
            <wp:extent cx="6629400" cy="8915400"/>
            <wp:effectExtent l="0" t="0" r="0" b="0"/>
            <wp:docPr id="44" name="Chart 44" descr="Figure 18: total number of issues raised in cases relating to Transmission Projects per year from 2021 to 2022">
              <a:extLst xmlns:a="http://schemas.openxmlformats.org/drawingml/2006/main">
                <a:ext uri="{FF2B5EF4-FFF2-40B4-BE49-F238E27FC236}">
                  <a16:creationId xmlns:a16="http://schemas.microsoft.com/office/drawing/2014/main" id="{ED4F6E86-339F-4879-A637-7AFDC1D6D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A8542E" w:rsidRPr="00A8542E">
        <w:rPr>
          <w:rFonts w:cs="Arial"/>
          <w:i/>
          <w:sz w:val="16"/>
          <w:szCs w:val="16"/>
        </w:rPr>
        <w:t xml:space="preserve"> </w:t>
      </w:r>
      <w:r w:rsidR="00A8542E" w:rsidRPr="00EB3D5A">
        <w:rPr>
          <w:rFonts w:cs="Arial"/>
          <w:i/>
          <w:sz w:val="16"/>
          <w:szCs w:val="16"/>
        </w:rPr>
        <w:t xml:space="preserve">*2015-16 – refers to </w:t>
      </w:r>
      <w:r w:rsidR="00A8542E">
        <w:rPr>
          <w:rFonts w:cs="Arial"/>
          <w:i/>
          <w:sz w:val="16"/>
          <w:szCs w:val="16"/>
        </w:rPr>
        <w:t>case volumes from</w:t>
      </w:r>
      <w:r w:rsidR="00A8542E" w:rsidRPr="00EB3D5A">
        <w:rPr>
          <w:rFonts w:cs="Arial"/>
          <w:i/>
          <w:sz w:val="16"/>
          <w:szCs w:val="16"/>
        </w:rPr>
        <w:t xml:space="preserve"> inception of the Office on 1 November 2015 </w:t>
      </w:r>
      <w:r w:rsidR="00A8542E">
        <w:rPr>
          <w:rFonts w:cs="Arial"/>
          <w:i/>
          <w:sz w:val="16"/>
          <w:szCs w:val="16"/>
        </w:rPr>
        <w:t>through</w:t>
      </w:r>
      <w:r w:rsidR="00A8542E" w:rsidRPr="00EB3D5A">
        <w:rPr>
          <w:rFonts w:cs="Arial"/>
          <w:i/>
          <w:sz w:val="16"/>
          <w:szCs w:val="16"/>
        </w:rPr>
        <w:t xml:space="preserve"> 31 December 2016</w:t>
      </w:r>
    </w:p>
    <w:p w14:paraId="2E401730" w14:textId="2FCE85B3" w:rsidR="00304241" w:rsidRPr="003329B0" w:rsidRDefault="00304241" w:rsidP="00474668">
      <w:pPr>
        <w:pStyle w:val="Heading3"/>
      </w:pPr>
      <w:bookmarkStart w:id="32" w:name="_Toc135390590"/>
      <w:r w:rsidRPr="003329B0">
        <w:lastRenderedPageBreak/>
        <w:t xml:space="preserve">Key observations on complaint </w:t>
      </w:r>
      <w:r w:rsidR="00C57CD4" w:rsidRPr="003329B0">
        <w:t>data for</w:t>
      </w:r>
      <w:r w:rsidRPr="003329B0">
        <w:t xml:space="preserve"> 202</w:t>
      </w:r>
      <w:r w:rsidR="00927F28" w:rsidRPr="003329B0">
        <w:t>2</w:t>
      </w:r>
      <w:bookmarkEnd w:id="32"/>
    </w:p>
    <w:p w14:paraId="41B4AE13" w14:textId="77F81B54" w:rsidR="00DF5036" w:rsidRPr="00DF5036" w:rsidRDefault="00DF5036" w:rsidP="00FF7782">
      <w:pPr>
        <w:pStyle w:val="NormalWeb"/>
        <w:spacing w:before="0" w:beforeAutospacing="0" w:after="200" w:afterAutospacing="0" w:line="264" w:lineRule="auto"/>
        <w:rPr>
          <w:rFonts w:ascii="Arial" w:eastAsia="Times New Roman" w:hAnsi="Arial" w:cs="Arial"/>
          <w:color w:val="0E101A"/>
          <w:sz w:val="22"/>
          <w:szCs w:val="22"/>
        </w:rPr>
      </w:pPr>
      <w:r w:rsidRPr="00DF5036">
        <w:rPr>
          <w:rFonts w:ascii="Arial" w:hAnsi="Arial" w:cs="Arial"/>
          <w:color w:val="0E101A"/>
          <w:sz w:val="22"/>
          <w:szCs w:val="22"/>
        </w:rPr>
        <w:t>Some key observations on the 2022 complaint case data include:</w:t>
      </w:r>
    </w:p>
    <w:p w14:paraId="6A63EBFD" w14:textId="5A85539C" w:rsidR="007C341B" w:rsidRDefault="00EA1778" w:rsidP="00CF1728">
      <w:pPr>
        <w:pStyle w:val="ListParagraph"/>
        <w:numPr>
          <w:ilvl w:val="0"/>
          <w:numId w:val="39"/>
        </w:numPr>
        <w:spacing w:after="0" w:line="240" w:lineRule="auto"/>
        <w:rPr>
          <w:rFonts w:cs="Arial"/>
          <w:color w:val="0E101A"/>
        </w:rPr>
      </w:pPr>
      <w:r>
        <w:rPr>
          <w:rFonts w:cs="Arial"/>
          <w:color w:val="0E101A"/>
        </w:rPr>
        <w:t xml:space="preserve">Overall, </w:t>
      </w:r>
      <w:r w:rsidR="00BD2ECF">
        <w:rPr>
          <w:rFonts w:cs="Arial"/>
          <w:color w:val="0E101A"/>
        </w:rPr>
        <w:t xml:space="preserve">the number of </w:t>
      </w:r>
      <w:r>
        <w:rPr>
          <w:rFonts w:cs="Arial"/>
          <w:color w:val="0E101A"/>
        </w:rPr>
        <w:t>cases lodged in 2022</w:t>
      </w:r>
      <w:r w:rsidR="00BD2ECF">
        <w:rPr>
          <w:rFonts w:cs="Arial"/>
          <w:color w:val="0E101A"/>
        </w:rPr>
        <w:t xml:space="preserve"> dropped signifi</w:t>
      </w:r>
      <w:r w:rsidR="00664E3A">
        <w:rPr>
          <w:rFonts w:cs="Arial"/>
          <w:color w:val="0E101A"/>
        </w:rPr>
        <w:t xml:space="preserve">cantly compared with 2021. There were </w:t>
      </w:r>
      <w:r w:rsidR="00015404">
        <w:rPr>
          <w:rFonts w:cs="Arial"/>
          <w:color w:val="0E101A"/>
        </w:rPr>
        <w:t xml:space="preserve">87 cases in 2022 compared with 212 cases in </w:t>
      </w:r>
      <w:r w:rsidR="002F06D6">
        <w:rPr>
          <w:rFonts w:cs="Arial"/>
          <w:color w:val="0E101A"/>
        </w:rPr>
        <w:t>2021.</w:t>
      </w:r>
    </w:p>
    <w:p w14:paraId="2BE5BEBA" w14:textId="77777777" w:rsidR="007C341B" w:rsidRDefault="007C341B" w:rsidP="001B0CDF">
      <w:pPr>
        <w:pStyle w:val="ListParagraph"/>
        <w:numPr>
          <w:ilvl w:val="0"/>
          <w:numId w:val="0"/>
        </w:numPr>
        <w:spacing w:after="0" w:line="240" w:lineRule="auto"/>
        <w:ind w:left="1080"/>
        <w:rPr>
          <w:rFonts w:cs="Arial"/>
          <w:color w:val="0E101A"/>
        </w:rPr>
      </w:pPr>
    </w:p>
    <w:p w14:paraId="6B183979" w14:textId="3D773DAF" w:rsidR="00CF1728" w:rsidRDefault="002F06D6" w:rsidP="00CF1728">
      <w:pPr>
        <w:pStyle w:val="ListParagraph"/>
        <w:numPr>
          <w:ilvl w:val="0"/>
          <w:numId w:val="39"/>
        </w:numPr>
        <w:spacing w:after="0" w:line="240" w:lineRule="auto"/>
        <w:rPr>
          <w:rFonts w:cs="Arial"/>
          <w:color w:val="0E101A"/>
        </w:rPr>
      </w:pPr>
      <w:r>
        <w:rPr>
          <w:rFonts w:cs="Arial"/>
          <w:color w:val="0E101A"/>
        </w:rPr>
        <w:t>The most significant contr</w:t>
      </w:r>
      <w:r w:rsidR="00760D5C">
        <w:rPr>
          <w:rFonts w:cs="Arial"/>
          <w:color w:val="0E101A"/>
        </w:rPr>
        <w:t>ibutor to the overall decrease was the reduction in transmission cases</w:t>
      </w:r>
      <w:r w:rsidR="00D65A16">
        <w:rPr>
          <w:rFonts w:cs="Arial"/>
          <w:color w:val="0E101A"/>
        </w:rPr>
        <w:t xml:space="preserve">. </w:t>
      </w:r>
      <w:r w:rsidR="00F534A3">
        <w:rPr>
          <w:rFonts w:cs="Arial"/>
          <w:color w:val="0E101A"/>
        </w:rPr>
        <w:t>There</w:t>
      </w:r>
      <w:r w:rsidR="00D65A16">
        <w:rPr>
          <w:rFonts w:cs="Arial"/>
          <w:color w:val="0E101A"/>
        </w:rPr>
        <w:t xml:space="preserve"> </w:t>
      </w:r>
      <w:r w:rsidR="00F534A3">
        <w:rPr>
          <w:rFonts w:cs="Arial"/>
          <w:color w:val="0E101A"/>
        </w:rPr>
        <w:t xml:space="preserve">were </w:t>
      </w:r>
      <w:r w:rsidR="00D12E7A">
        <w:rPr>
          <w:rFonts w:cs="Arial"/>
          <w:color w:val="0E101A"/>
        </w:rPr>
        <w:t>44</w:t>
      </w:r>
      <w:r w:rsidR="00F534A3">
        <w:rPr>
          <w:rFonts w:cs="Arial"/>
          <w:color w:val="0E101A"/>
        </w:rPr>
        <w:t xml:space="preserve"> transmission cases</w:t>
      </w:r>
      <w:r w:rsidR="00D12E7A">
        <w:rPr>
          <w:rFonts w:cs="Arial"/>
          <w:color w:val="0E101A"/>
        </w:rPr>
        <w:t xml:space="preserve"> in 2022 compared with 11</w:t>
      </w:r>
      <w:r w:rsidR="00F101A5">
        <w:rPr>
          <w:rFonts w:cs="Arial"/>
          <w:color w:val="0E101A"/>
        </w:rPr>
        <w:t>1 cases in 2021.</w:t>
      </w:r>
      <w:r w:rsidR="00DF5036" w:rsidRPr="00DF5036">
        <w:rPr>
          <w:rFonts w:cs="Arial"/>
          <w:color w:val="0E101A"/>
        </w:rPr>
        <w:t> </w:t>
      </w:r>
      <w:r w:rsidR="00900D2E">
        <w:rPr>
          <w:rFonts w:cs="Arial"/>
          <w:color w:val="0E101A"/>
        </w:rPr>
        <w:t xml:space="preserve">  </w:t>
      </w:r>
    </w:p>
    <w:p w14:paraId="0F636171" w14:textId="77777777" w:rsidR="00CF1728" w:rsidRDefault="00CF1728" w:rsidP="00CF1728">
      <w:pPr>
        <w:pStyle w:val="ListParagraph"/>
        <w:numPr>
          <w:ilvl w:val="0"/>
          <w:numId w:val="0"/>
        </w:numPr>
        <w:spacing w:after="0" w:line="240" w:lineRule="auto"/>
        <w:ind w:left="1080"/>
        <w:rPr>
          <w:rFonts w:cs="Arial"/>
          <w:color w:val="0E101A"/>
        </w:rPr>
      </w:pPr>
    </w:p>
    <w:p w14:paraId="1CF2EDCA" w14:textId="4D8E0B4A" w:rsidR="00E446F8" w:rsidRPr="00E446F8" w:rsidRDefault="00790797" w:rsidP="006251A9">
      <w:pPr>
        <w:pStyle w:val="ListParagraph"/>
        <w:numPr>
          <w:ilvl w:val="0"/>
          <w:numId w:val="39"/>
        </w:numPr>
        <w:spacing w:after="0" w:line="240" w:lineRule="auto"/>
        <w:rPr>
          <w:rFonts w:cs="Arial"/>
          <w:color w:val="0E101A"/>
        </w:rPr>
      </w:pPr>
      <w:r>
        <w:t>Transmiss</w:t>
      </w:r>
      <w:r w:rsidR="00EE07EB">
        <w:t>ion cases represent approximately 50% of</w:t>
      </w:r>
      <w:r w:rsidR="00F624D8">
        <w:t xml:space="preserve"> all cases and, in 2022</w:t>
      </w:r>
      <w:r w:rsidR="00F96826">
        <w:t>,</w:t>
      </w:r>
      <w:r w:rsidR="00F624D8">
        <w:t xml:space="preserve"> related</w:t>
      </w:r>
      <w:r w:rsidR="001C69DC">
        <w:t xml:space="preserve"> to four </w:t>
      </w:r>
      <w:r w:rsidR="007A24B3">
        <w:t xml:space="preserve">proposed </w:t>
      </w:r>
      <w:r w:rsidR="001C69DC">
        <w:t>projects.</w:t>
      </w:r>
    </w:p>
    <w:p w14:paraId="3372A3F2" w14:textId="77777777" w:rsidR="00266C8B" w:rsidRPr="00266C8B" w:rsidRDefault="00266C8B" w:rsidP="00266C8B">
      <w:pPr>
        <w:pStyle w:val="ListParagraph"/>
        <w:numPr>
          <w:ilvl w:val="0"/>
          <w:numId w:val="0"/>
        </w:numPr>
        <w:spacing w:after="0" w:line="240" w:lineRule="auto"/>
        <w:ind w:left="1080"/>
        <w:rPr>
          <w:rFonts w:cs="Arial"/>
          <w:color w:val="0E101A"/>
        </w:rPr>
      </w:pPr>
    </w:p>
    <w:p w14:paraId="6B8E3770" w14:textId="47533F52" w:rsidR="00266C8B" w:rsidRDefault="00266C8B" w:rsidP="006251A9">
      <w:pPr>
        <w:pStyle w:val="ListParagraph"/>
        <w:numPr>
          <w:ilvl w:val="0"/>
          <w:numId w:val="39"/>
        </w:numPr>
        <w:spacing w:after="0" w:line="240" w:lineRule="auto"/>
        <w:rPr>
          <w:rFonts w:cs="Arial"/>
          <w:color w:val="0E101A"/>
        </w:rPr>
      </w:pPr>
      <w:r>
        <w:rPr>
          <w:rFonts w:cs="Arial"/>
          <w:color w:val="0E101A"/>
        </w:rPr>
        <w:t>By comparison, the next largest category of c</w:t>
      </w:r>
      <w:r w:rsidR="003F7E9A">
        <w:rPr>
          <w:rFonts w:cs="Arial"/>
          <w:color w:val="0E101A"/>
        </w:rPr>
        <w:t>ases was proposed wind farms. In 2022, there were 24 cases</w:t>
      </w:r>
      <w:r w:rsidR="00F753B1">
        <w:rPr>
          <w:rFonts w:cs="Arial"/>
          <w:color w:val="0E101A"/>
        </w:rPr>
        <w:t xml:space="preserve"> spread across 15 </w:t>
      </w:r>
      <w:r w:rsidR="005938C3">
        <w:rPr>
          <w:rFonts w:cs="Arial"/>
          <w:color w:val="0E101A"/>
        </w:rPr>
        <w:t xml:space="preserve">proposed </w:t>
      </w:r>
      <w:r w:rsidR="00F753B1">
        <w:rPr>
          <w:rFonts w:cs="Arial"/>
          <w:color w:val="0E101A"/>
        </w:rPr>
        <w:t>wind farm projects</w:t>
      </w:r>
      <w:r w:rsidR="00D9375C">
        <w:rPr>
          <w:rFonts w:cs="Arial"/>
          <w:color w:val="0E101A"/>
        </w:rPr>
        <w:t>. This compares to</w:t>
      </w:r>
      <w:r w:rsidR="00264E8F">
        <w:rPr>
          <w:rFonts w:cs="Arial"/>
          <w:color w:val="0E101A"/>
        </w:rPr>
        <w:t xml:space="preserve"> 2021, when there were </w:t>
      </w:r>
      <w:r w:rsidR="00FC3C3A">
        <w:rPr>
          <w:rFonts w:cs="Arial"/>
          <w:color w:val="0E101A"/>
        </w:rPr>
        <w:t>49 cases about 22 proposed wind farms.</w:t>
      </w:r>
    </w:p>
    <w:p w14:paraId="23CA5170" w14:textId="77777777" w:rsidR="00FA6DF1" w:rsidRDefault="00FA6DF1" w:rsidP="00641693">
      <w:pPr>
        <w:spacing w:after="0" w:line="240" w:lineRule="auto"/>
        <w:rPr>
          <w:rFonts w:cs="Arial"/>
          <w:color w:val="0E101A"/>
        </w:rPr>
      </w:pPr>
    </w:p>
    <w:p w14:paraId="4C743DA6" w14:textId="24DC85B9" w:rsidR="00641693" w:rsidRDefault="0070242B" w:rsidP="00641693">
      <w:pPr>
        <w:pStyle w:val="ListParagraph"/>
        <w:numPr>
          <w:ilvl w:val="0"/>
          <w:numId w:val="39"/>
        </w:numPr>
        <w:spacing w:after="0" w:line="240" w:lineRule="auto"/>
        <w:rPr>
          <w:rFonts w:cs="Arial"/>
          <w:color w:val="0E101A"/>
        </w:rPr>
      </w:pPr>
      <w:r>
        <w:rPr>
          <w:rFonts w:cs="Arial"/>
          <w:color w:val="0E101A"/>
        </w:rPr>
        <w:t>Since inception of the Office in November 2015</w:t>
      </w:r>
      <w:r w:rsidR="003044F0">
        <w:rPr>
          <w:rFonts w:cs="Arial"/>
          <w:color w:val="0E101A"/>
        </w:rPr>
        <w:t>, of the 824 cases lodged, only 9</w:t>
      </w:r>
      <w:r w:rsidR="00441503">
        <w:rPr>
          <w:rFonts w:cs="Arial"/>
          <w:color w:val="0E101A"/>
        </w:rPr>
        <w:t>7 cases related to operating projects</w:t>
      </w:r>
      <w:r w:rsidR="00C4405D">
        <w:rPr>
          <w:rFonts w:cs="Arial"/>
          <w:color w:val="0E101A"/>
        </w:rPr>
        <w:t xml:space="preserve">. Approximately </w:t>
      </w:r>
      <w:r w:rsidR="0035453F">
        <w:rPr>
          <w:rFonts w:cs="Arial"/>
          <w:color w:val="0E101A"/>
        </w:rPr>
        <w:t>89</w:t>
      </w:r>
      <w:r w:rsidR="005F7B02">
        <w:rPr>
          <w:rFonts w:cs="Arial"/>
          <w:color w:val="0E101A"/>
        </w:rPr>
        <w:t>% of cases lodged since inception</w:t>
      </w:r>
      <w:r w:rsidR="00EC6ABA">
        <w:rPr>
          <w:rFonts w:cs="Arial"/>
          <w:color w:val="0E101A"/>
        </w:rPr>
        <w:t xml:space="preserve"> </w:t>
      </w:r>
      <w:r w:rsidR="005F7B02">
        <w:rPr>
          <w:rFonts w:cs="Arial"/>
          <w:color w:val="0E101A"/>
        </w:rPr>
        <w:t>are about proposed projects</w:t>
      </w:r>
      <w:r w:rsidR="00EC6ABA">
        <w:rPr>
          <w:rFonts w:cs="Arial"/>
          <w:color w:val="0E101A"/>
        </w:rPr>
        <w:t xml:space="preserve">. In 2022, </w:t>
      </w:r>
      <w:r w:rsidR="005C5D50">
        <w:rPr>
          <w:rFonts w:cs="Arial"/>
          <w:color w:val="0E101A"/>
        </w:rPr>
        <w:t xml:space="preserve">approximately </w:t>
      </w:r>
      <w:r w:rsidR="00B7754E">
        <w:rPr>
          <w:rFonts w:cs="Arial"/>
          <w:color w:val="0E101A"/>
        </w:rPr>
        <w:t>94%</w:t>
      </w:r>
      <w:r w:rsidR="008644CD">
        <w:rPr>
          <w:rFonts w:cs="Arial"/>
          <w:color w:val="0E101A"/>
        </w:rPr>
        <w:t xml:space="preserve"> of all cases were about proposed projects</w:t>
      </w:r>
      <w:r w:rsidR="009B3A04">
        <w:rPr>
          <w:rFonts w:cs="Arial"/>
          <w:color w:val="0E101A"/>
        </w:rPr>
        <w:t>.</w:t>
      </w:r>
    </w:p>
    <w:p w14:paraId="572F2E5A" w14:textId="77777777" w:rsidR="009B3A04" w:rsidRDefault="009B3A04" w:rsidP="009B3A04">
      <w:pPr>
        <w:spacing w:after="0" w:line="240" w:lineRule="auto"/>
        <w:rPr>
          <w:rFonts w:cs="Arial"/>
          <w:color w:val="0E101A"/>
        </w:rPr>
      </w:pPr>
    </w:p>
    <w:p w14:paraId="44369BFF" w14:textId="76B1AC06" w:rsidR="004442DE" w:rsidRDefault="00C96EAF" w:rsidP="009B3A04">
      <w:pPr>
        <w:pStyle w:val="ListParagraph"/>
        <w:numPr>
          <w:ilvl w:val="0"/>
          <w:numId w:val="39"/>
        </w:numPr>
        <w:spacing w:after="0" w:line="240" w:lineRule="auto"/>
        <w:rPr>
          <w:rFonts w:cs="Arial"/>
          <w:color w:val="0E101A"/>
        </w:rPr>
      </w:pPr>
      <w:r>
        <w:rPr>
          <w:rFonts w:cs="Arial"/>
          <w:color w:val="0E101A"/>
        </w:rPr>
        <w:t>All th</w:t>
      </w:r>
      <w:r w:rsidR="001728DE">
        <w:rPr>
          <w:rFonts w:cs="Arial"/>
          <w:color w:val="0E101A"/>
        </w:rPr>
        <w:t>e</w:t>
      </w:r>
      <w:r>
        <w:rPr>
          <w:rFonts w:cs="Arial"/>
          <w:color w:val="0E101A"/>
        </w:rPr>
        <w:t xml:space="preserve"> operating projects </w:t>
      </w:r>
      <w:r w:rsidR="00E83BAE">
        <w:rPr>
          <w:rFonts w:cs="Arial"/>
          <w:color w:val="0E101A"/>
        </w:rPr>
        <w:t xml:space="preserve">about which complaints have been received </w:t>
      </w:r>
      <w:r>
        <w:rPr>
          <w:rFonts w:cs="Arial"/>
          <w:color w:val="0E101A"/>
        </w:rPr>
        <w:t>are wind farm projec</w:t>
      </w:r>
      <w:r w:rsidR="001728DE">
        <w:rPr>
          <w:rFonts w:cs="Arial"/>
          <w:color w:val="0E101A"/>
        </w:rPr>
        <w:t xml:space="preserve">ts. Since inception, we have </w:t>
      </w:r>
      <w:r w:rsidR="00C42C00">
        <w:rPr>
          <w:rFonts w:cs="Arial"/>
          <w:color w:val="0E101A"/>
        </w:rPr>
        <w:t>handled cases related to 23 operating wind farms.</w:t>
      </w:r>
    </w:p>
    <w:p w14:paraId="590FADFB" w14:textId="77777777" w:rsidR="004442DE" w:rsidRDefault="004442DE" w:rsidP="004442DE">
      <w:pPr>
        <w:spacing w:after="0" w:line="240" w:lineRule="auto"/>
        <w:rPr>
          <w:rFonts w:cs="Arial"/>
          <w:color w:val="0E101A"/>
        </w:rPr>
      </w:pPr>
    </w:p>
    <w:p w14:paraId="705EF4AA" w14:textId="1A6D9C5F" w:rsidR="009B3A04" w:rsidRDefault="004442DE" w:rsidP="004442DE">
      <w:pPr>
        <w:pStyle w:val="ListParagraph"/>
        <w:numPr>
          <w:ilvl w:val="0"/>
          <w:numId w:val="39"/>
        </w:numPr>
        <w:spacing w:after="0" w:line="240" w:lineRule="auto"/>
        <w:rPr>
          <w:rFonts w:cs="Arial"/>
          <w:color w:val="0E101A"/>
        </w:rPr>
      </w:pPr>
      <w:r>
        <w:rPr>
          <w:rFonts w:cs="Arial"/>
          <w:color w:val="0E101A"/>
        </w:rPr>
        <w:t>Separating out transmission c</w:t>
      </w:r>
      <w:r w:rsidR="0043467B">
        <w:rPr>
          <w:rFonts w:cs="Arial"/>
          <w:color w:val="0E101A"/>
        </w:rPr>
        <w:t>a</w:t>
      </w:r>
      <w:r>
        <w:rPr>
          <w:rFonts w:cs="Arial"/>
          <w:color w:val="0E101A"/>
        </w:rPr>
        <w:t>s</w:t>
      </w:r>
      <w:r w:rsidR="0043467B">
        <w:rPr>
          <w:rFonts w:cs="Arial"/>
          <w:color w:val="0E101A"/>
        </w:rPr>
        <w:t>e</w:t>
      </w:r>
      <w:r>
        <w:rPr>
          <w:rFonts w:cs="Arial"/>
          <w:color w:val="0E101A"/>
        </w:rPr>
        <w:t>s from the 2022</w:t>
      </w:r>
      <w:r w:rsidR="0043467B">
        <w:rPr>
          <w:rFonts w:cs="Arial"/>
          <w:color w:val="0E101A"/>
        </w:rPr>
        <w:t xml:space="preserve"> total (</w:t>
      </w:r>
      <w:r w:rsidR="00C06945">
        <w:rPr>
          <w:rFonts w:cs="Arial"/>
          <w:color w:val="0E101A"/>
        </w:rPr>
        <w:t xml:space="preserve">there were </w:t>
      </w:r>
      <w:r w:rsidR="0043467B">
        <w:rPr>
          <w:rFonts w:cs="Arial"/>
          <w:color w:val="0E101A"/>
        </w:rPr>
        <w:t xml:space="preserve">44 </w:t>
      </w:r>
      <w:r w:rsidR="00C06945">
        <w:rPr>
          <w:rFonts w:cs="Arial"/>
          <w:color w:val="0E101A"/>
        </w:rPr>
        <w:t xml:space="preserve">transmission </w:t>
      </w:r>
      <w:r w:rsidR="0043467B">
        <w:rPr>
          <w:rFonts w:cs="Arial"/>
          <w:color w:val="0E101A"/>
        </w:rPr>
        <w:t>cases</w:t>
      </w:r>
      <w:r w:rsidR="00170B6E">
        <w:rPr>
          <w:rFonts w:cs="Arial"/>
          <w:color w:val="0E101A"/>
        </w:rPr>
        <w:t xml:space="preserve"> in 2022</w:t>
      </w:r>
      <w:r w:rsidR="0043467B">
        <w:rPr>
          <w:rFonts w:cs="Arial"/>
          <w:color w:val="0E101A"/>
        </w:rPr>
        <w:t>) leaves</w:t>
      </w:r>
      <w:r w:rsidR="009A0F66">
        <w:rPr>
          <w:rFonts w:cs="Arial"/>
          <w:color w:val="0E101A"/>
        </w:rPr>
        <w:t xml:space="preserve"> just 43 cases</w:t>
      </w:r>
      <w:r w:rsidR="00B731DE">
        <w:rPr>
          <w:rFonts w:cs="Arial"/>
          <w:color w:val="0E101A"/>
        </w:rPr>
        <w:t xml:space="preserve"> in 2022 related to renewable </w:t>
      </w:r>
      <w:r w:rsidR="00D06B86">
        <w:rPr>
          <w:rFonts w:cs="Arial"/>
          <w:color w:val="0E101A"/>
        </w:rPr>
        <w:t xml:space="preserve">energy </w:t>
      </w:r>
      <w:r w:rsidR="00B731DE">
        <w:rPr>
          <w:rFonts w:cs="Arial"/>
          <w:color w:val="0E101A"/>
        </w:rPr>
        <w:t>generation projects</w:t>
      </w:r>
      <w:r w:rsidR="00724837">
        <w:rPr>
          <w:rFonts w:cs="Arial"/>
          <w:color w:val="0E101A"/>
        </w:rPr>
        <w:t>.</w:t>
      </w:r>
      <w:r w:rsidR="007A709E">
        <w:rPr>
          <w:rFonts w:cs="Arial"/>
          <w:color w:val="0E101A"/>
        </w:rPr>
        <w:t xml:space="preserve"> This is the lowest numbe</w:t>
      </w:r>
      <w:r w:rsidR="00A439BE">
        <w:rPr>
          <w:rFonts w:cs="Arial"/>
          <w:color w:val="0E101A"/>
        </w:rPr>
        <w:t>r</w:t>
      </w:r>
      <w:r w:rsidR="007A709E">
        <w:rPr>
          <w:rFonts w:cs="Arial"/>
          <w:color w:val="0E101A"/>
        </w:rPr>
        <w:t xml:space="preserve"> of </w:t>
      </w:r>
      <w:r w:rsidR="00951993">
        <w:rPr>
          <w:rFonts w:cs="Arial"/>
          <w:color w:val="0E101A"/>
        </w:rPr>
        <w:t xml:space="preserve">such </w:t>
      </w:r>
      <w:r w:rsidR="007A709E">
        <w:rPr>
          <w:rFonts w:cs="Arial"/>
          <w:color w:val="0E101A"/>
        </w:rPr>
        <w:t>cases</w:t>
      </w:r>
      <w:r w:rsidR="00A439BE">
        <w:rPr>
          <w:rFonts w:cs="Arial"/>
          <w:color w:val="0E101A"/>
        </w:rPr>
        <w:t xml:space="preserve"> received in a </w:t>
      </w:r>
      <w:r w:rsidR="00D06B86">
        <w:rPr>
          <w:rFonts w:cs="Arial"/>
          <w:color w:val="0E101A"/>
        </w:rPr>
        <w:t xml:space="preserve">calendar </w:t>
      </w:r>
      <w:r w:rsidR="00A439BE">
        <w:rPr>
          <w:rFonts w:cs="Arial"/>
          <w:color w:val="0E101A"/>
        </w:rPr>
        <w:t xml:space="preserve">year since </w:t>
      </w:r>
      <w:r w:rsidR="00D06B86">
        <w:rPr>
          <w:rFonts w:cs="Arial"/>
          <w:color w:val="0E101A"/>
        </w:rPr>
        <w:t xml:space="preserve">our </w:t>
      </w:r>
      <w:r w:rsidR="00A439BE">
        <w:rPr>
          <w:rFonts w:cs="Arial"/>
          <w:color w:val="0E101A"/>
        </w:rPr>
        <w:t>inception.</w:t>
      </w:r>
      <w:r w:rsidR="007C19A9">
        <w:rPr>
          <w:rFonts w:cs="Arial"/>
          <w:color w:val="0E101A"/>
        </w:rPr>
        <w:t xml:space="preserve"> The </w:t>
      </w:r>
      <w:r w:rsidR="0016741C">
        <w:rPr>
          <w:rFonts w:cs="Arial"/>
          <w:color w:val="0E101A"/>
        </w:rPr>
        <w:t>next lowest number of cases received</w:t>
      </w:r>
      <w:r w:rsidR="006C2802">
        <w:rPr>
          <w:rFonts w:cs="Arial"/>
          <w:color w:val="0E101A"/>
        </w:rPr>
        <w:t xml:space="preserve"> was 72 cases in 2017</w:t>
      </w:r>
      <w:r w:rsidR="0020012E">
        <w:rPr>
          <w:rFonts w:cs="Arial"/>
          <w:color w:val="0E101A"/>
        </w:rPr>
        <w:t xml:space="preserve"> – all of which were related to wind farms</w:t>
      </w:r>
      <w:r w:rsidR="006C2802">
        <w:rPr>
          <w:rFonts w:cs="Arial"/>
          <w:color w:val="0E101A"/>
        </w:rPr>
        <w:t>.</w:t>
      </w:r>
    </w:p>
    <w:p w14:paraId="05EF9F1A" w14:textId="77777777" w:rsidR="001A7BA8" w:rsidRDefault="001A7BA8" w:rsidP="009A46B5">
      <w:pPr>
        <w:spacing w:after="0" w:line="240" w:lineRule="auto"/>
        <w:rPr>
          <w:rFonts w:cs="Arial"/>
          <w:color w:val="0E101A"/>
        </w:rPr>
      </w:pPr>
    </w:p>
    <w:p w14:paraId="02FE4D81" w14:textId="19215246" w:rsidR="00A40E8A" w:rsidRDefault="0059207F" w:rsidP="009A46B5">
      <w:pPr>
        <w:spacing w:after="0" w:line="240" w:lineRule="auto"/>
        <w:rPr>
          <w:rFonts w:cs="Arial"/>
          <w:color w:val="0E101A"/>
        </w:rPr>
      </w:pPr>
      <w:r>
        <w:rPr>
          <w:rFonts w:cs="Arial"/>
          <w:color w:val="0E101A"/>
        </w:rPr>
        <w:t>T</w:t>
      </w:r>
      <w:r w:rsidR="009A46B5">
        <w:rPr>
          <w:rFonts w:cs="Arial"/>
          <w:color w:val="0E101A"/>
        </w:rPr>
        <w:t>he downward trend in case</w:t>
      </w:r>
      <w:r>
        <w:rPr>
          <w:rFonts w:cs="Arial"/>
          <w:color w:val="0E101A"/>
        </w:rPr>
        <w:t xml:space="preserve">s </w:t>
      </w:r>
      <w:r w:rsidR="009A46B5">
        <w:rPr>
          <w:rFonts w:cs="Arial"/>
          <w:color w:val="0E101A"/>
        </w:rPr>
        <w:t>is encouraging</w:t>
      </w:r>
      <w:r w:rsidR="00BF5063">
        <w:rPr>
          <w:rFonts w:cs="Arial"/>
          <w:color w:val="0E101A"/>
        </w:rPr>
        <w:t xml:space="preserve">. </w:t>
      </w:r>
      <w:r w:rsidR="00147B92">
        <w:rPr>
          <w:rFonts w:cs="Arial"/>
          <w:color w:val="0E101A"/>
        </w:rPr>
        <w:t xml:space="preserve">While we have not had the </w:t>
      </w:r>
      <w:r w:rsidR="00F80E04">
        <w:rPr>
          <w:rFonts w:cs="Arial"/>
          <w:color w:val="0E101A"/>
        </w:rPr>
        <w:t xml:space="preserve">opportunity to undertake </w:t>
      </w:r>
      <w:r w:rsidR="0076067F">
        <w:rPr>
          <w:rFonts w:cs="Arial"/>
          <w:color w:val="0E101A"/>
        </w:rPr>
        <w:t xml:space="preserve">longitudinal targeted research, </w:t>
      </w:r>
      <w:r w:rsidR="00BB0F9C">
        <w:rPr>
          <w:rFonts w:cs="Arial"/>
          <w:color w:val="0E101A"/>
        </w:rPr>
        <w:t xml:space="preserve">intuitively this </w:t>
      </w:r>
      <w:r w:rsidR="003D270A">
        <w:rPr>
          <w:rFonts w:cs="Arial"/>
          <w:color w:val="0E101A"/>
        </w:rPr>
        <w:t xml:space="preserve">reduction </w:t>
      </w:r>
      <w:r w:rsidR="00935EE0">
        <w:rPr>
          <w:rFonts w:cs="Arial"/>
          <w:color w:val="0E101A"/>
        </w:rPr>
        <w:t>in renewable energy case number</w:t>
      </w:r>
      <w:r w:rsidR="00A44987">
        <w:rPr>
          <w:rFonts w:cs="Arial"/>
          <w:color w:val="0E101A"/>
        </w:rPr>
        <w:t>s could be due to:</w:t>
      </w:r>
    </w:p>
    <w:p w14:paraId="01EA7D87" w14:textId="77777777" w:rsidR="00A40E8A" w:rsidRDefault="00A40E8A" w:rsidP="009A46B5">
      <w:pPr>
        <w:spacing w:after="0" w:line="240" w:lineRule="auto"/>
        <w:rPr>
          <w:rFonts w:cs="Arial"/>
          <w:color w:val="0E101A"/>
        </w:rPr>
      </w:pPr>
    </w:p>
    <w:p w14:paraId="53A466C3" w14:textId="2F562E5F" w:rsidR="00DE253F" w:rsidRDefault="008C154E" w:rsidP="005A1EC4">
      <w:pPr>
        <w:pStyle w:val="ListParagraph"/>
        <w:numPr>
          <w:ilvl w:val="0"/>
          <w:numId w:val="44"/>
        </w:numPr>
        <w:spacing w:after="0" w:line="240" w:lineRule="auto"/>
        <w:rPr>
          <w:rFonts w:cs="Arial"/>
          <w:color w:val="0E101A"/>
        </w:rPr>
      </w:pPr>
      <w:r>
        <w:rPr>
          <w:rFonts w:cs="Arial"/>
          <w:color w:val="0E101A"/>
        </w:rPr>
        <w:t xml:space="preserve">Reduction in the </w:t>
      </w:r>
      <w:r w:rsidR="00862F64">
        <w:rPr>
          <w:rFonts w:cs="Arial"/>
          <w:color w:val="0E101A"/>
        </w:rPr>
        <w:t>causes o</w:t>
      </w:r>
      <w:r w:rsidR="00045B31">
        <w:rPr>
          <w:rFonts w:cs="Arial"/>
          <w:color w:val="0E101A"/>
        </w:rPr>
        <w:t xml:space="preserve">f cases (see Figure 16), where we have seen </w:t>
      </w:r>
      <w:r w:rsidR="00193C03">
        <w:rPr>
          <w:rFonts w:cs="Arial"/>
          <w:color w:val="0E101A"/>
        </w:rPr>
        <w:t>material declines in causes such as noise, shadow flicker, vib</w:t>
      </w:r>
      <w:r w:rsidR="000D6F4D">
        <w:rPr>
          <w:rFonts w:cs="Arial"/>
          <w:color w:val="0E101A"/>
        </w:rPr>
        <w:t>r</w:t>
      </w:r>
      <w:r w:rsidR="00193C03">
        <w:rPr>
          <w:rFonts w:cs="Arial"/>
          <w:color w:val="0E101A"/>
        </w:rPr>
        <w:t>ation</w:t>
      </w:r>
      <w:r w:rsidR="000D6F4D">
        <w:rPr>
          <w:rFonts w:cs="Arial"/>
          <w:color w:val="0E101A"/>
        </w:rPr>
        <w:t>, health</w:t>
      </w:r>
      <w:r w:rsidR="005F7A00">
        <w:rPr>
          <w:rFonts w:cs="Arial"/>
          <w:color w:val="0E101A"/>
        </w:rPr>
        <w:t>. T</w:t>
      </w:r>
      <w:r w:rsidR="00D936A8">
        <w:rPr>
          <w:rFonts w:cs="Arial"/>
          <w:color w:val="0E101A"/>
        </w:rPr>
        <w:t>hese declines are largely due to</w:t>
      </w:r>
      <w:r w:rsidR="00750966">
        <w:rPr>
          <w:rFonts w:cs="Arial"/>
          <w:color w:val="0E101A"/>
        </w:rPr>
        <w:t xml:space="preserve"> effective </w:t>
      </w:r>
      <w:r w:rsidR="007863E0">
        <w:rPr>
          <w:rFonts w:cs="Arial"/>
          <w:color w:val="0E101A"/>
        </w:rPr>
        <w:t>root cause</w:t>
      </w:r>
      <w:r w:rsidR="00750966">
        <w:rPr>
          <w:rFonts w:cs="Arial"/>
          <w:color w:val="0E101A"/>
        </w:rPr>
        <w:t xml:space="preserve"> analysis </w:t>
      </w:r>
      <w:r w:rsidR="00F7596B">
        <w:rPr>
          <w:rFonts w:cs="Arial"/>
          <w:color w:val="0E101A"/>
        </w:rPr>
        <w:t>and elimination</w:t>
      </w:r>
      <w:r w:rsidR="00DE253F">
        <w:rPr>
          <w:rFonts w:cs="Arial"/>
          <w:color w:val="0E101A"/>
        </w:rPr>
        <w:t xml:space="preserve"> of perceived is</w:t>
      </w:r>
      <w:r w:rsidR="00E63BFB">
        <w:rPr>
          <w:rFonts w:cs="Arial"/>
          <w:color w:val="0E101A"/>
        </w:rPr>
        <w:t>s</w:t>
      </w:r>
      <w:r w:rsidR="00DE253F">
        <w:rPr>
          <w:rFonts w:cs="Arial"/>
          <w:color w:val="0E101A"/>
        </w:rPr>
        <w:t>ues that were not supported by facts</w:t>
      </w:r>
      <w:r w:rsidR="00E63BFB">
        <w:rPr>
          <w:rFonts w:cs="Arial"/>
          <w:color w:val="0E101A"/>
        </w:rPr>
        <w:t>.</w:t>
      </w:r>
    </w:p>
    <w:p w14:paraId="568588B9" w14:textId="1243F1EA" w:rsidR="008C154E" w:rsidRDefault="00A5279A" w:rsidP="00DE253F">
      <w:pPr>
        <w:pStyle w:val="ListParagraph"/>
        <w:numPr>
          <w:ilvl w:val="0"/>
          <w:numId w:val="0"/>
        </w:numPr>
        <w:spacing w:after="0" w:line="240" w:lineRule="auto"/>
        <w:ind w:left="1080"/>
        <w:rPr>
          <w:rFonts w:cs="Arial"/>
          <w:color w:val="0E101A"/>
        </w:rPr>
      </w:pPr>
      <w:r>
        <w:rPr>
          <w:rFonts w:cs="Arial"/>
          <w:color w:val="0E101A"/>
        </w:rPr>
        <w:t xml:space="preserve"> </w:t>
      </w:r>
      <w:r w:rsidR="007863E0">
        <w:rPr>
          <w:rFonts w:cs="Arial"/>
          <w:color w:val="0E101A"/>
        </w:rPr>
        <w:t xml:space="preserve"> </w:t>
      </w:r>
    </w:p>
    <w:p w14:paraId="77CF6EA8" w14:textId="4BF183C5" w:rsidR="00395B61" w:rsidRDefault="006B0F73" w:rsidP="005A1EC4">
      <w:pPr>
        <w:pStyle w:val="ListParagraph"/>
        <w:numPr>
          <w:ilvl w:val="0"/>
          <w:numId w:val="44"/>
        </w:numPr>
        <w:spacing w:after="0" w:line="240" w:lineRule="auto"/>
        <w:rPr>
          <w:rFonts w:cs="Arial"/>
          <w:color w:val="0E101A"/>
        </w:rPr>
      </w:pPr>
      <w:r w:rsidRPr="00395B61">
        <w:rPr>
          <w:rFonts w:cs="Arial"/>
          <w:color w:val="0E101A"/>
        </w:rPr>
        <w:t>Developers an</w:t>
      </w:r>
      <w:r w:rsidR="008458B4" w:rsidRPr="00395B61">
        <w:rPr>
          <w:rFonts w:cs="Arial"/>
          <w:color w:val="0E101A"/>
        </w:rPr>
        <w:t>d</w:t>
      </w:r>
      <w:r w:rsidRPr="00395B61">
        <w:rPr>
          <w:rFonts w:cs="Arial"/>
          <w:color w:val="0E101A"/>
        </w:rPr>
        <w:t xml:space="preserve"> operators of generation</w:t>
      </w:r>
      <w:r w:rsidR="008458B4" w:rsidRPr="00395B61">
        <w:rPr>
          <w:rFonts w:cs="Arial"/>
          <w:color w:val="0E101A"/>
        </w:rPr>
        <w:t xml:space="preserve"> assets </w:t>
      </w:r>
      <w:r w:rsidR="00E9503C" w:rsidRPr="00395B61">
        <w:rPr>
          <w:rFonts w:cs="Arial"/>
          <w:color w:val="0E101A"/>
        </w:rPr>
        <w:t>improv</w:t>
      </w:r>
      <w:r w:rsidR="005F7A00">
        <w:rPr>
          <w:rFonts w:cs="Arial"/>
          <w:color w:val="0E101A"/>
        </w:rPr>
        <w:t>ing</w:t>
      </w:r>
      <w:r w:rsidR="00E9503C" w:rsidRPr="00395B61">
        <w:rPr>
          <w:rFonts w:cs="Arial"/>
          <w:color w:val="0E101A"/>
        </w:rPr>
        <w:t xml:space="preserve"> their ability to handle </w:t>
      </w:r>
      <w:r w:rsidR="008B4EE5">
        <w:rPr>
          <w:rFonts w:cs="Arial"/>
          <w:color w:val="0E101A"/>
        </w:rPr>
        <w:t xml:space="preserve">enquiries and </w:t>
      </w:r>
      <w:r w:rsidR="00E9503C" w:rsidRPr="00395B61">
        <w:rPr>
          <w:rFonts w:cs="Arial"/>
          <w:color w:val="0E101A"/>
        </w:rPr>
        <w:t>complaints</w:t>
      </w:r>
      <w:r w:rsidR="005F7A00">
        <w:rPr>
          <w:rFonts w:cs="Arial"/>
          <w:color w:val="0E101A"/>
        </w:rPr>
        <w:t>,</w:t>
      </w:r>
      <w:r w:rsidR="00E9503C" w:rsidRPr="00395B61">
        <w:rPr>
          <w:rFonts w:cs="Arial"/>
          <w:color w:val="0E101A"/>
        </w:rPr>
        <w:t xml:space="preserve"> an</w:t>
      </w:r>
      <w:r w:rsidR="005F7A00">
        <w:rPr>
          <w:rFonts w:cs="Arial"/>
          <w:color w:val="0E101A"/>
        </w:rPr>
        <w:t xml:space="preserve">d </w:t>
      </w:r>
      <w:r w:rsidR="00E9503C" w:rsidRPr="00395B61">
        <w:rPr>
          <w:rFonts w:cs="Arial"/>
          <w:color w:val="0E101A"/>
        </w:rPr>
        <w:t xml:space="preserve">a </w:t>
      </w:r>
      <w:r w:rsidR="00EF33F1" w:rsidRPr="00395B61">
        <w:rPr>
          <w:rFonts w:cs="Arial"/>
          <w:color w:val="0E101A"/>
        </w:rPr>
        <w:t>constructive shift of complaints</w:t>
      </w:r>
      <w:r w:rsidR="005F7A00">
        <w:rPr>
          <w:rFonts w:cs="Arial"/>
          <w:color w:val="0E101A"/>
        </w:rPr>
        <w:t xml:space="preserve"> that were</w:t>
      </w:r>
      <w:r w:rsidR="00EF33F1" w:rsidRPr="00395B61">
        <w:rPr>
          <w:rFonts w:cs="Arial"/>
          <w:color w:val="0E101A"/>
        </w:rPr>
        <w:t xml:space="preserve"> previously coming</w:t>
      </w:r>
      <w:r w:rsidR="00EA6DD9" w:rsidRPr="00395B61">
        <w:rPr>
          <w:rFonts w:cs="Arial"/>
          <w:color w:val="0E101A"/>
        </w:rPr>
        <w:t xml:space="preserve"> to our O</w:t>
      </w:r>
      <w:r w:rsidR="0030071F" w:rsidRPr="00395B61">
        <w:rPr>
          <w:rFonts w:cs="Arial"/>
          <w:color w:val="0E101A"/>
        </w:rPr>
        <w:t>f</w:t>
      </w:r>
      <w:r w:rsidR="00EA6DD9" w:rsidRPr="00395B61">
        <w:rPr>
          <w:rFonts w:cs="Arial"/>
          <w:color w:val="0E101A"/>
        </w:rPr>
        <w:t>fice</w:t>
      </w:r>
      <w:r w:rsidR="005F7A00">
        <w:rPr>
          <w:rFonts w:cs="Arial"/>
          <w:color w:val="0E101A"/>
        </w:rPr>
        <w:t xml:space="preserve"> and</w:t>
      </w:r>
      <w:r w:rsidR="00EA6DD9" w:rsidRPr="00395B61">
        <w:rPr>
          <w:rFonts w:cs="Arial"/>
          <w:color w:val="0E101A"/>
        </w:rPr>
        <w:t xml:space="preserve"> are now going directly to the developer</w:t>
      </w:r>
      <w:r w:rsidR="004865B0" w:rsidRPr="00395B61">
        <w:rPr>
          <w:rFonts w:cs="Arial"/>
          <w:color w:val="0E101A"/>
        </w:rPr>
        <w:t xml:space="preserve"> or other respondent</w:t>
      </w:r>
      <w:r w:rsidR="00EA6DD9" w:rsidRPr="00395B61">
        <w:rPr>
          <w:rFonts w:cs="Arial"/>
          <w:color w:val="0E101A"/>
        </w:rPr>
        <w:t>.</w:t>
      </w:r>
      <w:r w:rsidR="0030071F" w:rsidRPr="00395B61">
        <w:rPr>
          <w:rFonts w:cs="Arial"/>
          <w:color w:val="0E101A"/>
        </w:rPr>
        <w:t xml:space="preserve"> </w:t>
      </w:r>
      <w:r w:rsidR="00B11FDC">
        <w:rPr>
          <w:rFonts w:cs="Arial"/>
          <w:color w:val="0E101A"/>
        </w:rPr>
        <w:t xml:space="preserve">Many proponents still seek </w:t>
      </w:r>
      <w:r w:rsidR="007C7D09">
        <w:rPr>
          <w:rFonts w:cs="Arial"/>
          <w:color w:val="0E101A"/>
        </w:rPr>
        <w:t>our advice as to how to handle specific complaints and, whi</w:t>
      </w:r>
      <w:r w:rsidR="00E90AC2">
        <w:rPr>
          <w:rFonts w:cs="Arial"/>
          <w:color w:val="0E101A"/>
        </w:rPr>
        <w:t>le</w:t>
      </w:r>
      <w:r w:rsidR="007C7D09">
        <w:rPr>
          <w:rFonts w:cs="Arial"/>
          <w:color w:val="0E101A"/>
        </w:rPr>
        <w:t xml:space="preserve"> we do not capture</w:t>
      </w:r>
      <w:r w:rsidR="00294579">
        <w:rPr>
          <w:rFonts w:cs="Arial"/>
          <w:color w:val="0E101A"/>
        </w:rPr>
        <w:t xml:space="preserve"> those events in the data reported here (we only include cases r</w:t>
      </w:r>
      <w:r w:rsidR="00011946">
        <w:rPr>
          <w:rFonts w:cs="Arial"/>
          <w:color w:val="0E101A"/>
        </w:rPr>
        <w:t>ai</w:t>
      </w:r>
      <w:r w:rsidR="00294579">
        <w:rPr>
          <w:rFonts w:cs="Arial"/>
          <w:color w:val="0E101A"/>
        </w:rPr>
        <w:t>sed directly with our of</w:t>
      </w:r>
      <w:r w:rsidR="00011946">
        <w:rPr>
          <w:rFonts w:cs="Arial"/>
          <w:color w:val="0E101A"/>
        </w:rPr>
        <w:t>f</w:t>
      </w:r>
      <w:r w:rsidR="00294579">
        <w:rPr>
          <w:rFonts w:cs="Arial"/>
          <w:color w:val="0E101A"/>
        </w:rPr>
        <w:t>ice</w:t>
      </w:r>
      <w:r w:rsidR="00011946">
        <w:rPr>
          <w:rFonts w:cs="Arial"/>
          <w:color w:val="0E101A"/>
        </w:rPr>
        <w:t>)</w:t>
      </w:r>
      <w:r w:rsidR="00E90AC2">
        <w:rPr>
          <w:rFonts w:cs="Arial"/>
          <w:color w:val="0E101A"/>
        </w:rPr>
        <w:t>, our ongoing engagement in assisting industry provides us with a line of sight</w:t>
      </w:r>
      <w:r w:rsidR="008A2E8D">
        <w:rPr>
          <w:rFonts w:cs="Arial"/>
          <w:color w:val="0E101A"/>
        </w:rPr>
        <w:t xml:space="preserve"> on the nature and volume of community</w:t>
      </w:r>
      <w:r w:rsidR="009C4E01">
        <w:rPr>
          <w:rFonts w:cs="Arial"/>
          <w:color w:val="0E101A"/>
        </w:rPr>
        <w:t xml:space="preserve"> concerns being lodged.</w:t>
      </w:r>
      <w:r w:rsidR="00011946">
        <w:rPr>
          <w:rFonts w:cs="Arial"/>
          <w:color w:val="0E101A"/>
        </w:rPr>
        <w:t xml:space="preserve"> </w:t>
      </w:r>
    </w:p>
    <w:p w14:paraId="6A95E7E4" w14:textId="77777777" w:rsidR="00395B61" w:rsidRDefault="00395B61" w:rsidP="00170B6E">
      <w:pPr>
        <w:pStyle w:val="ListParagraph"/>
        <w:numPr>
          <w:ilvl w:val="0"/>
          <w:numId w:val="0"/>
        </w:numPr>
        <w:spacing w:after="0" w:line="240" w:lineRule="auto"/>
        <w:ind w:left="720"/>
        <w:rPr>
          <w:rFonts w:cs="Arial"/>
          <w:color w:val="0E101A"/>
        </w:rPr>
      </w:pPr>
    </w:p>
    <w:p w14:paraId="1EC02560" w14:textId="66C861A9" w:rsidR="000F1793" w:rsidRPr="00395B61" w:rsidRDefault="00905AA2" w:rsidP="005A1EC4">
      <w:pPr>
        <w:pStyle w:val="ListParagraph"/>
        <w:numPr>
          <w:ilvl w:val="0"/>
          <w:numId w:val="44"/>
        </w:numPr>
        <w:spacing w:after="0" w:line="240" w:lineRule="auto"/>
        <w:rPr>
          <w:rFonts w:cs="Arial"/>
          <w:color w:val="0E101A"/>
        </w:rPr>
      </w:pPr>
      <w:r w:rsidRPr="00395B61">
        <w:rPr>
          <w:rFonts w:cs="Arial"/>
          <w:color w:val="0E101A"/>
        </w:rPr>
        <w:t xml:space="preserve">The majority of concerns </w:t>
      </w:r>
      <w:r w:rsidR="00CD5C50">
        <w:rPr>
          <w:rFonts w:cs="Arial"/>
          <w:color w:val="0E101A"/>
        </w:rPr>
        <w:t xml:space="preserve">raised today </w:t>
      </w:r>
      <w:r w:rsidR="004B1F53" w:rsidRPr="00395B61">
        <w:rPr>
          <w:rFonts w:cs="Arial"/>
          <w:color w:val="0E101A"/>
        </w:rPr>
        <w:t xml:space="preserve">are </w:t>
      </w:r>
      <w:r w:rsidRPr="00395B61">
        <w:rPr>
          <w:rFonts w:cs="Arial"/>
          <w:color w:val="0E101A"/>
        </w:rPr>
        <w:t>related to proposed projects</w:t>
      </w:r>
      <w:r w:rsidR="008F76C3">
        <w:rPr>
          <w:rFonts w:cs="Arial"/>
          <w:color w:val="0E101A"/>
        </w:rPr>
        <w:t xml:space="preserve"> from which it </w:t>
      </w:r>
      <w:r w:rsidR="00B51CEC" w:rsidRPr="00395B61">
        <w:rPr>
          <w:rFonts w:cs="Arial"/>
          <w:color w:val="0E101A"/>
        </w:rPr>
        <w:t>c</w:t>
      </w:r>
      <w:r w:rsidR="00931827">
        <w:rPr>
          <w:rFonts w:cs="Arial"/>
          <w:color w:val="0E101A"/>
        </w:rPr>
        <w:t>ould be interpre</w:t>
      </w:r>
      <w:r w:rsidR="003065CB">
        <w:rPr>
          <w:rFonts w:cs="Arial"/>
          <w:color w:val="0E101A"/>
        </w:rPr>
        <w:t xml:space="preserve">ted </w:t>
      </w:r>
      <w:r w:rsidR="00B233A5">
        <w:rPr>
          <w:rFonts w:cs="Arial"/>
          <w:color w:val="0E101A"/>
        </w:rPr>
        <w:t>tha</w:t>
      </w:r>
      <w:r w:rsidR="003D55C3">
        <w:rPr>
          <w:rFonts w:cs="Arial"/>
          <w:color w:val="0E101A"/>
        </w:rPr>
        <w:t>t</w:t>
      </w:r>
      <w:r w:rsidR="00B233A5">
        <w:rPr>
          <w:rFonts w:cs="Arial"/>
          <w:color w:val="0E101A"/>
        </w:rPr>
        <w:t xml:space="preserve"> once the asset is built and operating</w:t>
      </w:r>
      <w:r w:rsidR="003D55C3">
        <w:rPr>
          <w:rFonts w:cs="Arial"/>
          <w:color w:val="0E101A"/>
        </w:rPr>
        <w:t xml:space="preserve">, most of the concerns have either been addressed </w:t>
      </w:r>
      <w:r w:rsidR="003E2990">
        <w:rPr>
          <w:rFonts w:cs="Arial"/>
          <w:color w:val="0E101A"/>
        </w:rPr>
        <w:t xml:space="preserve">(as it may well have been a construction related matter </w:t>
      </w:r>
      <w:r w:rsidR="008F76C3">
        <w:rPr>
          <w:rFonts w:cs="Arial"/>
          <w:color w:val="0E101A"/>
        </w:rPr>
        <w:t xml:space="preserve">for </w:t>
      </w:r>
      <w:r w:rsidR="003E2990">
        <w:rPr>
          <w:rFonts w:cs="Arial"/>
          <w:color w:val="0E101A"/>
        </w:rPr>
        <w:t>exa</w:t>
      </w:r>
      <w:r w:rsidR="001A234E">
        <w:rPr>
          <w:rFonts w:cs="Arial"/>
          <w:color w:val="0E101A"/>
        </w:rPr>
        <w:t>m</w:t>
      </w:r>
      <w:r w:rsidR="003E2990">
        <w:rPr>
          <w:rFonts w:cs="Arial"/>
          <w:color w:val="0E101A"/>
        </w:rPr>
        <w:t>ple</w:t>
      </w:r>
      <w:r w:rsidR="001A234E">
        <w:rPr>
          <w:rFonts w:cs="Arial"/>
          <w:color w:val="0E101A"/>
        </w:rPr>
        <w:t>) or the concern was</w:t>
      </w:r>
      <w:r w:rsidR="00C26EBB">
        <w:rPr>
          <w:rFonts w:cs="Arial"/>
          <w:color w:val="0E101A"/>
        </w:rPr>
        <w:t xml:space="preserve"> a perceived concern that did not materialise when the asset commenced operations.</w:t>
      </w:r>
      <w:r w:rsidR="001A234E">
        <w:rPr>
          <w:rFonts w:cs="Arial"/>
          <w:color w:val="0E101A"/>
        </w:rPr>
        <w:t xml:space="preserve"> </w:t>
      </w:r>
      <w:r w:rsidR="007A2855" w:rsidRPr="00395B61">
        <w:rPr>
          <w:rFonts w:cs="Arial"/>
          <w:color w:val="0E101A"/>
        </w:rPr>
        <w:t xml:space="preserve"> </w:t>
      </w:r>
      <w:r w:rsidR="004B1F53" w:rsidRPr="00395B61">
        <w:rPr>
          <w:rFonts w:cs="Arial"/>
          <w:color w:val="0E101A"/>
        </w:rPr>
        <w:t xml:space="preserve"> </w:t>
      </w:r>
    </w:p>
    <w:p w14:paraId="63DFE854" w14:textId="77777777" w:rsidR="00266C8B" w:rsidRDefault="00266C8B" w:rsidP="00266C8B">
      <w:pPr>
        <w:pStyle w:val="ListParagraph"/>
        <w:numPr>
          <w:ilvl w:val="0"/>
          <w:numId w:val="0"/>
        </w:numPr>
        <w:spacing w:after="0" w:line="240" w:lineRule="auto"/>
        <w:ind w:left="1080"/>
        <w:rPr>
          <w:rFonts w:cs="Arial"/>
          <w:color w:val="0E101A"/>
        </w:rPr>
      </w:pPr>
    </w:p>
    <w:p w14:paraId="5B49B703" w14:textId="264EC172" w:rsidR="0022021D" w:rsidRDefault="00A62A62" w:rsidP="002F0C3B">
      <w:pPr>
        <w:pStyle w:val="ListParagraph"/>
        <w:numPr>
          <w:ilvl w:val="0"/>
          <w:numId w:val="0"/>
        </w:numPr>
        <w:spacing w:after="0" w:line="240" w:lineRule="auto"/>
        <w:rPr>
          <w:rFonts w:cs="Arial"/>
          <w:color w:val="0E101A"/>
        </w:rPr>
      </w:pPr>
      <w:r>
        <w:rPr>
          <w:rFonts w:cs="Arial"/>
          <w:color w:val="0E101A"/>
        </w:rPr>
        <w:t>W</w:t>
      </w:r>
      <w:r w:rsidR="005F42D1">
        <w:rPr>
          <w:rFonts w:cs="Arial"/>
          <w:color w:val="0E101A"/>
        </w:rPr>
        <w:t>e expe</w:t>
      </w:r>
      <w:r w:rsidR="00D97B85">
        <w:rPr>
          <w:rFonts w:cs="Arial"/>
          <w:color w:val="0E101A"/>
        </w:rPr>
        <w:t>c</w:t>
      </w:r>
      <w:r w:rsidR="005F42D1">
        <w:rPr>
          <w:rFonts w:cs="Arial"/>
          <w:color w:val="0E101A"/>
        </w:rPr>
        <w:t>t m</w:t>
      </w:r>
      <w:r w:rsidR="00D97B85">
        <w:rPr>
          <w:rFonts w:cs="Arial"/>
          <w:color w:val="0E101A"/>
        </w:rPr>
        <w:t>u</w:t>
      </w:r>
      <w:r w:rsidR="005F42D1">
        <w:rPr>
          <w:rFonts w:cs="Arial"/>
          <w:color w:val="0E101A"/>
        </w:rPr>
        <w:t>ch o</w:t>
      </w:r>
      <w:r w:rsidR="000A7230">
        <w:rPr>
          <w:rFonts w:cs="Arial"/>
          <w:color w:val="0E101A"/>
        </w:rPr>
        <w:t xml:space="preserve">f our activity in </w:t>
      </w:r>
      <w:r>
        <w:rPr>
          <w:rFonts w:cs="Arial"/>
          <w:color w:val="0E101A"/>
        </w:rPr>
        <w:t xml:space="preserve">future </w:t>
      </w:r>
      <w:r w:rsidR="000A7230">
        <w:rPr>
          <w:rFonts w:cs="Arial"/>
          <w:color w:val="0E101A"/>
        </w:rPr>
        <w:t>complaint</w:t>
      </w:r>
      <w:r w:rsidR="00BB17A0">
        <w:rPr>
          <w:rFonts w:cs="Arial"/>
          <w:color w:val="0E101A"/>
        </w:rPr>
        <w:t>s</w:t>
      </w:r>
      <w:r w:rsidR="000A7230">
        <w:rPr>
          <w:rFonts w:cs="Arial"/>
          <w:color w:val="0E101A"/>
        </w:rPr>
        <w:t xml:space="preserve"> </w:t>
      </w:r>
      <w:r w:rsidR="00B10D2B">
        <w:rPr>
          <w:rFonts w:cs="Arial"/>
          <w:color w:val="0E101A"/>
        </w:rPr>
        <w:t xml:space="preserve">will be a combination of </w:t>
      </w:r>
      <w:r w:rsidR="00BB3034">
        <w:rPr>
          <w:rFonts w:cs="Arial"/>
          <w:color w:val="0E101A"/>
        </w:rPr>
        <w:t>‘p</w:t>
      </w:r>
      <w:r w:rsidR="00B10D2B">
        <w:rPr>
          <w:rFonts w:cs="Arial"/>
          <w:color w:val="0E101A"/>
        </w:rPr>
        <w:t>revention</w:t>
      </w:r>
      <w:r w:rsidR="00BB3034">
        <w:rPr>
          <w:rFonts w:cs="Arial"/>
          <w:color w:val="0E101A"/>
        </w:rPr>
        <w:t>’</w:t>
      </w:r>
      <w:r w:rsidR="00B10D2B">
        <w:rPr>
          <w:rFonts w:cs="Arial"/>
          <w:color w:val="0E101A"/>
        </w:rPr>
        <w:t xml:space="preserve"> – proactively ident</w:t>
      </w:r>
      <w:r w:rsidR="00AE7A4D">
        <w:rPr>
          <w:rFonts w:cs="Arial"/>
          <w:color w:val="0E101A"/>
        </w:rPr>
        <w:t xml:space="preserve">ifying </w:t>
      </w:r>
      <w:r w:rsidR="00403929">
        <w:rPr>
          <w:rFonts w:cs="Arial"/>
          <w:color w:val="0E101A"/>
        </w:rPr>
        <w:t xml:space="preserve">potential </w:t>
      </w:r>
      <w:r w:rsidR="00AE7A4D">
        <w:rPr>
          <w:rFonts w:cs="Arial"/>
          <w:color w:val="0E101A"/>
        </w:rPr>
        <w:t>iss</w:t>
      </w:r>
      <w:r w:rsidR="00D97B85">
        <w:rPr>
          <w:rFonts w:cs="Arial"/>
          <w:color w:val="0E101A"/>
        </w:rPr>
        <w:t>u</w:t>
      </w:r>
      <w:r w:rsidR="00AE7A4D">
        <w:rPr>
          <w:rFonts w:cs="Arial"/>
          <w:color w:val="0E101A"/>
        </w:rPr>
        <w:t>e</w:t>
      </w:r>
      <w:r w:rsidR="00403929">
        <w:rPr>
          <w:rFonts w:cs="Arial"/>
          <w:color w:val="0E101A"/>
        </w:rPr>
        <w:t>s</w:t>
      </w:r>
      <w:r w:rsidR="00AE7A4D">
        <w:rPr>
          <w:rFonts w:cs="Arial"/>
          <w:color w:val="0E101A"/>
        </w:rPr>
        <w:t xml:space="preserve"> and </w:t>
      </w:r>
      <w:r w:rsidR="009F5CCF">
        <w:rPr>
          <w:rFonts w:cs="Arial"/>
          <w:color w:val="0E101A"/>
        </w:rPr>
        <w:t xml:space="preserve">addressing </w:t>
      </w:r>
      <w:r w:rsidR="00403929">
        <w:rPr>
          <w:rFonts w:cs="Arial"/>
          <w:color w:val="0E101A"/>
        </w:rPr>
        <w:t xml:space="preserve">their </w:t>
      </w:r>
      <w:r w:rsidR="00AE7A4D">
        <w:rPr>
          <w:rFonts w:cs="Arial"/>
          <w:color w:val="0E101A"/>
        </w:rPr>
        <w:t>root cause</w:t>
      </w:r>
      <w:r w:rsidR="00EA3CA0">
        <w:rPr>
          <w:rFonts w:cs="Arial"/>
          <w:color w:val="0E101A"/>
        </w:rPr>
        <w:t xml:space="preserve"> ahead of tim</w:t>
      </w:r>
      <w:r w:rsidR="008F76C3">
        <w:rPr>
          <w:rFonts w:cs="Arial"/>
          <w:color w:val="0E101A"/>
        </w:rPr>
        <w:t xml:space="preserve">e, </w:t>
      </w:r>
      <w:r w:rsidR="0042279D">
        <w:rPr>
          <w:rFonts w:cs="Arial"/>
          <w:color w:val="0E101A"/>
        </w:rPr>
        <w:t xml:space="preserve">and </w:t>
      </w:r>
      <w:r w:rsidR="002C4320">
        <w:rPr>
          <w:rFonts w:cs="Arial"/>
          <w:color w:val="0E101A"/>
        </w:rPr>
        <w:t>‘</w:t>
      </w:r>
      <w:r w:rsidR="00E31076">
        <w:rPr>
          <w:rFonts w:cs="Arial"/>
          <w:color w:val="0E101A"/>
        </w:rPr>
        <w:t>preparation</w:t>
      </w:r>
      <w:r w:rsidR="002C4320">
        <w:rPr>
          <w:rFonts w:cs="Arial"/>
          <w:color w:val="0E101A"/>
        </w:rPr>
        <w:t>’</w:t>
      </w:r>
      <w:r w:rsidR="00ED78D0">
        <w:rPr>
          <w:rFonts w:cs="Arial"/>
          <w:color w:val="0E101A"/>
        </w:rPr>
        <w:t xml:space="preserve"> – continuing to help industry </w:t>
      </w:r>
      <w:r w:rsidR="00403929">
        <w:rPr>
          <w:rFonts w:cs="Arial"/>
          <w:color w:val="0E101A"/>
        </w:rPr>
        <w:t xml:space="preserve">and government </w:t>
      </w:r>
      <w:r w:rsidR="00ED78D0">
        <w:rPr>
          <w:rFonts w:cs="Arial"/>
          <w:color w:val="0E101A"/>
        </w:rPr>
        <w:t>to improve and refine their engagement</w:t>
      </w:r>
      <w:r w:rsidR="007F3951">
        <w:rPr>
          <w:rFonts w:cs="Arial"/>
          <w:color w:val="0E101A"/>
        </w:rPr>
        <w:t xml:space="preserve"> and communication skills</w:t>
      </w:r>
      <w:r w:rsidR="008F76C3">
        <w:rPr>
          <w:rFonts w:cs="Arial"/>
          <w:color w:val="0E101A"/>
        </w:rPr>
        <w:t xml:space="preserve">, </w:t>
      </w:r>
      <w:r w:rsidR="00CC0536">
        <w:rPr>
          <w:rFonts w:cs="Arial"/>
          <w:color w:val="0E101A"/>
        </w:rPr>
        <w:t>together with complaint handling</w:t>
      </w:r>
      <w:r w:rsidR="00AB6660">
        <w:rPr>
          <w:rFonts w:cs="Arial"/>
          <w:color w:val="0E101A"/>
        </w:rPr>
        <w:t xml:space="preserve"> competency, so that developers </w:t>
      </w:r>
      <w:r w:rsidR="00403929">
        <w:rPr>
          <w:rFonts w:cs="Arial"/>
          <w:color w:val="0E101A"/>
        </w:rPr>
        <w:t xml:space="preserve">and authorities </w:t>
      </w:r>
      <w:r w:rsidR="00AB6660">
        <w:rPr>
          <w:rFonts w:cs="Arial"/>
          <w:color w:val="0E101A"/>
        </w:rPr>
        <w:t xml:space="preserve">are properly equipped to </w:t>
      </w:r>
      <w:r w:rsidR="00755190">
        <w:rPr>
          <w:rFonts w:cs="Arial"/>
          <w:color w:val="0E101A"/>
        </w:rPr>
        <w:t>handle the inevitable complaints and concerns that will arise</w:t>
      </w:r>
      <w:r w:rsidR="006A597D">
        <w:rPr>
          <w:rFonts w:cs="Arial"/>
          <w:color w:val="0E101A"/>
        </w:rPr>
        <w:t>.</w:t>
      </w:r>
    </w:p>
    <w:p w14:paraId="7B582E56" w14:textId="77777777" w:rsidR="006A597D" w:rsidRDefault="006A597D" w:rsidP="002F0C3B">
      <w:pPr>
        <w:pStyle w:val="ListParagraph"/>
        <w:numPr>
          <w:ilvl w:val="0"/>
          <w:numId w:val="0"/>
        </w:numPr>
        <w:spacing w:after="0" w:line="240" w:lineRule="auto"/>
        <w:rPr>
          <w:rFonts w:cs="Arial"/>
          <w:color w:val="0E101A"/>
        </w:rPr>
      </w:pPr>
    </w:p>
    <w:p w14:paraId="10C051FA" w14:textId="77777777" w:rsidR="00304241" w:rsidRDefault="00304241" w:rsidP="00304241">
      <w:pPr>
        <w:tabs>
          <w:tab w:val="left" w:pos="9220"/>
        </w:tabs>
      </w:pPr>
    </w:p>
    <w:p w14:paraId="2A732880" w14:textId="09049B23" w:rsidR="000F0188" w:rsidRPr="005513DB" w:rsidRDefault="000F0188" w:rsidP="00304241">
      <w:pPr>
        <w:tabs>
          <w:tab w:val="left" w:pos="9220"/>
        </w:tabs>
        <w:sectPr w:rsidR="000F0188" w:rsidRPr="005513DB" w:rsidSect="00C90C75">
          <w:headerReference w:type="even" r:id="rId61"/>
          <w:headerReference w:type="default" r:id="rId62"/>
          <w:footerReference w:type="even" r:id="rId63"/>
          <w:footerReference w:type="default" r:id="rId64"/>
          <w:headerReference w:type="first" r:id="rId65"/>
          <w:pgSz w:w="11906" w:h="16838" w:code="9"/>
          <w:pgMar w:top="720" w:right="720" w:bottom="720" w:left="720" w:header="425" w:footer="425" w:gutter="0"/>
          <w:cols w:space="708"/>
          <w:docGrid w:linePitch="360"/>
        </w:sectPr>
      </w:pPr>
    </w:p>
    <w:p w14:paraId="7C71D356" w14:textId="77777777" w:rsidR="00304241" w:rsidRPr="003329B0" w:rsidRDefault="00304241" w:rsidP="003329B0">
      <w:pPr>
        <w:pStyle w:val="Heading1"/>
      </w:pPr>
      <w:bookmarkStart w:id="33" w:name="_Toc135390591"/>
      <w:r w:rsidRPr="003329B0">
        <w:lastRenderedPageBreak/>
        <w:t>Stakeholder Engagement</w:t>
      </w:r>
      <w:bookmarkEnd w:id="33"/>
    </w:p>
    <w:p w14:paraId="726916C8" w14:textId="1D5DFA2B" w:rsidR="003365AB" w:rsidRDefault="003365AB" w:rsidP="0063692E">
      <w:pPr>
        <w:rPr>
          <w:b/>
        </w:rPr>
      </w:pPr>
      <w:bookmarkStart w:id="34" w:name="_Toc131179308"/>
      <w:bookmarkStart w:id="35" w:name="_Toc131424244"/>
      <w:bookmarkStart w:id="36" w:name="_Toc131424429"/>
      <w:bookmarkStart w:id="37" w:name="_Toc131424969"/>
      <w:bookmarkStart w:id="38" w:name="_Toc131502700"/>
      <w:bookmarkStart w:id="39" w:name="_Toc131505139"/>
      <w:bookmarkStart w:id="40" w:name="_Toc131505303"/>
      <w:bookmarkStart w:id="41" w:name="_Toc132641433"/>
      <w:r w:rsidRPr="003365AB">
        <w:t>The Commissioner continues to work with a wide range of stakeholders to resolve systemic issues</w:t>
      </w:r>
      <w:r w:rsidR="00AF3340">
        <w:t xml:space="preserve"> and</w:t>
      </w:r>
      <w:r w:rsidRPr="003365AB">
        <w:t xml:space="preserve"> complaints, provide briefings and identify needs that can be met through best practice guidance and more transparent </w:t>
      </w:r>
      <w:r w:rsidR="00F26BE7">
        <w:t>communication</w:t>
      </w:r>
      <w:r w:rsidRPr="003365AB">
        <w:t xml:space="preserve">. Key stakeholders include concerned and supportive community members, </w:t>
      </w:r>
      <w:r w:rsidR="000B2354">
        <w:t xml:space="preserve">traditional owners, </w:t>
      </w:r>
      <w:r w:rsidRPr="003365AB">
        <w:t>industry representatives, federal, state and local governments as well as experts engaged by the industry or other organisations.</w:t>
      </w:r>
      <w:bookmarkEnd w:id="34"/>
      <w:bookmarkEnd w:id="35"/>
      <w:bookmarkEnd w:id="36"/>
      <w:bookmarkEnd w:id="37"/>
      <w:bookmarkEnd w:id="38"/>
      <w:bookmarkEnd w:id="39"/>
      <w:bookmarkEnd w:id="40"/>
      <w:bookmarkEnd w:id="41"/>
    </w:p>
    <w:p w14:paraId="48C43FA2" w14:textId="366009DB" w:rsidR="008935B8" w:rsidRDefault="00E80A6B" w:rsidP="0063692E">
      <w:r>
        <w:t>In 2022, the Commissioner dev</w:t>
      </w:r>
      <w:r w:rsidR="0083082B">
        <w:t>oted the majority of time to the significant challenges</w:t>
      </w:r>
      <w:r w:rsidR="00290EF3">
        <w:t xml:space="preserve"> facing the roll-out of </w:t>
      </w:r>
      <w:r w:rsidR="002215BD">
        <w:t xml:space="preserve">new, </w:t>
      </w:r>
      <w:r w:rsidR="00290EF3">
        <w:t>long distance</w:t>
      </w:r>
      <w:r w:rsidR="002215BD">
        <w:t xml:space="preserve"> transmission projects</w:t>
      </w:r>
      <w:r w:rsidR="0009678D">
        <w:t>.</w:t>
      </w:r>
      <w:r w:rsidR="00E70D1B">
        <w:t xml:space="preserve"> </w:t>
      </w:r>
      <w:r w:rsidR="0009678D">
        <w:t>The Commissioner is heavily engaged</w:t>
      </w:r>
      <w:r w:rsidR="00E00888">
        <w:t xml:space="preserve"> in regular</w:t>
      </w:r>
      <w:r w:rsidR="00B67113">
        <w:t xml:space="preserve"> meetings and briefings</w:t>
      </w:r>
      <w:r w:rsidR="00B95ADD">
        <w:t xml:space="preserve"> relate</w:t>
      </w:r>
      <w:r w:rsidR="00570DAC">
        <w:t xml:space="preserve">d to </w:t>
      </w:r>
      <w:r w:rsidR="00744CC2">
        <w:t xml:space="preserve">a range of topics, from project </w:t>
      </w:r>
      <w:r w:rsidR="00426ED9">
        <w:t xml:space="preserve">design and </w:t>
      </w:r>
      <w:r w:rsidR="00744CC2">
        <w:t xml:space="preserve">governance, </w:t>
      </w:r>
      <w:r w:rsidR="00C1577B">
        <w:t xml:space="preserve">development and review of collateral and regulations, </w:t>
      </w:r>
      <w:r w:rsidR="0016310C">
        <w:t>closing legislative/regulatory gaps</w:t>
      </w:r>
      <w:r w:rsidR="00151CE3">
        <w:t xml:space="preserve">, </w:t>
      </w:r>
      <w:r w:rsidR="00583CE8">
        <w:t>oversight of open complaints</w:t>
      </w:r>
      <w:r w:rsidR="00426ED9">
        <w:t>, landholder and community relations</w:t>
      </w:r>
      <w:r w:rsidR="00060E6E">
        <w:t xml:space="preserve"> and management of</w:t>
      </w:r>
      <w:r w:rsidR="00C30BE0">
        <w:t xml:space="preserve"> solutions to address social licence</w:t>
      </w:r>
      <w:r w:rsidR="008935B8">
        <w:t xml:space="preserve"> issues.</w:t>
      </w:r>
    </w:p>
    <w:p w14:paraId="4C1CBB7D" w14:textId="43431943" w:rsidR="00E80A6B" w:rsidRPr="00E80A6B" w:rsidRDefault="0030509C" w:rsidP="0063692E">
      <w:r>
        <w:t xml:space="preserve">During the year, the Commissioner was particularly focussed on </w:t>
      </w:r>
      <w:r w:rsidR="00DC602F">
        <w:t xml:space="preserve">some of the major </w:t>
      </w:r>
      <w:r w:rsidR="00D04E7A">
        <w:t>transmission projects of significance, including</w:t>
      </w:r>
      <w:r w:rsidR="00065C26">
        <w:t xml:space="preserve"> Western Renewable Link, VNI West, HumeLink and </w:t>
      </w:r>
      <w:r w:rsidR="002931E6">
        <w:t>Marinus Link</w:t>
      </w:r>
      <w:r w:rsidR="00661EF9">
        <w:t>.</w:t>
      </w:r>
      <w:r w:rsidR="009935EA">
        <w:t xml:space="preserve"> This focus will continue into 2023</w:t>
      </w:r>
      <w:r w:rsidR="005D3B94">
        <w:t xml:space="preserve"> and may further include engagement with other major developments including the NSW REZ</w:t>
      </w:r>
      <w:r w:rsidR="00703C25">
        <w:t xml:space="preserve"> program, offshore wind transmission, CopperString</w:t>
      </w:r>
      <w:r w:rsidR="0066524E">
        <w:t xml:space="preserve"> and the North West transmission development in Tasmania.</w:t>
      </w:r>
      <w:r w:rsidR="00583CE8">
        <w:t xml:space="preserve"> </w:t>
      </w:r>
    </w:p>
    <w:p w14:paraId="7A9EB73F" w14:textId="34D14EB1" w:rsidR="003365AB" w:rsidRDefault="003365AB" w:rsidP="0063692E">
      <w:pPr>
        <w:rPr>
          <w:b/>
        </w:rPr>
      </w:pPr>
      <w:bookmarkStart w:id="42" w:name="_Toc131179309"/>
      <w:bookmarkStart w:id="43" w:name="_Toc131424245"/>
      <w:bookmarkStart w:id="44" w:name="_Toc131424430"/>
      <w:bookmarkStart w:id="45" w:name="_Toc131424970"/>
      <w:bookmarkStart w:id="46" w:name="_Toc131502701"/>
      <w:bookmarkStart w:id="47" w:name="_Toc131505140"/>
      <w:bookmarkStart w:id="48" w:name="_Toc131505304"/>
      <w:bookmarkStart w:id="49" w:name="_Toc132641434"/>
      <w:r w:rsidRPr="003365AB">
        <w:t>The Commissioner w</w:t>
      </w:r>
      <w:r w:rsidR="00FF4AFF">
        <w:t>ill</w:t>
      </w:r>
      <w:r w:rsidRPr="003365AB">
        <w:t xml:space="preserve"> </w:t>
      </w:r>
      <w:r w:rsidR="00FF4AFF">
        <w:t>continue to work closely with</w:t>
      </w:r>
      <w:r w:rsidRPr="003365AB">
        <w:t xml:space="preserve"> stakeholders</w:t>
      </w:r>
      <w:r w:rsidR="00EB4575">
        <w:t xml:space="preserve"> across the renewable energy</w:t>
      </w:r>
      <w:r w:rsidR="00573723">
        <w:t xml:space="preserve"> spectrum </w:t>
      </w:r>
      <w:r w:rsidRPr="003365AB">
        <w:t xml:space="preserve">to </w:t>
      </w:r>
      <w:r w:rsidR="00573723">
        <w:t xml:space="preserve">further </w:t>
      </w:r>
      <w:r w:rsidRPr="003365AB">
        <w:t>encourage the adoption of best practices and improvements to planning and governance frameworks.</w:t>
      </w:r>
      <w:bookmarkEnd w:id="42"/>
      <w:bookmarkEnd w:id="43"/>
      <w:bookmarkEnd w:id="44"/>
      <w:bookmarkEnd w:id="45"/>
      <w:bookmarkEnd w:id="46"/>
      <w:bookmarkEnd w:id="47"/>
      <w:bookmarkEnd w:id="48"/>
      <w:bookmarkEnd w:id="49"/>
    </w:p>
    <w:p w14:paraId="2D4DDA90" w14:textId="7368129B" w:rsidR="00304241" w:rsidRPr="003329B0" w:rsidRDefault="00304241" w:rsidP="003329B0">
      <w:pPr>
        <w:pStyle w:val="Heading2"/>
        <w:rPr>
          <w:i/>
          <w:iCs/>
        </w:rPr>
      </w:pPr>
      <w:bookmarkStart w:id="50" w:name="_Toc135390592"/>
      <w:r w:rsidRPr="003329B0">
        <w:rPr>
          <w:i/>
          <w:iCs/>
        </w:rPr>
        <w:t>Project and community site visits</w:t>
      </w:r>
      <w:bookmarkEnd w:id="50"/>
    </w:p>
    <w:p w14:paraId="497ADFA9" w14:textId="77777777" w:rsidR="003365AB" w:rsidRPr="003365AB" w:rsidRDefault="003365AB" w:rsidP="0063692E">
      <w:pPr>
        <w:rPr>
          <w:b/>
        </w:rPr>
      </w:pPr>
      <w:bookmarkStart w:id="51" w:name="_Toc131179311"/>
      <w:bookmarkStart w:id="52" w:name="_Toc131424247"/>
      <w:bookmarkStart w:id="53" w:name="_Toc131424432"/>
      <w:bookmarkStart w:id="54" w:name="_Toc131424972"/>
      <w:bookmarkStart w:id="55" w:name="_Toc131502703"/>
      <w:bookmarkStart w:id="56" w:name="_Toc131505142"/>
      <w:bookmarkStart w:id="57" w:name="_Toc131505306"/>
      <w:bookmarkStart w:id="58" w:name="_Toc132641436"/>
      <w:r w:rsidRPr="003365AB">
        <w:t>Since the inception of the Commissioner’s role, the Commissioner has visited a total of 72 project sites around Australia (see Tables 1-3 on the following page).</w:t>
      </w:r>
      <w:bookmarkEnd w:id="51"/>
      <w:bookmarkEnd w:id="52"/>
      <w:bookmarkEnd w:id="53"/>
      <w:bookmarkEnd w:id="54"/>
      <w:bookmarkEnd w:id="55"/>
      <w:bookmarkEnd w:id="56"/>
      <w:bookmarkEnd w:id="57"/>
      <w:bookmarkEnd w:id="58"/>
    </w:p>
    <w:p w14:paraId="5E02E0F0" w14:textId="77777777" w:rsidR="00EB6CAC" w:rsidRDefault="00AF3340" w:rsidP="0063692E">
      <w:pPr>
        <w:rPr>
          <w:b/>
        </w:rPr>
      </w:pPr>
      <w:bookmarkStart w:id="59" w:name="_Toc131424248"/>
      <w:bookmarkStart w:id="60" w:name="_Toc131424433"/>
      <w:bookmarkStart w:id="61" w:name="_Toc131424973"/>
      <w:bookmarkStart w:id="62" w:name="_Toc131502704"/>
      <w:bookmarkStart w:id="63" w:name="_Toc131505143"/>
      <w:bookmarkStart w:id="64" w:name="_Toc131505307"/>
      <w:bookmarkStart w:id="65" w:name="_Toc132641437"/>
      <w:bookmarkStart w:id="66" w:name="_Toc131179312"/>
      <w:r>
        <w:t>S</w:t>
      </w:r>
      <w:r w:rsidR="003365AB" w:rsidRPr="003365AB">
        <w:t xml:space="preserve">ite visits provide </w:t>
      </w:r>
      <w:r w:rsidR="00D3115A">
        <w:t>an</w:t>
      </w:r>
      <w:r w:rsidR="00D3115A" w:rsidRPr="003365AB">
        <w:t xml:space="preserve"> </w:t>
      </w:r>
      <w:r w:rsidR="003365AB" w:rsidRPr="003365AB">
        <w:t xml:space="preserve">opportunity to meet with concerned residents as well as directly experience operational activities </w:t>
      </w:r>
      <w:r w:rsidR="00F26BE7">
        <w:t>and</w:t>
      </w:r>
      <w:r w:rsidR="00F26BE7" w:rsidRPr="003365AB">
        <w:t xml:space="preserve"> </w:t>
      </w:r>
      <w:r w:rsidR="003365AB" w:rsidRPr="003365AB">
        <w:t>potential affected area</w:t>
      </w:r>
      <w:r w:rsidR="00F26BE7">
        <w:t>s</w:t>
      </w:r>
      <w:r w:rsidR="003365AB" w:rsidRPr="003365AB">
        <w:t xml:space="preserve">. In several cases, </w:t>
      </w:r>
      <w:r w:rsidR="005117DA">
        <w:t>mainly</w:t>
      </w:r>
      <w:r w:rsidR="005117DA" w:rsidRPr="003365AB">
        <w:t xml:space="preserve"> </w:t>
      </w:r>
      <w:r w:rsidR="005117DA">
        <w:t>driven by case</w:t>
      </w:r>
      <w:r w:rsidR="003365AB" w:rsidRPr="003365AB">
        <w:t xml:space="preserve"> handling activities or ongoing systemic matters, project locations have been visited multiple times.</w:t>
      </w:r>
      <w:bookmarkEnd w:id="59"/>
      <w:bookmarkEnd w:id="60"/>
      <w:bookmarkEnd w:id="61"/>
      <w:bookmarkEnd w:id="62"/>
      <w:bookmarkEnd w:id="63"/>
      <w:bookmarkEnd w:id="64"/>
      <w:bookmarkEnd w:id="65"/>
      <w:r w:rsidR="003365AB" w:rsidRPr="003365AB">
        <w:t xml:space="preserve"> </w:t>
      </w:r>
    </w:p>
    <w:p w14:paraId="09E332DC" w14:textId="5981A77A" w:rsidR="003365AB" w:rsidRPr="003365AB" w:rsidRDefault="003365AB" w:rsidP="0063692E">
      <w:pPr>
        <w:rPr>
          <w:b/>
        </w:rPr>
      </w:pPr>
      <w:bookmarkStart w:id="67" w:name="_Toc131424249"/>
      <w:bookmarkStart w:id="68" w:name="_Toc131424434"/>
      <w:bookmarkStart w:id="69" w:name="_Toc131424974"/>
      <w:bookmarkStart w:id="70" w:name="_Toc131502705"/>
      <w:bookmarkStart w:id="71" w:name="_Toc131505144"/>
      <w:bookmarkStart w:id="72" w:name="_Toc131505308"/>
      <w:bookmarkStart w:id="73" w:name="_Toc132641438"/>
      <w:r w:rsidRPr="003365AB">
        <w:t xml:space="preserve">For example, throughout 2022 the Commissioner undertook </w:t>
      </w:r>
      <w:r w:rsidR="00AF0C86">
        <w:t xml:space="preserve">a number of </w:t>
      </w:r>
      <w:r w:rsidRPr="003365AB">
        <w:t xml:space="preserve">site visits </w:t>
      </w:r>
      <w:r w:rsidR="00D53A9E">
        <w:t xml:space="preserve">related </w:t>
      </w:r>
      <w:r w:rsidRPr="003365AB">
        <w:t xml:space="preserve">to the proposed Western Renewables Link </w:t>
      </w:r>
      <w:r w:rsidR="00D53A9E">
        <w:t xml:space="preserve">and HumeLink </w:t>
      </w:r>
      <w:r w:rsidRPr="003365AB">
        <w:t>project</w:t>
      </w:r>
      <w:r w:rsidR="00D53A9E">
        <w:t>s</w:t>
      </w:r>
      <w:r w:rsidRPr="003365AB">
        <w:t xml:space="preserve"> to meet </w:t>
      </w:r>
      <w:r w:rsidR="006A0CB3">
        <w:t xml:space="preserve">with </w:t>
      </w:r>
      <w:r w:rsidRPr="003365AB">
        <w:t xml:space="preserve">landholders potentially </w:t>
      </w:r>
      <w:r w:rsidR="00023606">
        <w:t>impacted</w:t>
      </w:r>
      <w:r w:rsidR="00541DCE">
        <w:t xml:space="preserve"> by the </w:t>
      </w:r>
      <w:r w:rsidRPr="003365AB">
        <w:t xml:space="preserve">proposed route and </w:t>
      </w:r>
      <w:r w:rsidR="00C3268E">
        <w:t>address issues related to land access</w:t>
      </w:r>
      <w:r w:rsidR="003A1D50">
        <w:t xml:space="preserve">, easement acquisition, </w:t>
      </w:r>
      <w:r w:rsidR="00A60C29">
        <w:t>resolving undecided route options an</w:t>
      </w:r>
      <w:r w:rsidR="00F134CC">
        <w:t>d collateral mat</w:t>
      </w:r>
      <w:r w:rsidR="00125386">
        <w:t>erials</w:t>
      </w:r>
      <w:r w:rsidR="00F134CC">
        <w:t xml:space="preserve"> such as commercial agreements through to information fact sheets.</w:t>
      </w:r>
      <w:bookmarkEnd w:id="66"/>
      <w:bookmarkEnd w:id="67"/>
      <w:bookmarkEnd w:id="68"/>
      <w:bookmarkEnd w:id="69"/>
      <w:bookmarkEnd w:id="70"/>
      <w:bookmarkEnd w:id="71"/>
      <w:bookmarkEnd w:id="72"/>
      <w:bookmarkEnd w:id="73"/>
    </w:p>
    <w:p w14:paraId="342E2529" w14:textId="40DA3275" w:rsidR="003365AB" w:rsidRDefault="00A51AB5" w:rsidP="0063692E">
      <w:pPr>
        <w:rPr>
          <w:b/>
        </w:rPr>
      </w:pPr>
      <w:bookmarkStart w:id="74" w:name="_Toc131179314"/>
      <w:bookmarkStart w:id="75" w:name="_Toc131424250"/>
      <w:bookmarkStart w:id="76" w:name="_Toc131424435"/>
      <w:bookmarkStart w:id="77" w:name="_Toc131424975"/>
      <w:bookmarkStart w:id="78" w:name="_Toc131502706"/>
      <w:bookmarkStart w:id="79" w:name="_Toc131505145"/>
      <w:bookmarkStart w:id="80" w:name="_Toc131505309"/>
      <w:bookmarkStart w:id="81" w:name="_Toc132641439"/>
      <w:r>
        <w:t>The i</w:t>
      </w:r>
      <w:r w:rsidR="003365AB" w:rsidRPr="003365AB">
        <w:t xml:space="preserve">ssues raised </w:t>
      </w:r>
      <w:r>
        <w:t>at</w:t>
      </w:r>
      <w:r w:rsidRPr="003365AB">
        <w:t xml:space="preserve"> </w:t>
      </w:r>
      <w:r w:rsidR="003365AB" w:rsidRPr="003365AB">
        <w:t xml:space="preserve">site visits </w:t>
      </w:r>
      <w:r w:rsidR="00D04A7D">
        <w:t>and in meetings with</w:t>
      </w:r>
      <w:r w:rsidR="005D535B">
        <w:t xml:space="preserve"> community and landholders </w:t>
      </w:r>
      <w:r w:rsidR="00D32AA1">
        <w:t xml:space="preserve">help better </w:t>
      </w:r>
      <w:r>
        <w:t>inform</w:t>
      </w:r>
      <w:r w:rsidR="00C050B1">
        <w:t xml:space="preserve"> </w:t>
      </w:r>
      <w:r>
        <w:t xml:space="preserve">the Commissioner’s </w:t>
      </w:r>
      <w:r w:rsidR="003365AB" w:rsidRPr="003365AB">
        <w:t xml:space="preserve">discussions with industry and government </w:t>
      </w:r>
      <w:r w:rsidR="00E11C11">
        <w:t>and our ability to provide ‘on the ground’ feedback</w:t>
      </w:r>
      <w:r w:rsidR="00305A4D">
        <w:t xml:space="preserve"> and insights.</w:t>
      </w:r>
      <w:r>
        <w:t xml:space="preserve"> </w:t>
      </w:r>
      <w:r w:rsidR="00596FAE">
        <w:t>T</w:t>
      </w:r>
      <w:r>
        <w:t xml:space="preserve">he </w:t>
      </w:r>
      <w:r w:rsidR="00596FAE">
        <w:t xml:space="preserve">site </w:t>
      </w:r>
      <w:r>
        <w:t xml:space="preserve">visits </w:t>
      </w:r>
      <w:r w:rsidR="00596FAE">
        <w:t xml:space="preserve">and meetings </w:t>
      </w:r>
      <w:r w:rsidR="004D7080">
        <w:t xml:space="preserve">therefore </w:t>
      </w:r>
      <w:r w:rsidR="00BD2B8A">
        <w:t xml:space="preserve">assist the Commissioner </w:t>
      </w:r>
      <w:r w:rsidR="003365AB" w:rsidRPr="003365AB">
        <w:t>to better articulate concerns</w:t>
      </w:r>
      <w:r w:rsidR="00BD2B8A">
        <w:t xml:space="preserve"> and perspectives</w:t>
      </w:r>
      <w:r w:rsidR="00BA73D9">
        <w:t>, as well as</w:t>
      </w:r>
      <w:r w:rsidR="003365AB" w:rsidRPr="003365AB">
        <w:t xml:space="preserve"> preferred outcomes and </w:t>
      </w:r>
      <w:r w:rsidR="00BA73D9">
        <w:t xml:space="preserve">in </w:t>
      </w:r>
      <w:r>
        <w:t>the resolution of</w:t>
      </w:r>
      <w:r w:rsidR="003365AB" w:rsidRPr="003365AB">
        <w:t xml:space="preserve"> issues. </w:t>
      </w:r>
      <w:r w:rsidR="00E470F6">
        <w:t>S</w:t>
      </w:r>
      <w:r w:rsidR="003365AB" w:rsidRPr="003365AB">
        <w:t xml:space="preserve">ite visits </w:t>
      </w:r>
      <w:r w:rsidR="00364BC7">
        <w:t xml:space="preserve">also </w:t>
      </w:r>
      <w:r w:rsidR="003365AB" w:rsidRPr="003365AB">
        <w:t xml:space="preserve">ensure that </w:t>
      </w:r>
      <w:r>
        <w:t>our Office</w:t>
      </w:r>
      <w:r w:rsidRPr="003365AB">
        <w:t xml:space="preserve"> </w:t>
      </w:r>
      <w:r>
        <w:t>is</w:t>
      </w:r>
      <w:r w:rsidRPr="003365AB">
        <w:t xml:space="preserve"> </w:t>
      </w:r>
      <w:r w:rsidR="003365AB" w:rsidRPr="003365AB">
        <w:t xml:space="preserve">informed </w:t>
      </w:r>
      <w:r w:rsidR="00364BC7">
        <w:t>when</w:t>
      </w:r>
      <w:r w:rsidR="003A01AD">
        <w:t xml:space="preserve"> </w:t>
      </w:r>
      <w:r w:rsidR="003365AB" w:rsidRPr="003365AB">
        <w:t>updat</w:t>
      </w:r>
      <w:r w:rsidR="003A01AD">
        <w:t>ing</w:t>
      </w:r>
      <w:r w:rsidR="003365AB" w:rsidRPr="003365AB">
        <w:t xml:space="preserve"> the Commissioner’s observations and recommendations.</w:t>
      </w:r>
      <w:bookmarkEnd w:id="74"/>
      <w:bookmarkEnd w:id="75"/>
      <w:bookmarkEnd w:id="76"/>
      <w:bookmarkEnd w:id="77"/>
      <w:bookmarkEnd w:id="78"/>
      <w:bookmarkEnd w:id="79"/>
      <w:bookmarkEnd w:id="80"/>
      <w:bookmarkEnd w:id="81"/>
    </w:p>
    <w:p w14:paraId="4D753043" w14:textId="0BBAD580" w:rsidR="00304241" w:rsidRPr="003329B0" w:rsidRDefault="00304241" w:rsidP="003329B0">
      <w:pPr>
        <w:pStyle w:val="Heading2"/>
        <w:rPr>
          <w:i/>
          <w:iCs/>
        </w:rPr>
      </w:pPr>
      <w:bookmarkStart w:id="82" w:name="_Toc135390593"/>
      <w:r w:rsidRPr="003329B0">
        <w:rPr>
          <w:i/>
          <w:iCs/>
        </w:rPr>
        <w:t>Industry</w:t>
      </w:r>
      <w:bookmarkEnd w:id="82"/>
    </w:p>
    <w:p w14:paraId="33D89117" w14:textId="02FFD634" w:rsidR="003365AB" w:rsidRPr="003365AB" w:rsidRDefault="003365AB" w:rsidP="003365AB">
      <w:pPr>
        <w:spacing w:after="120"/>
        <w:rPr>
          <w:rFonts w:eastAsia="Times New Roman" w:cs="Arial"/>
          <w:lang w:eastAsia="en-AU"/>
        </w:rPr>
      </w:pPr>
      <w:r w:rsidRPr="003365AB">
        <w:rPr>
          <w:rFonts w:eastAsia="Times New Roman" w:cs="Arial"/>
          <w:lang w:eastAsia="en-AU"/>
        </w:rPr>
        <w:t>Throughout 2022, the Commissioner continued</w:t>
      </w:r>
      <w:r w:rsidR="003827DD">
        <w:rPr>
          <w:rFonts w:eastAsia="Times New Roman" w:cs="Arial"/>
          <w:lang w:eastAsia="en-AU"/>
        </w:rPr>
        <w:t xml:space="preserve"> </w:t>
      </w:r>
      <w:r w:rsidR="00D7785D">
        <w:rPr>
          <w:rFonts w:eastAsia="Times New Roman" w:cs="Arial"/>
          <w:lang w:eastAsia="en-AU"/>
        </w:rPr>
        <w:t>to engage pr</w:t>
      </w:r>
      <w:r w:rsidR="006464AE">
        <w:rPr>
          <w:rFonts w:eastAsia="Times New Roman" w:cs="Arial"/>
          <w:lang w:eastAsia="en-AU"/>
        </w:rPr>
        <w:t>oductively</w:t>
      </w:r>
      <w:r w:rsidRPr="003365AB">
        <w:rPr>
          <w:rFonts w:eastAsia="Times New Roman" w:cs="Arial"/>
          <w:lang w:eastAsia="en-AU"/>
        </w:rPr>
        <w:t xml:space="preserve"> with the </w:t>
      </w:r>
      <w:r w:rsidR="006464AE">
        <w:rPr>
          <w:rFonts w:eastAsia="Times New Roman" w:cs="Arial"/>
          <w:lang w:eastAsia="en-AU"/>
        </w:rPr>
        <w:t xml:space="preserve">renewable </w:t>
      </w:r>
      <w:r w:rsidRPr="003365AB">
        <w:rPr>
          <w:rFonts w:eastAsia="Times New Roman" w:cs="Arial"/>
          <w:lang w:eastAsia="en-AU"/>
        </w:rPr>
        <w:t xml:space="preserve">energy </w:t>
      </w:r>
      <w:r w:rsidR="006464AE">
        <w:rPr>
          <w:rFonts w:eastAsia="Times New Roman" w:cs="Arial"/>
          <w:lang w:eastAsia="en-AU"/>
        </w:rPr>
        <w:t xml:space="preserve">and transmission </w:t>
      </w:r>
      <w:r w:rsidRPr="003365AB">
        <w:rPr>
          <w:rFonts w:eastAsia="Times New Roman" w:cs="Arial"/>
          <w:lang w:eastAsia="en-AU"/>
        </w:rPr>
        <w:t>industr</w:t>
      </w:r>
      <w:r w:rsidR="006464AE">
        <w:rPr>
          <w:rFonts w:eastAsia="Times New Roman" w:cs="Arial"/>
          <w:lang w:eastAsia="en-AU"/>
        </w:rPr>
        <w:t>ies</w:t>
      </w:r>
      <w:r w:rsidRPr="003365AB">
        <w:rPr>
          <w:rFonts w:eastAsia="Times New Roman" w:cs="Arial"/>
          <w:lang w:eastAsia="en-AU"/>
        </w:rPr>
        <w:t xml:space="preserve">. </w:t>
      </w:r>
      <w:r w:rsidR="00463258">
        <w:rPr>
          <w:rFonts w:eastAsia="Times New Roman" w:cs="Arial"/>
          <w:lang w:eastAsia="en-AU"/>
        </w:rPr>
        <w:t>In particular, the Commissioner received</w:t>
      </w:r>
      <w:r w:rsidR="00420DD7">
        <w:rPr>
          <w:rFonts w:eastAsia="Times New Roman" w:cs="Arial"/>
          <w:lang w:eastAsia="en-AU"/>
        </w:rPr>
        <w:t xml:space="preserve"> briefings on proposed projects from proponents</w:t>
      </w:r>
      <w:r w:rsidR="00F66419">
        <w:rPr>
          <w:rFonts w:eastAsia="Times New Roman" w:cs="Arial"/>
          <w:lang w:eastAsia="en-AU"/>
        </w:rPr>
        <w:t xml:space="preserve">. These briefings are invaluable </w:t>
      </w:r>
      <w:r w:rsidR="00483769">
        <w:rPr>
          <w:rFonts w:eastAsia="Times New Roman" w:cs="Arial"/>
          <w:lang w:eastAsia="en-AU"/>
        </w:rPr>
        <w:t xml:space="preserve">and provide an opportunity for the Commissioner to </w:t>
      </w:r>
      <w:r w:rsidR="00C16D57">
        <w:rPr>
          <w:rFonts w:eastAsia="Times New Roman" w:cs="Arial"/>
          <w:lang w:eastAsia="en-AU"/>
        </w:rPr>
        <w:t>make suggestions regarding the design and layout of the project</w:t>
      </w:r>
      <w:r w:rsidR="0057369E">
        <w:rPr>
          <w:rFonts w:eastAsia="Times New Roman" w:cs="Arial"/>
          <w:lang w:eastAsia="en-AU"/>
        </w:rPr>
        <w:t xml:space="preserve"> (or route) as well as share ideas on </w:t>
      </w:r>
      <w:r w:rsidR="00445396">
        <w:rPr>
          <w:rFonts w:eastAsia="Times New Roman" w:cs="Arial"/>
          <w:lang w:eastAsia="en-AU"/>
        </w:rPr>
        <w:t>likely issues that might arise and</w:t>
      </w:r>
      <w:r w:rsidR="007D5B74">
        <w:rPr>
          <w:rFonts w:eastAsia="Times New Roman" w:cs="Arial"/>
          <w:lang w:eastAsia="en-AU"/>
        </w:rPr>
        <w:t xml:space="preserve"> approaches to best work with landholders, </w:t>
      </w:r>
      <w:r w:rsidR="00081E08">
        <w:rPr>
          <w:rFonts w:eastAsia="Times New Roman" w:cs="Arial"/>
          <w:lang w:eastAsia="en-AU"/>
        </w:rPr>
        <w:t>neighbours and the broader community.</w:t>
      </w:r>
    </w:p>
    <w:p w14:paraId="44E7126A" w14:textId="2BA93A62" w:rsidR="003365AB" w:rsidRDefault="00C050B1" w:rsidP="003365AB">
      <w:pPr>
        <w:spacing w:after="120"/>
        <w:rPr>
          <w:rFonts w:eastAsia="Times New Roman" w:cs="Arial"/>
          <w:lang w:eastAsia="en-AU"/>
        </w:rPr>
      </w:pPr>
      <w:r>
        <w:rPr>
          <w:rFonts w:eastAsia="Times New Roman" w:cs="Arial"/>
          <w:lang w:eastAsia="en-AU"/>
        </w:rPr>
        <w:t>The</w:t>
      </w:r>
      <w:r w:rsidR="003365AB" w:rsidRPr="003365AB">
        <w:rPr>
          <w:rFonts w:eastAsia="Times New Roman" w:cs="Arial"/>
          <w:lang w:eastAsia="en-AU"/>
        </w:rPr>
        <w:t xml:space="preserve"> Commissioner</w:t>
      </w:r>
      <w:r w:rsidR="004168EB">
        <w:rPr>
          <w:rFonts w:eastAsia="Times New Roman" w:cs="Arial"/>
          <w:lang w:eastAsia="en-AU"/>
        </w:rPr>
        <w:t xml:space="preserve"> regularly pa</w:t>
      </w:r>
      <w:r w:rsidR="00356AFE">
        <w:rPr>
          <w:rFonts w:eastAsia="Times New Roman" w:cs="Arial"/>
          <w:lang w:eastAsia="en-AU"/>
        </w:rPr>
        <w:t>rticipates in relevant industry conferences a</w:t>
      </w:r>
      <w:r w:rsidR="00EE1568">
        <w:rPr>
          <w:rFonts w:eastAsia="Times New Roman" w:cs="Arial"/>
          <w:lang w:eastAsia="en-AU"/>
        </w:rPr>
        <w:t>s either a session chair</w:t>
      </w:r>
      <w:r w:rsidR="0096151E">
        <w:rPr>
          <w:rFonts w:eastAsia="Times New Roman" w:cs="Arial"/>
          <w:lang w:eastAsia="en-AU"/>
        </w:rPr>
        <w:t xml:space="preserve">, </w:t>
      </w:r>
      <w:r w:rsidR="00EE1568">
        <w:rPr>
          <w:rFonts w:eastAsia="Times New Roman" w:cs="Arial"/>
          <w:lang w:eastAsia="en-AU"/>
        </w:rPr>
        <w:t xml:space="preserve">presenter or panel </w:t>
      </w:r>
      <w:r w:rsidR="008B5FC1">
        <w:rPr>
          <w:rFonts w:eastAsia="Times New Roman" w:cs="Arial"/>
          <w:lang w:eastAsia="en-AU"/>
        </w:rPr>
        <w:t>member and</w:t>
      </w:r>
      <w:r w:rsidR="00C66D01">
        <w:rPr>
          <w:rFonts w:eastAsia="Times New Roman" w:cs="Arial"/>
          <w:lang w:eastAsia="en-AU"/>
        </w:rPr>
        <w:t xml:space="preserve"> delivers webinars and presen</w:t>
      </w:r>
      <w:r w:rsidR="001669AD">
        <w:rPr>
          <w:rFonts w:eastAsia="Times New Roman" w:cs="Arial"/>
          <w:lang w:eastAsia="en-AU"/>
        </w:rPr>
        <w:t>ta</w:t>
      </w:r>
      <w:r w:rsidR="00C66D01">
        <w:rPr>
          <w:rFonts w:eastAsia="Times New Roman" w:cs="Arial"/>
          <w:lang w:eastAsia="en-AU"/>
        </w:rPr>
        <w:t>tions</w:t>
      </w:r>
      <w:r w:rsidR="001669AD">
        <w:rPr>
          <w:rFonts w:eastAsia="Times New Roman" w:cs="Arial"/>
          <w:lang w:eastAsia="en-AU"/>
        </w:rPr>
        <w:t xml:space="preserve"> via video conference</w:t>
      </w:r>
      <w:r w:rsidR="001571CF">
        <w:rPr>
          <w:rFonts w:eastAsia="Times New Roman" w:cs="Arial"/>
          <w:lang w:eastAsia="en-AU"/>
        </w:rPr>
        <w:t xml:space="preserve"> to specific audiences </w:t>
      </w:r>
      <w:r w:rsidR="004F5FA4">
        <w:rPr>
          <w:rFonts w:eastAsia="Times New Roman" w:cs="Arial"/>
          <w:lang w:eastAsia="en-AU"/>
        </w:rPr>
        <w:t>on a variety of topics</w:t>
      </w:r>
      <w:r w:rsidR="00375F5B">
        <w:rPr>
          <w:rFonts w:eastAsia="Times New Roman" w:cs="Arial"/>
          <w:lang w:eastAsia="en-AU"/>
        </w:rPr>
        <w:t xml:space="preserve"> </w:t>
      </w:r>
      <w:r w:rsidR="0096151E">
        <w:rPr>
          <w:rFonts w:eastAsia="Times New Roman" w:cs="Arial"/>
          <w:lang w:eastAsia="en-AU"/>
        </w:rPr>
        <w:t xml:space="preserve">which </w:t>
      </w:r>
      <w:r w:rsidR="00375F5B">
        <w:rPr>
          <w:rFonts w:eastAsia="Times New Roman" w:cs="Arial"/>
          <w:lang w:eastAsia="en-AU"/>
        </w:rPr>
        <w:t>invariably involves a discussion on best practice engagement</w:t>
      </w:r>
      <w:r w:rsidR="00247347">
        <w:rPr>
          <w:rFonts w:eastAsia="Times New Roman" w:cs="Arial"/>
          <w:lang w:eastAsia="en-AU"/>
        </w:rPr>
        <w:t>.</w:t>
      </w:r>
      <w:r w:rsidR="001669AD">
        <w:rPr>
          <w:rFonts w:eastAsia="Times New Roman" w:cs="Arial"/>
          <w:lang w:eastAsia="en-AU"/>
        </w:rPr>
        <w:t xml:space="preserve"> </w:t>
      </w:r>
    </w:p>
    <w:p w14:paraId="2D5CFDEC" w14:textId="16318AF6" w:rsidR="00304241" w:rsidRPr="00F154A1" w:rsidRDefault="00304241" w:rsidP="003365AB">
      <w:pPr>
        <w:spacing w:after="120"/>
        <w:rPr>
          <w:rFonts w:cs="Arial"/>
          <w:b/>
        </w:rPr>
      </w:pPr>
      <w:r w:rsidRPr="00F154A1">
        <w:rPr>
          <w:rFonts w:cs="Arial"/>
          <w:b/>
        </w:rPr>
        <w:lastRenderedPageBreak/>
        <w:t>Table 1: List of 61 wind farm sites visited since 2015</w:t>
      </w:r>
    </w:p>
    <w:tbl>
      <w:tblPr>
        <w:tblStyle w:val="TableGrid"/>
        <w:tblW w:w="9493" w:type="dxa"/>
        <w:tblLayout w:type="fixed"/>
        <w:tblLook w:val="04A0" w:firstRow="1" w:lastRow="0" w:firstColumn="1" w:lastColumn="0" w:noHBand="0" w:noVBand="1"/>
      </w:tblPr>
      <w:tblGrid>
        <w:gridCol w:w="2405"/>
        <w:gridCol w:w="1985"/>
        <w:gridCol w:w="2126"/>
        <w:gridCol w:w="2977"/>
      </w:tblGrid>
      <w:tr w:rsidR="00A2013E" w:rsidRPr="00F154A1" w14:paraId="6A9EE2BA" w14:textId="77777777" w:rsidTr="003C6974">
        <w:trPr>
          <w:cnfStyle w:val="100000000000" w:firstRow="1" w:lastRow="0" w:firstColumn="0" w:lastColumn="0" w:oddVBand="0" w:evenVBand="0" w:oddHBand="0" w:evenHBand="0" w:firstRowFirstColumn="0" w:firstRowLastColumn="0" w:lastRowFirstColumn="0" w:lastRowLastColumn="0"/>
        </w:trPr>
        <w:tc>
          <w:tcPr>
            <w:tcW w:w="2405" w:type="dxa"/>
            <w:tcBorders>
              <w:right w:val="single" w:sz="4" w:space="0" w:color="auto"/>
            </w:tcBorders>
            <w:shd w:val="clear" w:color="auto" w:fill="DBE5F1" w:themeFill="accent1" w:themeFillTint="33"/>
          </w:tcPr>
          <w:p w14:paraId="6386042C" w14:textId="77777777" w:rsidR="00A2013E" w:rsidRPr="00F154A1" w:rsidRDefault="00A2013E" w:rsidP="00304241">
            <w:pPr>
              <w:spacing w:before="120" w:after="120"/>
              <w:jc w:val="center"/>
              <w:rPr>
                <w:rFonts w:cs="Arial"/>
                <w:b/>
                <w:bCs/>
                <w:sz w:val="18"/>
                <w:szCs w:val="22"/>
              </w:rPr>
            </w:pPr>
            <w:r w:rsidRPr="00F154A1">
              <w:rPr>
                <w:rFonts w:cs="Arial"/>
                <w:b/>
                <w:bCs/>
                <w:sz w:val="18"/>
                <w:szCs w:val="22"/>
              </w:rPr>
              <w:t>State</w:t>
            </w:r>
          </w:p>
        </w:tc>
        <w:tc>
          <w:tcPr>
            <w:tcW w:w="70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5B0A17" w14:textId="50BD860B" w:rsidR="00A2013E" w:rsidRPr="00F154A1" w:rsidRDefault="00A2013E" w:rsidP="00304241">
            <w:pPr>
              <w:spacing w:before="120" w:after="120"/>
              <w:jc w:val="center"/>
              <w:rPr>
                <w:rFonts w:cs="Arial"/>
                <w:b/>
                <w:bCs/>
                <w:sz w:val="16"/>
              </w:rPr>
            </w:pPr>
            <w:r w:rsidRPr="00F154A1">
              <w:rPr>
                <w:rFonts w:cs="Arial"/>
                <w:b/>
                <w:bCs/>
                <w:sz w:val="18"/>
                <w:szCs w:val="22"/>
              </w:rPr>
              <w:t>Wind farm</w:t>
            </w:r>
          </w:p>
        </w:tc>
      </w:tr>
      <w:tr w:rsidR="00304241" w:rsidRPr="00F154A1" w14:paraId="0FF67A18" w14:textId="77777777" w:rsidTr="00A2013E">
        <w:trPr>
          <w:cnfStyle w:val="000000100000" w:firstRow="0" w:lastRow="0" w:firstColumn="0" w:lastColumn="0" w:oddVBand="0" w:evenVBand="0" w:oddHBand="1" w:evenHBand="0" w:firstRowFirstColumn="0" w:firstRowLastColumn="0" w:lastRowFirstColumn="0" w:lastRowLastColumn="0"/>
          <w:trHeight w:val="2917"/>
        </w:trPr>
        <w:tc>
          <w:tcPr>
            <w:tcW w:w="2405" w:type="dxa"/>
          </w:tcPr>
          <w:p w14:paraId="6C6CF99F" w14:textId="77777777" w:rsidR="00304241" w:rsidRPr="00F154A1" w:rsidRDefault="00304241" w:rsidP="00304241">
            <w:pPr>
              <w:spacing w:before="60" w:after="120" w:line="276" w:lineRule="auto"/>
              <w:rPr>
                <w:rFonts w:cs="Arial"/>
                <w:sz w:val="18"/>
                <w:szCs w:val="22"/>
              </w:rPr>
            </w:pPr>
            <w:r w:rsidRPr="00F154A1">
              <w:rPr>
                <w:rFonts w:cs="Arial"/>
                <w:b/>
                <w:bCs/>
                <w:sz w:val="18"/>
                <w:szCs w:val="22"/>
              </w:rPr>
              <w:t>Victoria (23 sites)</w:t>
            </w:r>
          </w:p>
        </w:tc>
        <w:tc>
          <w:tcPr>
            <w:tcW w:w="1985" w:type="dxa"/>
            <w:tcBorders>
              <w:top w:val="single" w:sz="4" w:space="0" w:color="auto"/>
              <w:right w:val="nil"/>
            </w:tcBorders>
          </w:tcPr>
          <w:p w14:paraId="2BB132DD" w14:textId="77777777" w:rsidR="00304241" w:rsidRPr="00F154A1" w:rsidRDefault="00304241" w:rsidP="00304241">
            <w:pPr>
              <w:spacing w:before="60" w:after="120" w:line="276" w:lineRule="auto"/>
              <w:rPr>
                <w:rFonts w:cs="Arial"/>
                <w:sz w:val="18"/>
                <w:szCs w:val="22"/>
              </w:rPr>
            </w:pPr>
            <w:r w:rsidRPr="00F154A1">
              <w:rPr>
                <w:rFonts w:cs="Arial"/>
                <w:sz w:val="18"/>
                <w:szCs w:val="22"/>
              </w:rPr>
              <w:t>Alberton</w:t>
            </w:r>
          </w:p>
          <w:p w14:paraId="47F9038E" w14:textId="77777777" w:rsidR="00304241" w:rsidRPr="00F154A1" w:rsidRDefault="00304241" w:rsidP="00304241">
            <w:pPr>
              <w:spacing w:before="60" w:after="120" w:line="276" w:lineRule="auto"/>
              <w:rPr>
                <w:rFonts w:cs="Arial"/>
                <w:sz w:val="18"/>
                <w:szCs w:val="22"/>
              </w:rPr>
            </w:pPr>
            <w:r w:rsidRPr="00F154A1">
              <w:rPr>
                <w:rFonts w:cs="Arial"/>
                <w:sz w:val="18"/>
                <w:szCs w:val="22"/>
              </w:rPr>
              <w:t>Ararat</w:t>
            </w:r>
          </w:p>
          <w:p w14:paraId="370A2C10" w14:textId="77777777" w:rsidR="00304241" w:rsidRPr="00F154A1" w:rsidRDefault="00304241" w:rsidP="00304241">
            <w:pPr>
              <w:spacing w:before="60" w:after="120" w:line="276" w:lineRule="auto"/>
              <w:rPr>
                <w:rFonts w:cs="Arial"/>
                <w:sz w:val="18"/>
                <w:szCs w:val="22"/>
              </w:rPr>
            </w:pPr>
            <w:r w:rsidRPr="00F154A1">
              <w:rPr>
                <w:rFonts w:cs="Arial"/>
                <w:sz w:val="18"/>
                <w:szCs w:val="22"/>
              </w:rPr>
              <w:t>Bald Hills</w:t>
            </w:r>
          </w:p>
          <w:p w14:paraId="1C49349C" w14:textId="77777777" w:rsidR="00304241" w:rsidRPr="00F154A1" w:rsidRDefault="00304241" w:rsidP="00304241">
            <w:pPr>
              <w:spacing w:before="60" w:after="120" w:line="276" w:lineRule="auto"/>
              <w:rPr>
                <w:rFonts w:cs="Arial"/>
                <w:sz w:val="18"/>
                <w:szCs w:val="22"/>
              </w:rPr>
            </w:pPr>
            <w:r w:rsidRPr="00F154A1">
              <w:rPr>
                <w:rFonts w:cs="Arial"/>
                <w:sz w:val="18"/>
                <w:szCs w:val="22"/>
              </w:rPr>
              <w:t>Cape Bridgewater</w:t>
            </w:r>
          </w:p>
          <w:p w14:paraId="3F74137F" w14:textId="77777777" w:rsidR="00304241" w:rsidRPr="00F154A1" w:rsidRDefault="00304241" w:rsidP="00304241">
            <w:pPr>
              <w:spacing w:before="60" w:after="120" w:line="276" w:lineRule="auto"/>
              <w:rPr>
                <w:rFonts w:cs="Arial"/>
                <w:sz w:val="18"/>
                <w:szCs w:val="22"/>
              </w:rPr>
            </w:pPr>
            <w:r w:rsidRPr="00F154A1">
              <w:rPr>
                <w:rFonts w:cs="Arial"/>
                <w:sz w:val="18"/>
                <w:szCs w:val="22"/>
              </w:rPr>
              <w:t>Delburn</w:t>
            </w:r>
          </w:p>
          <w:p w14:paraId="631CCC45" w14:textId="77777777" w:rsidR="00304241" w:rsidRPr="00F154A1" w:rsidRDefault="00304241" w:rsidP="00304241">
            <w:pPr>
              <w:spacing w:before="60" w:after="120" w:line="276" w:lineRule="auto"/>
              <w:rPr>
                <w:rFonts w:cs="Arial"/>
                <w:sz w:val="18"/>
                <w:szCs w:val="22"/>
              </w:rPr>
            </w:pPr>
            <w:r w:rsidRPr="00F154A1">
              <w:rPr>
                <w:rFonts w:cs="Arial"/>
                <w:sz w:val="18"/>
                <w:szCs w:val="22"/>
              </w:rPr>
              <w:t>Golden Plains</w:t>
            </w:r>
          </w:p>
          <w:p w14:paraId="62D56ACD" w14:textId="77777777" w:rsidR="00304241" w:rsidRPr="00F154A1" w:rsidRDefault="00304241" w:rsidP="00304241">
            <w:pPr>
              <w:spacing w:before="60" w:after="120" w:line="276" w:lineRule="auto"/>
              <w:rPr>
                <w:rFonts w:cs="Arial"/>
                <w:sz w:val="18"/>
                <w:szCs w:val="22"/>
              </w:rPr>
            </w:pPr>
            <w:r w:rsidRPr="00F154A1">
              <w:rPr>
                <w:rFonts w:cs="Arial"/>
                <w:sz w:val="18"/>
                <w:szCs w:val="22"/>
              </w:rPr>
              <w:t>Hawkesdale</w:t>
            </w:r>
          </w:p>
          <w:p w14:paraId="306F1E5A" w14:textId="77777777" w:rsidR="00304241" w:rsidRPr="00F154A1" w:rsidRDefault="00304241" w:rsidP="00304241">
            <w:pPr>
              <w:spacing w:before="60" w:after="120" w:line="276" w:lineRule="auto"/>
              <w:rPr>
                <w:rFonts w:cs="Arial"/>
                <w:sz w:val="18"/>
                <w:szCs w:val="22"/>
              </w:rPr>
            </w:pPr>
            <w:r w:rsidRPr="00F154A1">
              <w:rPr>
                <w:rFonts w:cs="Arial"/>
                <w:sz w:val="18"/>
                <w:szCs w:val="22"/>
              </w:rPr>
              <w:t>Hepburn</w:t>
            </w:r>
          </w:p>
        </w:tc>
        <w:tc>
          <w:tcPr>
            <w:tcW w:w="2126" w:type="dxa"/>
            <w:tcBorders>
              <w:top w:val="single" w:sz="4" w:space="0" w:color="auto"/>
              <w:left w:val="nil"/>
              <w:bottom w:val="single" w:sz="4" w:space="0" w:color="auto"/>
              <w:right w:val="nil"/>
            </w:tcBorders>
          </w:tcPr>
          <w:p w14:paraId="31EC4168" w14:textId="77777777" w:rsidR="00304241" w:rsidRPr="00F154A1" w:rsidRDefault="00304241" w:rsidP="00304241">
            <w:pPr>
              <w:spacing w:before="60" w:after="120" w:line="276" w:lineRule="auto"/>
              <w:rPr>
                <w:rFonts w:cs="Arial"/>
                <w:sz w:val="18"/>
                <w:szCs w:val="22"/>
              </w:rPr>
            </w:pPr>
            <w:r w:rsidRPr="00F154A1">
              <w:rPr>
                <w:rFonts w:cs="Arial"/>
                <w:sz w:val="18"/>
                <w:szCs w:val="22"/>
              </w:rPr>
              <w:t>Hexham</w:t>
            </w:r>
          </w:p>
          <w:p w14:paraId="4F95FD09" w14:textId="77777777" w:rsidR="00304241" w:rsidRPr="00F154A1" w:rsidRDefault="00304241" w:rsidP="00304241">
            <w:pPr>
              <w:spacing w:before="60" w:after="120" w:line="276" w:lineRule="auto"/>
              <w:rPr>
                <w:rFonts w:cs="Arial"/>
                <w:sz w:val="18"/>
                <w:szCs w:val="22"/>
              </w:rPr>
            </w:pPr>
            <w:r w:rsidRPr="00F154A1">
              <w:rPr>
                <w:rFonts w:cs="Arial"/>
                <w:sz w:val="18"/>
                <w:szCs w:val="22"/>
              </w:rPr>
              <w:t>Lal Lal</w:t>
            </w:r>
          </w:p>
          <w:p w14:paraId="48191C55" w14:textId="77777777" w:rsidR="00304241" w:rsidRPr="00F154A1" w:rsidRDefault="00304241" w:rsidP="00304241">
            <w:pPr>
              <w:spacing w:before="60" w:after="120" w:line="276" w:lineRule="auto"/>
              <w:rPr>
                <w:rFonts w:cs="Arial"/>
                <w:sz w:val="18"/>
                <w:szCs w:val="22"/>
              </w:rPr>
            </w:pPr>
            <w:r w:rsidRPr="00F154A1">
              <w:rPr>
                <w:rFonts w:cs="Arial"/>
                <w:sz w:val="18"/>
                <w:szCs w:val="22"/>
              </w:rPr>
              <w:t>Macarthur</w:t>
            </w:r>
          </w:p>
          <w:p w14:paraId="0660CF76" w14:textId="77777777" w:rsidR="00304241" w:rsidRPr="00F154A1" w:rsidRDefault="00304241" w:rsidP="00304241">
            <w:pPr>
              <w:spacing w:before="60" w:after="120"/>
              <w:rPr>
                <w:rFonts w:cs="Arial"/>
                <w:sz w:val="18"/>
                <w:szCs w:val="22"/>
              </w:rPr>
            </w:pPr>
            <w:r w:rsidRPr="00F154A1">
              <w:rPr>
                <w:rFonts w:cs="Arial"/>
                <w:sz w:val="18"/>
                <w:szCs w:val="22"/>
              </w:rPr>
              <w:t xml:space="preserve">Moorabool </w:t>
            </w:r>
          </w:p>
          <w:p w14:paraId="4B038888" w14:textId="77777777" w:rsidR="00304241" w:rsidRPr="00F154A1" w:rsidRDefault="00304241" w:rsidP="00304241">
            <w:pPr>
              <w:spacing w:before="60" w:after="120"/>
              <w:rPr>
                <w:rFonts w:cs="Arial"/>
                <w:sz w:val="18"/>
                <w:szCs w:val="22"/>
              </w:rPr>
            </w:pPr>
            <w:r w:rsidRPr="00F154A1">
              <w:rPr>
                <w:rFonts w:cs="Arial"/>
                <w:sz w:val="18"/>
                <w:szCs w:val="22"/>
              </w:rPr>
              <w:t>Mortlake South</w:t>
            </w:r>
          </w:p>
          <w:p w14:paraId="619998C1" w14:textId="77777777" w:rsidR="00304241" w:rsidRPr="00F154A1" w:rsidRDefault="00304241" w:rsidP="00304241">
            <w:pPr>
              <w:spacing w:before="60" w:after="120"/>
              <w:rPr>
                <w:rFonts w:cs="Arial"/>
                <w:sz w:val="18"/>
                <w:szCs w:val="22"/>
              </w:rPr>
            </w:pPr>
            <w:r w:rsidRPr="00F154A1">
              <w:rPr>
                <w:rFonts w:cs="Arial"/>
                <w:sz w:val="18"/>
                <w:szCs w:val="22"/>
              </w:rPr>
              <w:t>Mt Gellibrand</w:t>
            </w:r>
          </w:p>
          <w:p w14:paraId="5C860BAA" w14:textId="77777777" w:rsidR="00304241" w:rsidRPr="00F154A1" w:rsidRDefault="00304241" w:rsidP="00304241">
            <w:pPr>
              <w:spacing w:before="60" w:after="120" w:line="276" w:lineRule="auto"/>
              <w:rPr>
                <w:rFonts w:cs="Arial"/>
                <w:sz w:val="18"/>
                <w:szCs w:val="22"/>
              </w:rPr>
            </w:pPr>
            <w:r w:rsidRPr="00F154A1">
              <w:rPr>
                <w:rFonts w:cs="Arial"/>
                <w:sz w:val="18"/>
                <w:szCs w:val="22"/>
              </w:rPr>
              <w:t>Mt Mercer</w:t>
            </w:r>
          </w:p>
          <w:p w14:paraId="1D7A53A6" w14:textId="77777777" w:rsidR="00304241" w:rsidRPr="00F154A1" w:rsidRDefault="00304241" w:rsidP="00304241">
            <w:pPr>
              <w:spacing w:before="60" w:after="120" w:line="276" w:lineRule="auto"/>
              <w:rPr>
                <w:rFonts w:cs="Arial"/>
                <w:sz w:val="18"/>
                <w:szCs w:val="22"/>
              </w:rPr>
            </w:pPr>
            <w:r w:rsidRPr="00F154A1">
              <w:rPr>
                <w:rFonts w:cs="Arial"/>
                <w:sz w:val="18"/>
                <w:szCs w:val="22"/>
              </w:rPr>
              <w:t>Naroghid</w:t>
            </w:r>
          </w:p>
        </w:tc>
        <w:tc>
          <w:tcPr>
            <w:tcW w:w="2977" w:type="dxa"/>
            <w:tcBorders>
              <w:top w:val="single" w:sz="4" w:space="0" w:color="auto"/>
              <w:left w:val="nil"/>
              <w:bottom w:val="single" w:sz="4" w:space="0" w:color="auto"/>
              <w:right w:val="single" w:sz="4" w:space="0" w:color="auto"/>
            </w:tcBorders>
          </w:tcPr>
          <w:p w14:paraId="78E7C771" w14:textId="77777777" w:rsidR="00304241" w:rsidRPr="00F154A1" w:rsidRDefault="00304241" w:rsidP="00304241">
            <w:pPr>
              <w:spacing w:before="60" w:after="120" w:line="276" w:lineRule="auto"/>
              <w:rPr>
                <w:rFonts w:cs="Arial"/>
                <w:sz w:val="18"/>
                <w:szCs w:val="22"/>
              </w:rPr>
            </w:pPr>
            <w:r w:rsidRPr="00F154A1">
              <w:rPr>
                <w:rFonts w:cs="Arial"/>
                <w:sz w:val="18"/>
                <w:szCs w:val="22"/>
              </w:rPr>
              <w:t>Oaklands Hill</w:t>
            </w:r>
          </w:p>
          <w:p w14:paraId="6EDB2678" w14:textId="77777777" w:rsidR="00304241" w:rsidRPr="00F154A1" w:rsidRDefault="00304241" w:rsidP="00304241">
            <w:pPr>
              <w:spacing w:before="60" w:after="120" w:line="276" w:lineRule="auto"/>
              <w:rPr>
                <w:rFonts w:cs="Arial"/>
                <w:sz w:val="18"/>
                <w:szCs w:val="22"/>
              </w:rPr>
            </w:pPr>
            <w:r w:rsidRPr="00F154A1">
              <w:rPr>
                <w:rFonts w:cs="Arial"/>
                <w:sz w:val="18"/>
                <w:szCs w:val="22"/>
              </w:rPr>
              <w:t>Salt Creek</w:t>
            </w:r>
          </w:p>
          <w:p w14:paraId="685FC380" w14:textId="77777777" w:rsidR="00304241" w:rsidRPr="00F154A1" w:rsidRDefault="00304241" w:rsidP="00304241">
            <w:pPr>
              <w:spacing w:before="60" w:after="120" w:line="276" w:lineRule="auto"/>
              <w:rPr>
                <w:rFonts w:cs="Arial"/>
                <w:sz w:val="18"/>
                <w:szCs w:val="22"/>
              </w:rPr>
            </w:pPr>
            <w:r w:rsidRPr="00F154A1">
              <w:rPr>
                <w:rFonts w:cs="Arial"/>
                <w:sz w:val="18"/>
                <w:szCs w:val="22"/>
              </w:rPr>
              <w:t>Stockyard Hill</w:t>
            </w:r>
          </w:p>
          <w:p w14:paraId="3CDBF3B8" w14:textId="77777777" w:rsidR="00304241" w:rsidRPr="00F154A1" w:rsidRDefault="00304241" w:rsidP="00304241">
            <w:pPr>
              <w:spacing w:before="60" w:after="120" w:line="276" w:lineRule="auto"/>
              <w:rPr>
                <w:rFonts w:cs="Arial"/>
                <w:sz w:val="18"/>
                <w:szCs w:val="22"/>
              </w:rPr>
            </w:pPr>
            <w:r w:rsidRPr="00F154A1">
              <w:rPr>
                <w:rFonts w:cs="Arial"/>
                <w:sz w:val="18"/>
                <w:szCs w:val="22"/>
              </w:rPr>
              <w:t>Toora</w:t>
            </w:r>
          </w:p>
          <w:p w14:paraId="5D21BB19" w14:textId="77777777" w:rsidR="00304241" w:rsidRPr="00F154A1" w:rsidRDefault="00304241" w:rsidP="00304241">
            <w:pPr>
              <w:spacing w:before="60" w:after="120" w:line="276" w:lineRule="auto"/>
              <w:rPr>
                <w:rFonts w:cs="Arial"/>
                <w:sz w:val="18"/>
                <w:szCs w:val="22"/>
              </w:rPr>
            </w:pPr>
            <w:r w:rsidRPr="00F154A1">
              <w:rPr>
                <w:rFonts w:cs="Arial"/>
                <w:sz w:val="18"/>
                <w:szCs w:val="22"/>
              </w:rPr>
              <w:t>Waubra</w:t>
            </w:r>
          </w:p>
          <w:p w14:paraId="7213A571" w14:textId="77777777" w:rsidR="00304241" w:rsidRPr="00F154A1" w:rsidRDefault="00304241" w:rsidP="00304241">
            <w:pPr>
              <w:spacing w:before="60" w:after="120" w:line="276" w:lineRule="auto"/>
              <w:rPr>
                <w:rFonts w:cs="Arial"/>
                <w:sz w:val="18"/>
                <w:szCs w:val="22"/>
              </w:rPr>
            </w:pPr>
            <w:r w:rsidRPr="00F154A1">
              <w:rPr>
                <w:rFonts w:cs="Arial"/>
                <w:sz w:val="18"/>
                <w:szCs w:val="22"/>
              </w:rPr>
              <w:t>Wonthaggi</w:t>
            </w:r>
          </w:p>
          <w:p w14:paraId="76BEC773" w14:textId="77777777" w:rsidR="00304241" w:rsidRPr="00F154A1" w:rsidRDefault="00304241" w:rsidP="00304241">
            <w:pPr>
              <w:spacing w:before="60" w:after="120"/>
              <w:rPr>
                <w:rFonts w:cs="Arial"/>
                <w:sz w:val="16"/>
              </w:rPr>
            </w:pPr>
            <w:r w:rsidRPr="00F154A1">
              <w:rPr>
                <w:rFonts w:cs="Arial"/>
                <w:sz w:val="18"/>
                <w:szCs w:val="22"/>
              </w:rPr>
              <w:t>Willatook</w:t>
            </w:r>
          </w:p>
        </w:tc>
      </w:tr>
      <w:tr w:rsidR="00304241" w:rsidRPr="00F154A1" w14:paraId="2CDA6CDC" w14:textId="77777777" w:rsidTr="00304241">
        <w:trPr>
          <w:cnfStyle w:val="000000010000" w:firstRow="0" w:lastRow="0" w:firstColumn="0" w:lastColumn="0" w:oddVBand="0" w:evenVBand="0" w:oddHBand="0" w:evenHBand="1" w:firstRowFirstColumn="0" w:firstRowLastColumn="0" w:lastRowFirstColumn="0" w:lastRowLastColumn="0"/>
          <w:trHeight w:val="2236"/>
        </w:trPr>
        <w:tc>
          <w:tcPr>
            <w:tcW w:w="2405" w:type="dxa"/>
          </w:tcPr>
          <w:p w14:paraId="7DB6B32C" w14:textId="77777777" w:rsidR="00304241" w:rsidRPr="00F154A1" w:rsidRDefault="00304241" w:rsidP="00304241">
            <w:pPr>
              <w:spacing w:before="60" w:after="120"/>
              <w:rPr>
                <w:rFonts w:cs="Arial"/>
                <w:b/>
                <w:bCs/>
                <w:sz w:val="18"/>
                <w:szCs w:val="22"/>
              </w:rPr>
            </w:pPr>
            <w:r w:rsidRPr="00F154A1">
              <w:rPr>
                <w:rFonts w:cs="Arial"/>
                <w:b/>
                <w:bCs/>
                <w:sz w:val="18"/>
                <w:szCs w:val="22"/>
              </w:rPr>
              <w:t xml:space="preserve">New South Wales </w:t>
            </w:r>
          </w:p>
          <w:p w14:paraId="6504919F" w14:textId="77777777" w:rsidR="00304241" w:rsidRPr="00F154A1" w:rsidRDefault="00304241" w:rsidP="00304241">
            <w:pPr>
              <w:spacing w:before="60" w:after="120"/>
              <w:rPr>
                <w:rFonts w:cs="Arial"/>
                <w:b/>
                <w:bCs/>
                <w:sz w:val="18"/>
                <w:szCs w:val="22"/>
              </w:rPr>
            </w:pPr>
            <w:r w:rsidRPr="00F154A1">
              <w:rPr>
                <w:rFonts w:cs="Arial"/>
                <w:b/>
                <w:bCs/>
                <w:sz w:val="18"/>
                <w:szCs w:val="22"/>
              </w:rPr>
              <w:t>(16 sites)</w:t>
            </w:r>
          </w:p>
        </w:tc>
        <w:tc>
          <w:tcPr>
            <w:tcW w:w="1985" w:type="dxa"/>
            <w:tcBorders>
              <w:right w:val="nil"/>
            </w:tcBorders>
          </w:tcPr>
          <w:p w14:paraId="7B537DAA" w14:textId="77777777" w:rsidR="00304241" w:rsidRPr="00F154A1" w:rsidRDefault="00304241" w:rsidP="00304241">
            <w:pPr>
              <w:spacing w:before="60" w:after="120" w:line="276" w:lineRule="auto"/>
              <w:rPr>
                <w:rFonts w:cs="Arial"/>
                <w:sz w:val="18"/>
                <w:szCs w:val="22"/>
              </w:rPr>
            </w:pPr>
            <w:r w:rsidRPr="00F154A1">
              <w:rPr>
                <w:rFonts w:cs="Arial"/>
                <w:sz w:val="18"/>
                <w:szCs w:val="22"/>
              </w:rPr>
              <w:t>Bango</w:t>
            </w:r>
          </w:p>
          <w:p w14:paraId="4D08DB18" w14:textId="77777777" w:rsidR="00304241" w:rsidRPr="00F154A1" w:rsidRDefault="00304241" w:rsidP="00304241">
            <w:pPr>
              <w:spacing w:before="60" w:after="120" w:line="276" w:lineRule="auto"/>
              <w:rPr>
                <w:rFonts w:cs="Arial"/>
                <w:sz w:val="18"/>
                <w:szCs w:val="22"/>
              </w:rPr>
            </w:pPr>
            <w:r w:rsidRPr="00F154A1">
              <w:rPr>
                <w:rFonts w:cs="Arial"/>
                <w:sz w:val="18"/>
                <w:szCs w:val="22"/>
              </w:rPr>
              <w:t>Collector</w:t>
            </w:r>
          </w:p>
          <w:p w14:paraId="67C9F6C4" w14:textId="77777777" w:rsidR="00304241" w:rsidRPr="00F154A1" w:rsidRDefault="00304241" w:rsidP="00304241">
            <w:pPr>
              <w:spacing w:before="60" w:after="120" w:line="276" w:lineRule="auto"/>
              <w:rPr>
                <w:rFonts w:cs="Arial"/>
                <w:sz w:val="18"/>
                <w:szCs w:val="22"/>
              </w:rPr>
            </w:pPr>
            <w:r w:rsidRPr="00F154A1">
              <w:rPr>
                <w:rFonts w:cs="Arial"/>
                <w:sz w:val="18"/>
                <w:szCs w:val="22"/>
              </w:rPr>
              <w:t>Coppabella</w:t>
            </w:r>
          </w:p>
          <w:p w14:paraId="4A0CAF3E" w14:textId="77777777" w:rsidR="00304241" w:rsidRPr="00F154A1" w:rsidRDefault="00304241" w:rsidP="00304241">
            <w:pPr>
              <w:spacing w:before="60" w:after="120" w:line="276" w:lineRule="auto"/>
              <w:rPr>
                <w:rFonts w:cs="Arial"/>
                <w:sz w:val="18"/>
                <w:szCs w:val="22"/>
              </w:rPr>
            </w:pPr>
            <w:r w:rsidRPr="00F154A1">
              <w:rPr>
                <w:rFonts w:cs="Arial"/>
                <w:sz w:val="18"/>
                <w:szCs w:val="22"/>
              </w:rPr>
              <w:t xml:space="preserve">Crookwell I </w:t>
            </w:r>
          </w:p>
          <w:p w14:paraId="63ABC8E5" w14:textId="77777777" w:rsidR="00304241" w:rsidRPr="00F154A1" w:rsidRDefault="00304241" w:rsidP="00304241">
            <w:pPr>
              <w:spacing w:before="60" w:after="120" w:line="276" w:lineRule="auto"/>
              <w:rPr>
                <w:rFonts w:cs="Arial"/>
                <w:sz w:val="18"/>
                <w:szCs w:val="22"/>
              </w:rPr>
            </w:pPr>
            <w:r w:rsidRPr="00F154A1">
              <w:rPr>
                <w:rFonts w:cs="Arial"/>
                <w:sz w:val="18"/>
                <w:szCs w:val="22"/>
              </w:rPr>
              <w:t xml:space="preserve">Crookwell II </w:t>
            </w:r>
          </w:p>
          <w:p w14:paraId="5046DE32" w14:textId="77777777" w:rsidR="00304241" w:rsidRPr="00F154A1" w:rsidRDefault="00304241" w:rsidP="00304241">
            <w:pPr>
              <w:spacing w:before="60" w:after="120" w:line="276" w:lineRule="auto"/>
              <w:rPr>
                <w:rFonts w:cs="Arial"/>
                <w:sz w:val="18"/>
                <w:szCs w:val="22"/>
              </w:rPr>
            </w:pPr>
            <w:r w:rsidRPr="00F154A1">
              <w:rPr>
                <w:rFonts w:cs="Arial"/>
                <w:sz w:val="18"/>
                <w:szCs w:val="22"/>
              </w:rPr>
              <w:t>Crudine Ridge</w:t>
            </w:r>
          </w:p>
        </w:tc>
        <w:tc>
          <w:tcPr>
            <w:tcW w:w="2126" w:type="dxa"/>
            <w:tcBorders>
              <w:left w:val="nil"/>
              <w:right w:val="nil"/>
            </w:tcBorders>
          </w:tcPr>
          <w:p w14:paraId="49C6F84F" w14:textId="77777777" w:rsidR="00304241" w:rsidRPr="00F154A1" w:rsidRDefault="00304241" w:rsidP="00304241">
            <w:pPr>
              <w:spacing w:before="60" w:after="120" w:line="276" w:lineRule="auto"/>
              <w:rPr>
                <w:rFonts w:cs="Arial"/>
                <w:sz w:val="18"/>
                <w:szCs w:val="22"/>
              </w:rPr>
            </w:pPr>
            <w:r w:rsidRPr="00F154A1">
              <w:rPr>
                <w:rFonts w:cs="Arial"/>
                <w:sz w:val="18"/>
                <w:szCs w:val="22"/>
              </w:rPr>
              <w:t>Cullerin Range</w:t>
            </w:r>
          </w:p>
          <w:p w14:paraId="7130C7DC" w14:textId="77777777" w:rsidR="00304241" w:rsidRPr="00F154A1" w:rsidRDefault="00304241" w:rsidP="00304241">
            <w:pPr>
              <w:spacing w:before="60" w:after="120" w:line="276" w:lineRule="auto"/>
              <w:rPr>
                <w:rFonts w:cs="Arial"/>
                <w:sz w:val="18"/>
                <w:szCs w:val="22"/>
              </w:rPr>
            </w:pPr>
            <w:r w:rsidRPr="00F154A1">
              <w:rPr>
                <w:rFonts w:cs="Arial"/>
                <w:sz w:val="18"/>
                <w:szCs w:val="22"/>
              </w:rPr>
              <w:t xml:space="preserve">Glen Innes </w:t>
            </w:r>
          </w:p>
          <w:p w14:paraId="777048F7" w14:textId="77777777" w:rsidR="00304241" w:rsidRPr="00F154A1" w:rsidRDefault="00304241" w:rsidP="00304241">
            <w:pPr>
              <w:spacing w:before="60" w:after="120" w:line="276" w:lineRule="auto"/>
              <w:rPr>
                <w:rFonts w:cs="Arial"/>
                <w:sz w:val="18"/>
                <w:szCs w:val="22"/>
              </w:rPr>
            </w:pPr>
            <w:r w:rsidRPr="00F154A1">
              <w:rPr>
                <w:rFonts w:cs="Arial"/>
                <w:sz w:val="18"/>
                <w:szCs w:val="22"/>
              </w:rPr>
              <w:t>Gullen Range</w:t>
            </w:r>
          </w:p>
          <w:p w14:paraId="29AC2A49" w14:textId="77777777" w:rsidR="00304241" w:rsidRPr="00F154A1" w:rsidRDefault="00304241" w:rsidP="00304241">
            <w:pPr>
              <w:spacing w:before="60" w:after="120" w:line="276" w:lineRule="auto"/>
              <w:rPr>
                <w:rFonts w:cs="Arial"/>
                <w:sz w:val="18"/>
                <w:szCs w:val="22"/>
              </w:rPr>
            </w:pPr>
            <w:r w:rsidRPr="00F154A1">
              <w:rPr>
                <w:rFonts w:cs="Arial"/>
                <w:sz w:val="18"/>
                <w:szCs w:val="22"/>
              </w:rPr>
              <w:t>Gunning</w:t>
            </w:r>
          </w:p>
          <w:p w14:paraId="4CDF046A" w14:textId="77777777" w:rsidR="00304241" w:rsidRPr="00F154A1" w:rsidRDefault="00304241" w:rsidP="00304241">
            <w:pPr>
              <w:spacing w:before="60" w:after="120" w:line="276" w:lineRule="auto"/>
              <w:rPr>
                <w:rFonts w:cs="Arial"/>
                <w:sz w:val="18"/>
                <w:szCs w:val="22"/>
              </w:rPr>
            </w:pPr>
            <w:r w:rsidRPr="00F154A1">
              <w:rPr>
                <w:rFonts w:cs="Arial"/>
                <w:sz w:val="18"/>
                <w:szCs w:val="22"/>
              </w:rPr>
              <w:t>Hills of Gold</w:t>
            </w:r>
          </w:p>
          <w:p w14:paraId="22B944CE" w14:textId="77777777" w:rsidR="00304241" w:rsidRPr="00F154A1" w:rsidRDefault="00304241" w:rsidP="00304241">
            <w:pPr>
              <w:spacing w:before="60" w:after="120" w:line="276" w:lineRule="auto"/>
              <w:rPr>
                <w:rFonts w:cs="Arial"/>
                <w:sz w:val="18"/>
                <w:szCs w:val="22"/>
              </w:rPr>
            </w:pPr>
            <w:r w:rsidRPr="00F154A1">
              <w:rPr>
                <w:rFonts w:cs="Arial"/>
                <w:sz w:val="18"/>
                <w:szCs w:val="22"/>
              </w:rPr>
              <w:t>Jupiter</w:t>
            </w:r>
          </w:p>
        </w:tc>
        <w:tc>
          <w:tcPr>
            <w:tcW w:w="2977" w:type="dxa"/>
            <w:tcBorders>
              <w:left w:val="nil"/>
            </w:tcBorders>
          </w:tcPr>
          <w:p w14:paraId="389154B3" w14:textId="77777777" w:rsidR="00304241" w:rsidRPr="00F154A1" w:rsidRDefault="00304241" w:rsidP="00304241">
            <w:pPr>
              <w:spacing w:before="60" w:after="120" w:line="276" w:lineRule="auto"/>
              <w:rPr>
                <w:rFonts w:cs="Arial"/>
                <w:sz w:val="18"/>
                <w:szCs w:val="22"/>
              </w:rPr>
            </w:pPr>
            <w:r w:rsidRPr="00F154A1">
              <w:rPr>
                <w:rFonts w:cs="Arial"/>
                <w:sz w:val="18"/>
                <w:szCs w:val="22"/>
              </w:rPr>
              <w:t>NSW Energy Cluster</w:t>
            </w:r>
          </w:p>
          <w:p w14:paraId="3A6B23E8" w14:textId="77777777" w:rsidR="00304241" w:rsidRPr="00F154A1" w:rsidRDefault="00304241" w:rsidP="00304241">
            <w:pPr>
              <w:spacing w:before="60" w:after="120" w:line="276" w:lineRule="auto"/>
              <w:rPr>
                <w:rFonts w:cs="Arial"/>
                <w:sz w:val="18"/>
                <w:szCs w:val="22"/>
              </w:rPr>
            </w:pPr>
            <w:r w:rsidRPr="00F154A1">
              <w:rPr>
                <w:rFonts w:cs="Arial"/>
                <w:sz w:val="18"/>
                <w:szCs w:val="22"/>
              </w:rPr>
              <w:t>Sapphire</w:t>
            </w:r>
          </w:p>
          <w:p w14:paraId="3B4D3CB2" w14:textId="77777777" w:rsidR="00304241" w:rsidRPr="00F154A1" w:rsidRDefault="00304241" w:rsidP="00304241">
            <w:pPr>
              <w:spacing w:before="60" w:after="120" w:line="276" w:lineRule="auto"/>
              <w:rPr>
                <w:rFonts w:cs="Arial"/>
                <w:sz w:val="18"/>
                <w:szCs w:val="22"/>
              </w:rPr>
            </w:pPr>
            <w:r w:rsidRPr="00F154A1">
              <w:rPr>
                <w:rFonts w:cs="Arial"/>
                <w:sz w:val="18"/>
                <w:szCs w:val="22"/>
              </w:rPr>
              <w:t>White Rock</w:t>
            </w:r>
          </w:p>
          <w:p w14:paraId="1D1E4219" w14:textId="77777777" w:rsidR="00304241" w:rsidRPr="00F154A1" w:rsidRDefault="00304241" w:rsidP="00304241">
            <w:pPr>
              <w:spacing w:before="60" w:after="120"/>
              <w:rPr>
                <w:rFonts w:cs="Arial"/>
                <w:sz w:val="16"/>
              </w:rPr>
            </w:pPr>
            <w:r w:rsidRPr="00F154A1">
              <w:rPr>
                <w:rFonts w:cs="Arial"/>
                <w:sz w:val="18"/>
                <w:szCs w:val="22"/>
              </w:rPr>
              <w:t>Walcha</w:t>
            </w:r>
          </w:p>
        </w:tc>
      </w:tr>
      <w:tr w:rsidR="00304241" w:rsidRPr="00F154A1" w14:paraId="6F3CA140" w14:textId="77777777" w:rsidTr="00304241">
        <w:trPr>
          <w:cnfStyle w:val="000000100000" w:firstRow="0" w:lastRow="0" w:firstColumn="0" w:lastColumn="0" w:oddVBand="0" w:evenVBand="0" w:oddHBand="1" w:evenHBand="0" w:firstRowFirstColumn="0" w:firstRowLastColumn="0" w:lastRowFirstColumn="0" w:lastRowLastColumn="0"/>
          <w:trHeight w:val="1135"/>
        </w:trPr>
        <w:tc>
          <w:tcPr>
            <w:tcW w:w="2405" w:type="dxa"/>
          </w:tcPr>
          <w:p w14:paraId="528EFB1A" w14:textId="77777777" w:rsidR="00304241" w:rsidRPr="00F154A1" w:rsidRDefault="00304241" w:rsidP="00304241">
            <w:pPr>
              <w:spacing w:before="60" w:after="120" w:line="276" w:lineRule="auto"/>
              <w:rPr>
                <w:rFonts w:cs="Arial"/>
                <w:sz w:val="18"/>
                <w:szCs w:val="22"/>
              </w:rPr>
            </w:pPr>
            <w:r w:rsidRPr="00F154A1">
              <w:rPr>
                <w:rFonts w:cs="Arial"/>
                <w:b/>
                <w:bCs/>
                <w:sz w:val="18"/>
                <w:szCs w:val="22"/>
              </w:rPr>
              <w:t>South Australia (8 sites)</w:t>
            </w:r>
          </w:p>
        </w:tc>
        <w:tc>
          <w:tcPr>
            <w:tcW w:w="1985" w:type="dxa"/>
            <w:tcBorders>
              <w:right w:val="nil"/>
            </w:tcBorders>
          </w:tcPr>
          <w:p w14:paraId="524403B7" w14:textId="77777777" w:rsidR="00304241" w:rsidRPr="00F154A1" w:rsidRDefault="00304241" w:rsidP="00304241">
            <w:pPr>
              <w:spacing w:before="60" w:after="120" w:line="276" w:lineRule="auto"/>
              <w:rPr>
                <w:rFonts w:cs="Arial"/>
                <w:sz w:val="18"/>
                <w:szCs w:val="22"/>
              </w:rPr>
            </w:pPr>
            <w:r w:rsidRPr="00F154A1">
              <w:rPr>
                <w:rFonts w:cs="Arial"/>
                <w:sz w:val="18"/>
                <w:szCs w:val="22"/>
              </w:rPr>
              <w:t>Crystal Brook</w:t>
            </w:r>
          </w:p>
          <w:p w14:paraId="164F5335" w14:textId="77777777" w:rsidR="00304241" w:rsidRPr="00F154A1" w:rsidRDefault="00304241" w:rsidP="00304241">
            <w:pPr>
              <w:spacing w:before="60" w:after="120" w:line="276" w:lineRule="auto"/>
              <w:rPr>
                <w:rFonts w:cs="Arial"/>
                <w:sz w:val="18"/>
                <w:szCs w:val="22"/>
              </w:rPr>
            </w:pPr>
            <w:r w:rsidRPr="00F154A1">
              <w:rPr>
                <w:rFonts w:cs="Arial"/>
                <w:sz w:val="18"/>
                <w:szCs w:val="22"/>
              </w:rPr>
              <w:t>Hallet</w:t>
            </w:r>
          </w:p>
          <w:p w14:paraId="7C37D5EB" w14:textId="77777777" w:rsidR="00304241" w:rsidRPr="00F154A1" w:rsidRDefault="00304241" w:rsidP="00304241">
            <w:pPr>
              <w:spacing w:before="60" w:after="120" w:line="276" w:lineRule="auto"/>
              <w:rPr>
                <w:rFonts w:cs="Arial"/>
                <w:sz w:val="18"/>
                <w:szCs w:val="22"/>
              </w:rPr>
            </w:pPr>
            <w:r w:rsidRPr="00F154A1">
              <w:rPr>
                <w:rFonts w:cs="Arial"/>
                <w:sz w:val="18"/>
                <w:szCs w:val="22"/>
              </w:rPr>
              <w:t>Keyneton</w:t>
            </w:r>
          </w:p>
        </w:tc>
        <w:tc>
          <w:tcPr>
            <w:tcW w:w="2126" w:type="dxa"/>
            <w:tcBorders>
              <w:left w:val="nil"/>
              <w:right w:val="nil"/>
            </w:tcBorders>
          </w:tcPr>
          <w:p w14:paraId="05168505" w14:textId="77777777" w:rsidR="00304241" w:rsidRPr="00F154A1" w:rsidRDefault="00304241" w:rsidP="00304241">
            <w:pPr>
              <w:pStyle w:val="ListBullet2"/>
              <w:numPr>
                <w:ilvl w:val="0"/>
                <w:numId w:val="0"/>
              </w:numPr>
              <w:spacing w:before="60" w:after="120"/>
              <w:ind w:left="369" w:hanging="369"/>
              <w:rPr>
                <w:rFonts w:cs="Arial"/>
                <w:sz w:val="18"/>
                <w:szCs w:val="22"/>
              </w:rPr>
            </w:pPr>
            <w:r w:rsidRPr="00F154A1">
              <w:rPr>
                <w:rFonts w:cs="Arial"/>
                <w:sz w:val="18"/>
                <w:szCs w:val="22"/>
              </w:rPr>
              <w:t>Palmer</w:t>
            </w:r>
          </w:p>
          <w:p w14:paraId="4BF9D2FA" w14:textId="77777777" w:rsidR="00304241" w:rsidRPr="00F154A1" w:rsidRDefault="00304241" w:rsidP="00304241">
            <w:pPr>
              <w:pStyle w:val="ListBullet2"/>
              <w:numPr>
                <w:ilvl w:val="0"/>
                <w:numId w:val="0"/>
              </w:numPr>
              <w:spacing w:before="60" w:after="120"/>
              <w:ind w:left="369" w:hanging="369"/>
              <w:rPr>
                <w:rFonts w:cs="Arial"/>
                <w:sz w:val="18"/>
                <w:szCs w:val="22"/>
              </w:rPr>
            </w:pPr>
            <w:r w:rsidRPr="00F154A1">
              <w:rPr>
                <w:rFonts w:cs="Arial"/>
                <w:sz w:val="18"/>
                <w:szCs w:val="22"/>
              </w:rPr>
              <w:t>Port Augusta</w:t>
            </w:r>
          </w:p>
          <w:p w14:paraId="4A1FA992" w14:textId="77777777" w:rsidR="00304241" w:rsidRPr="00F154A1" w:rsidRDefault="00304241" w:rsidP="00304241">
            <w:pPr>
              <w:pStyle w:val="ListBullet2"/>
              <w:numPr>
                <w:ilvl w:val="0"/>
                <w:numId w:val="0"/>
              </w:numPr>
              <w:spacing w:before="60" w:after="120"/>
              <w:ind w:left="369" w:hanging="369"/>
              <w:rPr>
                <w:rFonts w:cs="Arial"/>
                <w:sz w:val="18"/>
                <w:szCs w:val="22"/>
              </w:rPr>
            </w:pPr>
            <w:r w:rsidRPr="00F154A1">
              <w:rPr>
                <w:rFonts w:cs="Arial"/>
                <w:sz w:val="18"/>
                <w:szCs w:val="22"/>
              </w:rPr>
              <w:t>Twin Creek</w:t>
            </w:r>
          </w:p>
        </w:tc>
        <w:tc>
          <w:tcPr>
            <w:tcW w:w="2977" w:type="dxa"/>
            <w:tcBorders>
              <w:left w:val="nil"/>
            </w:tcBorders>
          </w:tcPr>
          <w:p w14:paraId="3BB91D55" w14:textId="77777777" w:rsidR="00304241" w:rsidRPr="00F154A1" w:rsidRDefault="00304241" w:rsidP="00304241">
            <w:pPr>
              <w:spacing w:before="60" w:after="120" w:line="276" w:lineRule="auto"/>
              <w:rPr>
                <w:rFonts w:cs="Arial"/>
                <w:sz w:val="18"/>
                <w:szCs w:val="22"/>
              </w:rPr>
            </w:pPr>
            <w:r w:rsidRPr="00F154A1">
              <w:rPr>
                <w:rFonts w:cs="Arial"/>
                <w:sz w:val="18"/>
                <w:szCs w:val="22"/>
              </w:rPr>
              <w:t>Snowtown</w:t>
            </w:r>
          </w:p>
          <w:p w14:paraId="47A710CF" w14:textId="77777777" w:rsidR="00304241" w:rsidRPr="00F154A1" w:rsidRDefault="00304241" w:rsidP="00304241">
            <w:pPr>
              <w:pStyle w:val="ListBullet2"/>
              <w:numPr>
                <w:ilvl w:val="0"/>
                <w:numId w:val="0"/>
              </w:numPr>
              <w:spacing w:before="60" w:after="120"/>
              <w:ind w:left="369" w:hanging="369"/>
              <w:rPr>
                <w:rFonts w:cs="Arial"/>
                <w:sz w:val="16"/>
              </w:rPr>
            </w:pPr>
            <w:r w:rsidRPr="00F154A1">
              <w:rPr>
                <w:rFonts w:cs="Arial"/>
                <w:sz w:val="18"/>
                <w:szCs w:val="22"/>
              </w:rPr>
              <w:t>Waterloo</w:t>
            </w:r>
          </w:p>
        </w:tc>
      </w:tr>
      <w:tr w:rsidR="00304241" w:rsidRPr="00F154A1" w14:paraId="588C2475" w14:textId="77777777" w:rsidTr="00304241">
        <w:trPr>
          <w:cnfStyle w:val="000000010000" w:firstRow="0" w:lastRow="0" w:firstColumn="0" w:lastColumn="0" w:oddVBand="0" w:evenVBand="0" w:oddHBand="0" w:evenHBand="1" w:firstRowFirstColumn="0" w:firstRowLastColumn="0" w:lastRowFirstColumn="0" w:lastRowLastColumn="0"/>
          <w:trHeight w:val="683"/>
        </w:trPr>
        <w:tc>
          <w:tcPr>
            <w:tcW w:w="2405" w:type="dxa"/>
          </w:tcPr>
          <w:p w14:paraId="0402FC1B" w14:textId="77777777" w:rsidR="00304241" w:rsidRPr="00F154A1" w:rsidRDefault="00304241" w:rsidP="00304241">
            <w:pPr>
              <w:spacing w:before="60" w:after="120"/>
              <w:rPr>
                <w:rFonts w:cs="Arial"/>
                <w:b/>
                <w:bCs/>
                <w:sz w:val="18"/>
                <w:szCs w:val="22"/>
              </w:rPr>
            </w:pPr>
            <w:r w:rsidRPr="00F154A1">
              <w:rPr>
                <w:rFonts w:cs="Arial"/>
                <w:b/>
                <w:bCs/>
                <w:sz w:val="18"/>
                <w:szCs w:val="22"/>
              </w:rPr>
              <w:t>Queensland (5 sites)</w:t>
            </w:r>
          </w:p>
        </w:tc>
        <w:tc>
          <w:tcPr>
            <w:tcW w:w="1985" w:type="dxa"/>
            <w:tcBorders>
              <w:right w:val="nil"/>
            </w:tcBorders>
          </w:tcPr>
          <w:p w14:paraId="018E41FF" w14:textId="77777777" w:rsidR="00304241" w:rsidRPr="00F154A1" w:rsidRDefault="00304241" w:rsidP="00304241">
            <w:pPr>
              <w:spacing w:before="60" w:after="120"/>
              <w:rPr>
                <w:rFonts w:cs="Arial"/>
                <w:sz w:val="18"/>
                <w:szCs w:val="22"/>
              </w:rPr>
            </w:pPr>
            <w:r w:rsidRPr="00F154A1">
              <w:rPr>
                <w:rFonts w:cs="Arial"/>
                <w:sz w:val="18"/>
                <w:szCs w:val="22"/>
              </w:rPr>
              <w:t>Coopers Gap</w:t>
            </w:r>
          </w:p>
          <w:p w14:paraId="4986913A" w14:textId="77777777" w:rsidR="00304241" w:rsidRPr="00F154A1" w:rsidRDefault="00304241" w:rsidP="00304241">
            <w:pPr>
              <w:spacing w:before="60" w:after="120"/>
              <w:rPr>
                <w:rFonts w:cs="Arial"/>
                <w:sz w:val="18"/>
                <w:szCs w:val="22"/>
              </w:rPr>
            </w:pPr>
            <w:r w:rsidRPr="00F154A1">
              <w:rPr>
                <w:rFonts w:cs="Arial"/>
                <w:sz w:val="18"/>
                <w:szCs w:val="22"/>
              </w:rPr>
              <w:t>High Road</w:t>
            </w:r>
          </w:p>
        </w:tc>
        <w:tc>
          <w:tcPr>
            <w:tcW w:w="2126" w:type="dxa"/>
            <w:tcBorders>
              <w:left w:val="nil"/>
              <w:right w:val="nil"/>
            </w:tcBorders>
          </w:tcPr>
          <w:p w14:paraId="4A7E43C0" w14:textId="77777777" w:rsidR="00304241" w:rsidRPr="00F154A1" w:rsidRDefault="00304241" w:rsidP="00304241">
            <w:pPr>
              <w:spacing w:before="60" w:after="120"/>
              <w:rPr>
                <w:rFonts w:cs="Arial"/>
                <w:sz w:val="18"/>
                <w:szCs w:val="22"/>
              </w:rPr>
            </w:pPr>
            <w:r w:rsidRPr="00F154A1">
              <w:rPr>
                <w:rFonts w:cs="Arial"/>
                <w:sz w:val="18"/>
                <w:szCs w:val="22"/>
              </w:rPr>
              <w:t>Kaban Green Power Hub</w:t>
            </w:r>
          </w:p>
        </w:tc>
        <w:tc>
          <w:tcPr>
            <w:tcW w:w="2977" w:type="dxa"/>
            <w:tcBorders>
              <w:left w:val="nil"/>
            </w:tcBorders>
          </w:tcPr>
          <w:p w14:paraId="68F9EE58" w14:textId="77777777" w:rsidR="00304241" w:rsidRPr="00F154A1" w:rsidRDefault="00304241" w:rsidP="00304241">
            <w:pPr>
              <w:spacing w:before="60" w:after="120"/>
              <w:rPr>
                <w:rFonts w:cs="Arial"/>
                <w:sz w:val="18"/>
                <w:szCs w:val="22"/>
              </w:rPr>
            </w:pPr>
            <w:r w:rsidRPr="00F154A1">
              <w:rPr>
                <w:rFonts w:cs="Arial"/>
                <w:sz w:val="18"/>
                <w:szCs w:val="22"/>
              </w:rPr>
              <w:t>Mt Emerald</w:t>
            </w:r>
          </w:p>
          <w:p w14:paraId="57399EC1" w14:textId="77777777" w:rsidR="00304241" w:rsidRPr="00F154A1" w:rsidRDefault="00304241" w:rsidP="00304241">
            <w:pPr>
              <w:spacing w:before="60" w:after="120"/>
              <w:rPr>
                <w:rFonts w:cs="Arial"/>
                <w:sz w:val="16"/>
              </w:rPr>
            </w:pPr>
            <w:r w:rsidRPr="00F154A1">
              <w:rPr>
                <w:rFonts w:cs="Arial"/>
                <w:sz w:val="18"/>
                <w:szCs w:val="22"/>
              </w:rPr>
              <w:t>Windy Hill</w:t>
            </w:r>
          </w:p>
        </w:tc>
      </w:tr>
      <w:tr w:rsidR="00304241" w:rsidRPr="00F154A1" w14:paraId="534DB353" w14:textId="77777777" w:rsidTr="00304241">
        <w:trPr>
          <w:cnfStyle w:val="000000100000" w:firstRow="0" w:lastRow="0" w:firstColumn="0" w:lastColumn="0" w:oddVBand="0" w:evenVBand="0" w:oddHBand="1" w:evenHBand="0" w:firstRowFirstColumn="0" w:firstRowLastColumn="0" w:lastRowFirstColumn="0" w:lastRowLastColumn="0"/>
          <w:trHeight w:val="680"/>
        </w:trPr>
        <w:tc>
          <w:tcPr>
            <w:tcW w:w="2405" w:type="dxa"/>
            <w:tcBorders>
              <w:bottom w:val="single" w:sz="4" w:space="0" w:color="auto"/>
            </w:tcBorders>
          </w:tcPr>
          <w:p w14:paraId="135F8E40" w14:textId="77777777" w:rsidR="00304241" w:rsidRPr="00F154A1" w:rsidRDefault="00304241" w:rsidP="00304241">
            <w:pPr>
              <w:spacing w:before="60" w:after="120" w:line="276" w:lineRule="auto"/>
              <w:rPr>
                <w:rFonts w:cs="Arial"/>
                <w:sz w:val="18"/>
                <w:szCs w:val="22"/>
              </w:rPr>
            </w:pPr>
            <w:r w:rsidRPr="00F154A1">
              <w:rPr>
                <w:rFonts w:cs="Arial"/>
                <w:b/>
                <w:bCs/>
                <w:sz w:val="18"/>
                <w:szCs w:val="22"/>
              </w:rPr>
              <w:t>Western Australia (3 sites)</w:t>
            </w:r>
          </w:p>
        </w:tc>
        <w:tc>
          <w:tcPr>
            <w:tcW w:w="1985" w:type="dxa"/>
            <w:tcBorders>
              <w:bottom w:val="single" w:sz="4" w:space="0" w:color="auto"/>
              <w:right w:val="nil"/>
            </w:tcBorders>
          </w:tcPr>
          <w:p w14:paraId="53E0D662" w14:textId="77777777" w:rsidR="00304241" w:rsidRPr="00F154A1" w:rsidRDefault="00304241" w:rsidP="00304241">
            <w:pPr>
              <w:spacing w:before="60" w:after="120" w:line="276" w:lineRule="auto"/>
              <w:rPr>
                <w:rFonts w:cs="Arial"/>
                <w:sz w:val="18"/>
                <w:szCs w:val="22"/>
              </w:rPr>
            </w:pPr>
            <w:r w:rsidRPr="00F154A1">
              <w:rPr>
                <w:rFonts w:cs="Arial"/>
                <w:sz w:val="18"/>
                <w:szCs w:val="22"/>
              </w:rPr>
              <w:t>Albany</w:t>
            </w:r>
          </w:p>
        </w:tc>
        <w:tc>
          <w:tcPr>
            <w:tcW w:w="2126" w:type="dxa"/>
            <w:tcBorders>
              <w:left w:val="nil"/>
              <w:bottom w:val="single" w:sz="4" w:space="0" w:color="auto"/>
              <w:right w:val="nil"/>
            </w:tcBorders>
          </w:tcPr>
          <w:p w14:paraId="738D6316" w14:textId="77777777" w:rsidR="00304241" w:rsidRPr="00F154A1" w:rsidRDefault="00304241" w:rsidP="00304241">
            <w:pPr>
              <w:spacing w:before="60" w:after="120"/>
              <w:rPr>
                <w:rFonts w:cs="Arial"/>
                <w:b/>
                <w:bCs/>
                <w:sz w:val="18"/>
                <w:szCs w:val="22"/>
              </w:rPr>
            </w:pPr>
            <w:r w:rsidRPr="00F154A1">
              <w:rPr>
                <w:rFonts w:cs="Arial"/>
                <w:sz w:val="18"/>
                <w:szCs w:val="22"/>
              </w:rPr>
              <w:t>Denmark</w:t>
            </w:r>
          </w:p>
        </w:tc>
        <w:tc>
          <w:tcPr>
            <w:tcW w:w="2977" w:type="dxa"/>
            <w:tcBorders>
              <w:left w:val="nil"/>
              <w:bottom w:val="single" w:sz="4" w:space="0" w:color="auto"/>
            </w:tcBorders>
          </w:tcPr>
          <w:p w14:paraId="121F3C01" w14:textId="77777777" w:rsidR="00304241" w:rsidRPr="00F154A1" w:rsidRDefault="00304241" w:rsidP="00304241">
            <w:pPr>
              <w:spacing w:before="60" w:after="120"/>
              <w:rPr>
                <w:rFonts w:cs="Arial"/>
                <w:sz w:val="16"/>
              </w:rPr>
            </w:pPr>
            <w:r w:rsidRPr="00F154A1">
              <w:rPr>
                <w:rFonts w:cs="Arial"/>
                <w:sz w:val="18"/>
                <w:szCs w:val="22"/>
              </w:rPr>
              <w:t>Mount Barker</w:t>
            </w:r>
          </w:p>
        </w:tc>
      </w:tr>
      <w:tr w:rsidR="00304241" w:rsidRPr="00F154A1" w14:paraId="27DE0C40" w14:textId="77777777" w:rsidTr="00304241">
        <w:trPr>
          <w:cnfStyle w:val="000000010000" w:firstRow="0" w:lastRow="0" w:firstColumn="0" w:lastColumn="0" w:oddVBand="0" w:evenVBand="0" w:oddHBand="0" w:evenHBand="1" w:firstRowFirstColumn="0" w:firstRowLastColumn="0" w:lastRowFirstColumn="0" w:lastRowLastColumn="0"/>
          <w:trHeight w:val="690"/>
        </w:trPr>
        <w:tc>
          <w:tcPr>
            <w:tcW w:w="2405" w:type="dxa"/>
            <w:tcBorders>
              <w:bottom w:val="single" w:sz="4" w:space="0" w:color="auto"/>
            </w:tcBorders>
          </w:tcPr>
          <w:p w14:paraId="66E5637F" w14:textId="77777777" w:rsidR="00304241" w:rsidRPr="00F154A1" w:rsidRDefault="00304241" w:rsidP="00304241">
            <w:pPr>
              <w:spacing w:before="60" w:after="120" w:line="276" w:lineRule="auto"/>
              <w:rPr>
                <w:rFonts w:cs="Arial"/>
                <w:sz w:val="18"/>
                <w:szCs w:val="22"/>
              </w:rPr>
            </w:pPr>
            <w:r w:rsidRPr="00F154A1">
              <w:rPr>
                <w:rFonts w:cs="Arial"/>
                <w:b/>
                <w:bCs/>
                <w:sz w:val="18"/>
                <w:szCs w:val="22"/>
              </w:rPr>
              <w:t>Tasmania (6 sites)</w:t>
            </w:r>
          </w:p>
        </w:tc>
        <w:tc>
          <w:tcPr>
            <w:tcW w:w="1985" w:type="dxa"/>
            <w:tcBorders>
              <w:bottom w:val="single" w:sz="4" w:space="0" w:color="auto"/>
              <w:right w:val="nil"/>
            </w:tcBorders>
          </w:tcPr>
          <w:p w14:paraId="0926F201" w14:textId="77777777" w:rsidR="00304241" w:rsidRPr="00F154A1" w:rsidRDefault="00304241" w:rsidP="00304241">
            <w:pPr>
              <w:pStyle w:val="ListBullet2"/>
              <w:numPr>
                <w:ilvl w:val="0"/>
                <w:numId w:val="0"/>
              </w:numPr>
              <w:spacing w:before="60" w:after="120"/>
              <w:ind w:left="369" w:hanging="369"/>
              <w:rPr>
                <w:rFonts w:asciiTheme="minorHAnsi" w:hAnsiTheme="minorHAnsi"/>
                <w:sz w:val="16"/>
              </w:rPr>
            </w:pPr>
            <w:r w:rsidRPr="00F154A1">
              <w:rPr>
                <w:rFonts w:cs="Arial"/>
                <w:sz w:val="18"/>
                <w:szCs w:val="22"/>
              </w:rPr>
              <w:t>Musselroe</w:t>
            </w:r>
          </w:p>
          <w:p w14:paraId="361ED54C" w14:textId="77777777" w:rsidR="00304241" w:rsidRPr="00F154A1" w:rsidRDefault="00304241" w:rsidP="00304241">
            <w:pPr>
              <w:pStyle w:val="ListBullet2"/>
              <w:numPr>
                <w:ilvl w:val="0"/>
                <w:numId w:val="0"/>
              </w:numPr>
              <w:spacing w:before="60" w:after="120"/>
              <w:ind w:left="369" w:hanging="369"/>
              <w:rPr>
                <w:rFonts w:cs="Arial"/>
                <w:sz w:val="18"/>
              </w:rPr>
            </w:pPr>
            <w:r w:rsidRPr="00F154A1">
              <w:rPr>
                <w:rFonts w:cs="Arial"/>
                <w:sz w:val="18"/>
              </w:rPr>
              <w:t xml:space="preserve">Robbins Island </w:t>
            </w:r>
          </w:p>
        </w:tc>
        <w:tc>
          <w:tcPr>
            <w:tcW w:w="2126" w:type="dxa"/>
            <w:tcBorders>
              <w:left w:val="nil"/>
              <w:bottom w:val="single" w:sz="4" w:space="0" w:color="auto"/>
              <w:right w:val="nil"/>
            </w:tcBorders>
          </w:tcPr>
          <w:p w14:paraId="57E9A2A5" w14:textId="77777777" w:rsidR="00304241" w:rsidRPr="00F154A1" w:rsidRDefault="00304241" w:rsidP="00304241">
            <w:pPr>
              <w:pStyle w:val="ListBullet2"/>
              <w:numPr>
                <w:ilvl w:val="0"/>
                <w:numId w:val="0"/>
              </w:numPr>
              <w:spacing w:before="60" w:after="120"/>
              <w:ind w:left="369" w:hanging="369"/>
              <w:rPr>
                <w:rFonts w:cs="Arial"/>
                <w:sz w:val="18"/>
              </w:rPr>
            </w:pPr>
            <w:r w:rsidRPr="00F154A1">
              <w:rPr>
                <w:rFonts w:cs="Arial"/>
                <w:sz w:val="18"/>
              </w:rPr>
              <w:t>Jims Plains</w:t>
            </w:r>
          </w:p>
          <w:p w14:paraId="39116C35" w14:textId="77777777" w:rsidR="00304241" w:rsidRPr="00F154A1" w:rsidRDefault="00304241" w:rsidP="00304241">
            <w:pPr>
              <w:pStyle w:val="ListBullet2"/>
              <w:numPr>
                <w:ilvl w:val="0"/>
                <w:numId w:val="0"/>
              </w:numPr>
              <w:spacing w:before="60" w:after="120"/>
              <w:ind w:left="369" w:hanging="369"/>
              <w:rPr>
                <w:rFonts w:cs="Arial"/>
                <w:sz w:val="18"/>
              </w:rPr>
            </w:pPr>
            <w:r w:rsidRPr="00F154A1">
              <w:rPr>
                <w:rFonts w:cs="Arial"/>
                <w:sz w:val="18"/>
              </w:rPr>
              <w:t>Cattle Hill</w:t>
            </w:r>
          </w:p>
        </w:tc>
        <w:tc>
          <w:tcPr>
            <w:tcW w:w="2977" w:type="dxa"/>
            <w:tcBorders>
              <w:left w:val="nil"/>
              <w:bottom w:val="single" w:sz="4" w:space="0" w:color="auto"/>
            </w:tcBorders>
          </w:tcPr>
          <w:p w14:paraId="6C71060B" w14:textId="77777777" w:rsidR="00304241" w:rsidRPr="00F154A1" w:rsidRDefault="00304241" w:rsidP="00304241">
            <w:pPr>
              <w:pStyle w:val="ListBullet2"/>
              <w:numPr>
                <w:ilvl w:val="0"/>
                <w:numId w:val="0"/>
              </w:numPr>
              <w:spacing w:before="60" w:after="120"/>
              <w:ind w:left="369" w:hanging="369"/>
              <w:rPr>
                <w:rFonts w:asciiTheme="minorHAnsi" w:hAnsiTheme="minorHAnsi"/>
                <w:sz w:val="16"/>
              </w:rPr>
            </w:pPr>
            <w:r w:rsidRPr="00F154A1">
              <w:rPr>
                <w:rFonts w:cs="Arial"/>
                <w:sz w:val="18"/>
              </w:rPr>
              <w:t>St Patricks Plains</w:t>
            </w:r>
          </w:p>
          <w:p w14:paraId="4701B733" w14:textId="77777777" w:rsidR="00304241" w:rsidRPr="00F154A1" w:rsidRDefault="00304241" w:rsidP="00304241">
            <w:pPr>
              <w:pStyle w:val="ListBullet2"/>
              <w:numPr>
                <w:ilvl w:val="0"/>
                <w:numId w:val="0"/>
              </w:numPr>
              <w:spacing w:before="60" w:after="120"/>
              <w:ind w:left="369" w:hanging="369"/>
              <w:rPr>
                <w:rFonts w:cs="Arial"/>
                <w:sz w:val="16"/>
              </w:rPr>
            </w:pPr>
            <w:r w:rsidRPr="00F154A1">
              <w:rPr>
                <w:rFonts w:cs="Arial"/>
                <w:sz w:val="18"/>
              </w:rPr>
              <w:t>Western Plains</w:t>
            </w:r>
          </w:p>
        </w:tc>
      </w:tr>
      <w:tr w:rsidR="00A2013E" w:rsidRPr="00F154A1" w14:paraId="37ED7D89" w14:textId="77777777" w:rsidTr="003F7AAE">
        <w:trPr>
          <w:cnfStyle w:val="000000100000" w:firstRow="0" w:lastRow="0" w:firstColumn="0" w:lastColumn="0" w:oddVBand="0" w:evenVBand="0" w:oddHBand="1" w:evenHBand="0" w:firstRowFirstColumn="0" w:firstRowLastColumn="0" w:lastRowFirstColumn="0" w:lastRowLastColumn="0"/>
        </w:trPr>
        <w:tc>
          <w:tcPr>
            <w:tcW w:w="9493" w:type="dxa"/>
            <w:gridSpan w:val="4"/>
            <w:tcBorders>
              <w:top w:val="single" w:sz="4" w:space="0" w:color="auto"/>
              <w:left w:val="nil"/>
              <w:bottom w:val="nil"/>
              <w:right w:val="nil"/>
            </w:tcBorders>
          </w:tcPr>
          <w:p w14:paraId="74A9FA1F" w14:textId="37E48AC8" w:rsidR="00A2013E" w:rsidRPr="00F154A1" w:rsidRDefault="00A2013E" w:rsidP="00304241">
            <w:pPr>
              <w:spacing w:before="240" w:after="120"/>
              <w:rPr>
                <w:rFonts w:cs="Arial"/>
                <w:b/>
                <w:bCs/>
                <w:sz w:val="16"/>
              </w:rPr>
            </w:pPr>
            <w:r w:rsidRPr="00F154A1">
              <w:rPr>
                <w:rFonts w:cs="Arial"/>
                <w:b/>
                <w:bCs/>
                <w:sz w:val="22"/>
                <w:szCs w:val="22"/>
              </w:rPr>
              <w:t>Table 2: List of other renewable sites visited since 2018</w:t>
            </w:r>
          </w:p>
        </w:tc>
      </w:tr>
    </w:tbl>
    <w:tbl>
      <w:tblPr>
        <w:tblStyle w:val="TableGrid1"/>
        <w:tblW w:w="9493" w:type="dxa"/>
        <w:tblInd w:w="5" w:type="dxa"/>
        <w:tblLayout w:type="fixed"/>
        <w:tblLook w:val="04A0" w:firstRow="1" w:lastRow="0" w:firstColumn="1" w:lastColumn="0" w:noHBand="0" w:noVBand="1"/>
      </w:tblPr>
      <w:tblGrid>
        <w:gridCol w:w="2972"/>
        <w:gridCol w:w="2977"/>
        <w:gridCol w:w="3544"/>
      </w:tblGrid>
      <w:tr w:rsidR="00304241" w:rsidRPr="00F154A1" w14:paraId="095FE95A" w14:textId="77777777" w:rsidTr="00304241">
        <w:tc>
          <w:tcPr>
            <w:tcW w:w="2972" w:type="dxa"/>
            <w:shd w:val="clear" w:color="auto" w:fill="DBE5F1" w:themeFill="accent1" w:themeFillTint="33"/>
          </w:tcPr>
          <w:p w14:paraId="2CF5B76E" w14:textId="77777777" w:rsidR="00304241" w:rsidRPr="00F154A1" w:rsidRDefault="00304241" w:rsidP="00304241">
            <w:pPr>
              <w:spacing w:before="120" w:after="120"/>
              <w:jc w:val="center"/>
              <w:rPr>
                <w:rFonts w:cs="Arial"/>
                <w:b/>
                <w:bCs/>
                <w:sz w:val="18"/>
              </w:rPr>
            </w:pPr>
            <w:r w:rsidRPr="00F154A1">
              <w:rPr>
                <w:rFonts w:cs="Arial"/>
                <w:b/>
                <w:bCs/>
                <w:sz w:val="18"/>
              </w:rPr>
              <w:t>State</w:t>
            </w:r>
          </w:p>
        </w:tc>
        <w:tc>
          <w:tcPr>
            <w:tcW w:w="6521" w:type="dxa"/>
            <w:gridSpan w:val="2"/>
            <w:shd w:val="clear" w:color="auto" w:fill="DBE5F1" w:themeFill="accent1" w:themeFillTint="33"/>
          </w:tcPr>
          <w:p w14:paraId="698AB573" w14:textId="77777777" w:rsidR="00304241" w:rsidRPr="00F154A1" w:rsidRDefault="00304241" w:rsidP="00304241">
            <w:pPr>
              <w:spacing w:before="120" w:after="120"/>
              <w:jc w:val="center"/>
              <w:rPr>
                <w:rFonts w:cs="Arial"/>
                <w:b/>
                <w:bCs/>
                <w:sz w:val="18"/>
              </w:rPr>
            </w:pPr>
            <w:r w:rsidRPr="00F154A1">
              <w:rPr>
                <w:rFonts w:cs="Arial"/>
                <w:b/>
                <w:bCs/>
                <w:sz w:val="18"/>
              </w:rPr>
              <w:t>Solar farm</w:t>
            </w:r>
          </w:p>
        </w:tc>
      </w:tr>
      <w:tr w:rsidR="00304241" w:rsidRPr="00F154A1" w14:paraId="0B479EAE" w14:textId="77777777" w:rsidTr="00304241">
        <w:trPr>
          <w:trHeight w:val="1778"/>
        </w:trPr>
        <w:tc>
          <w:tcPr>
            <w:tcW w:w="2972" w:type="dxa"/>
          </w:tcPr>
          <w:p w14:paraId="3F87DCBD" w14:textId="77777777" w:rsidR="00304241" w:rsidRPr="00F154A1" w:rsidRDefault="00304241" w:rsidP="00304241">
            <w:pPr>
              <w:spacing w:before="60" w:after="120" w:line="276" w:lineRule="auto"/>
              <w:rPr>
                <w:rFonts w:cs="Arial"/>
                <w:sz w:val="18"/>
              </w:rPr>
            </w:pPr>
            <w:r w:rsidRPr="00937128">
              <w:rPr>
                <w:rFonts w:cs="Arial"/>
                <w:b/>
                <w:bCs/>
                <w:sz w:val="18"/>
              </w:rPr>
              <w:t xml:space="preserve">New South Wales </w:t>
            </w:r>
            <w:r w:rsidRPr="00382392">
              <w:rPr>
                <w:rFonts w:cs="Arial"/>
                <w:b/>
                <w:bCs/>
                <w:sz w:val="18"/>
              </w:rPr>
              <w:t>(</w:t>
            </w:r>
            <w:r w:rsidR="009239A3" w:rsidRPr="00382392">
              <w:rPr>
                <w:rFonts w:cs="Arial"/>
                <w:b/>
                <w:bCs/>
                <w:sz w:val="18"/>
              </w:rPr>
              <w:t>5</w:t>
            </w:r>
            <w:r w:rsidRPr="00382392">
              <w:rPr>
                <w:rFonts w:cs="Arial"/>
                <w:b/>
                <w:bCs/>
                <w:sz w:val="18"/>
              </w:rPr>
              <w:t xml:space="preserve"> sites)</w:t>
            </w:r>
          </w:p>
          <w:p w14:paraId="5A2C1D98" w14:textId="77777777" w:rsidR="00304241" w:rsidRPr="00F154A1" w:rsidRDefault="00304241" w:rsidP="00304241">
            <w:pPr>
              <w:spacing w:before="60" w:after="120"/>
              <w:rPr>
                <w:rFonts w:cs="Arial"/>
                <w:b/>
                <w:bCs/>
                <w:sz w:val="18"/>
              </w:rPr>
            </w:pPr>
          </w:p>
        </w:tc>
        <w:tc>
          <w:tcPr>
            <w:tcW w:w="2977" w:type="dxa"/>
            <w:tcBorders>
              <w:right w:val="nil"/>
            </w:tcBorders>
          </w:tcPr>
          <w:p w14:paraId="69782F60" w14:textId="77777777" w:rsidR="00304241" w:rsidRPr="00F154A1" w:rsidRDefault="00304241" w:rsidP="00304241">
            <w:pPr>
              <w:spacing w:before="60" w:after="120" w:line="276" w:lineRule="auto"/>
              <w:rPr>
                <w:rFonts w:cs="Arial"/>
                <w:sz w:val="18"/>
              </w:rPr>
            </w:pPr>
            <w:r w:rsidRPr="00F154A1">
              <w:rPr>
                <w:rFonts w:cs="Arial"/>
                <w:sz w:val="18"/>
              </w:rPr>
              <w:t>Jemalong CSP Pilot Plant</w:t>
            </w:r>
          </w:p>
          <w:p w14:paraId="42BE69F0" w14:textId="77777777" w:rsidR="00304241" w:rsidRPr="00F154A1" w:rsidRDefault="00304241" w:rsidP="00304241">
            <w:pPr>
              <w:spacing w:before="60" w:after="120" w:line="276" w:lineRule="auto"/>
              <w:rPr>
                <w:rFonts w:cs="Arial"/>
                <w:sz w:val="18"/>
              </w:rPr>
            </w:pPr>
            <w:r w:rsidRPr="00F154A1">
              <w:rPr>
                <w:rFonts w:cs="Arial"/>
                <w:sz w:val="18"/>
              </w:rPr>
              <w:t>Parkes Solar Farm</w:t>
            </w:r>
          </w:p>
          <w:p w14:paraId="1DF303E4" w14:textId="77777777" w:rsidR="00304241" w:rsidRPr="00F154A1" w:rsidRDefault="00304241" w:rsidP="00304241">
            <w:pPr>
              <w:spacing w:before="60" w:after="120"/>
              <w:rPr>
                <w:rFonts w:cs="Arial"/>
                <w:sz w:val="18"/>
              </w:rPr>
            </w:pPr>
            <w:r w:rsidRPr="00F154A1">
              <w:rPr>
                <w:rFonts w:cs="Arial"/>
                <w:sz w:val="18"/>
              </w:rPr>
              <w:t>New England Solar Farm</w:t>
            </w:r>
          </w:p>
          <w:p w14:paraId="0EE9044B" w14:textId="77777777" w:rsidR="00304241" w:rsidRPr="00F154A1" w:rsidRDefault="00304241" w:rsidP="00304241">
            <w:pPr>
              <w:spacing w:before="60" w:after="120"/>
              <w:rPr>
                <w:rFonts w:cs="Arial"/>
                <w:sz w:val="18"/>
              </w:rPr>
            </w:pPr>
            <w:r w:rsidRPr="00F154A1">
              <w:rPr>
                <w:rFonts w:cs="Arial"/>
                <w:sz w:val="18"/>
              </w:rPr>
              <w:t>Walcha Solar Farm</w:t>
            </w:r>
          </w:p>
          <w:p w14:paraId="1C566925" w14:textId="77777777" w:rsidR="00304241" w:rsidRPr="00F154A1" w:rsidRDefault="00304241" w:rsidP="00304241">
            <w:pPr>
              <w:spacing w:before="60" w:after="120"/>
              <w:rPr>
                <w:rFonts w:cs="Arial"/>
                <w:sz w:val="18"/>
              </w:rPr>
            </w:pPr>
            <w:r w:rsidRPr="00F154A1">
              <w:rPr>
                <w:rFonts w:cs="Arial"/>
                <w:sz w:val="18"/>
              </w:rPr>
              <w:t>Bomen Solar Farm</w:t>
            </w:r>
          </w:p>
        </w:tc>
        <w:tc>
          <w:tcPr>
            <w:tcW w:w="3544" w:type="dxa"/>
            <w:tcBorders>
              <w:left w:val="nil"/>
            </w:tcBorders>
          </w:tcPr>
          <w:p w14:paraId="3A0C7740" w14:textId="77777777" w:rsidR="00304241" w:rsidRPr="00F154A1" w:rsidRDefault="00304241" w:rsidP="00304241">
            <w:pPr>
              <w:spacing w:before="60" w:after="120"/>
              <w:rPr>
                <w:rFonts w:cs="Arial"/>
                <w:b/>
                <w:bCs/>
                <w:sz w:val="18"/>
              </w:rPr>
            </w:pPr>
          </w:p>
        </w:tc>
      </w:tr>
      <w:tr w:rsidR="00304241" w:rsidRPr="00F154A1" w14:paraId="3FFE776D" w14:textId="77777777" w:rsidTr="00304241">
        <w:tc>
          <w:tcPr>
            <w:tcW w:w="2972" w:type="dxa"/>
          </w:tcPr>
          <w:p w14:paraId="559F372D" w14:textId="77777777" w:rsidR="00304241" w:rsidRPr="00F154A1" w:rsidRDefault="00304241" w:rsidP="00304241">
            <w:pPr>
              <w:spacing w:before="60" w:after="120"/>
              <w:rPr>
                <w:rFonts w:cs="Arial"/>
                <w:b/>
                <w:bCs/>
                <w:sz w:val="18"/>
              </w:rPr>
            </w:pPr>
            <w:r w:rsidRPr="00F154A1">
              <w:rPr>
                <w:rFonts w:cs="Arial"/>
                <w:b/>
                <w:bCs/>
                <w:sz w:val="18"/>
              </w:rPr>
              <w:t>South Australia</w:t>
            </w:r>
          </w:p>
        </w:tc>
        <w:tc>
          <w:tcPr>
            <w:tcW w:w="2977" w:type="dxa"/>
            <w:tcBorders>
              <w:right w:val="nil"/>
            </w:tcBorders>
          </w:tcPr>
          <w:p w14:paraId="58149B81" w14:textId="77777777" w:rsidR="00304241" w:rsidRPr="00F154A1" w:rsidRDefault="00304241" w:rsidP="00304241">
            <w:pPr>
              <w:spacing w:before="60" w:after="120"/>
              <w:rPr>
                <w:rFonts w:cs="Arial"/>
                <w:sz w:val="18"/>
              </w:rPr>
            </w:pPr>
            <w:r w:rsidRPr="00F154A1">
              <w:rPr>
                <w:rFonts w:cs="Arial"/>
                <w:sz w:val="18"/>
              </w:rPr>
              <w:t>Hornsdale Power Reserve</w:t>
            </w:r>
          </w:p>
        </w:tc>
        <w:tc>
          <w:tcPr>
            <w:tcW w:w="3544" w:type="dxa"/>
            <w:tcBorders>
              <w:left w:val="nil"/>
            </w:tcBorders>
          </w:tcPr>
          <w:p w14:paraId="299E7BC2" w14:textId="77777777" w:rsidR="00304241" w:rsidRPr="00F154A1" w:rsidRDefault="00304241" w:rsidP="00304241">
            <w:pPr>
              <w:spacing w:before="60" w:after="120"/>
              <w:rPr>
                <w:rFonts w:cs="Arial"/>
                <w:b/>
                <w:bCs/>
                <w:sz w:val="18"/>
              </w:rPr>
            </w:pPr>
          </w:p>
        </w:tc>
      </w:tr>
    </w:tbl>
    <w:p w14:paraId="2038620C" w14:textId="4C5605A6" w:rsidR="00304241" w:rsidRPr="00F154A1" w:rsidRDefault="00304241" w:rsidP="00DE1B05">
      <w:pPr>
        <w:pStyle w:val="ListBullet"/>
        <w:numPr>
          <w:ilvl w:val="0"/>
          <w:numId w:val="0"/>
        </w:numPr>
        <w:spacing w:before="240" w:after="120"/>
        <w:ind w:left="369" w:hanging="369"/>
        <w:rPr>
          <w:rFonts w:cstheme="minorHAnsi"/>
        </w:rPr>
      </w:pPr>
      <w:r w:rsidRPr="00F154A1">
        <w:rPr>
          <w:rFonts w:cs="Arial"/>
          <w:b/>
          <w:bCs/>
        </w:rPr>
        <w:t>Table 3: List of major transmission projects visited</w:t>
      </w:r>
      <w:r w:rsidR="004F10B3">
        <w:rPr>
          <w:rFonts w:cs="Arial"/>
          <w:b/>
          <w:bCs/>
        </w:rPr>
        <w:t xml:space="preserve"> since 2021</w:t>
      </w:r>
    </w:p>
    <w:tbl>
      <w:tblPr>
        <w:tblStyle w:val="TableGrid1"/>
        <w:tblW w:w="9493" w:type="dxa"/>
        <w:tblInd w:w="5" w:type="dxa"/>
        <w:tblLayout w:type="fixed"/>
        <w:tblLook w:val="04A0" w:firstRow="1" w:lastRow="0" w:firstColumn="1" w:lastColumn="0" w:noHBand="0" w:noVBand="1"/>
      </w:tblPr>
      <w:tblGrid>
        <w:gridCol w:w="2972"/>
        <w:gridCol w:w="6232"/>
        <w:gridCol w:w="289"/>
      </w:tblGrid>
      <w:tr w:rsidR="00304241" w:rsidRPr="00F154A1" w14:paraId="40D80ACF" w14:textId="77777777" w:rsidTr="000406EE">
        <w:tc>
          <w:tcPr>
            <w:tcW w:w="2972" w:type="dxa"/>
          </w:tcPr>
          <w:p w14:paraId="2E162AD8" w14:textId="36B35EEA" w:rsidR="00304241" w:rsidRPr="00F154A1" w:rsidRDefault="00304241" w:rsidP="00304241">
            <w:pPr>
              <w:spacing w:before="60" w:after="120"/>
              <w:rPr>
                <w:rFonts w:cs="Arial"/>
                <w:b/>
                <w:bCs/>
                <w:sz w:val="18"/>
              </w:rPr>
            </w:pPr>
            <w:r w:rsidRPr="00F154A1">
              <w:rPr>
                <w:rFonts w:cs="Arial"/>
                <w:b/>
                <w:bCs/>
                <w:sz w:val="18"/>
              </w:rPr>
              <w:t>New South Wales</w:t>
            </w:r>
            <w:r w:rsidR="00647B51">
              <w:rPr>
                <w:rFonts w:cs="Arial"/>
                <w:b/>
                <w:bCs/>
                <w:sz w:val="18"/>
              </w:rPr>
              <w:t xml:space="preserve"> (multiple sites)</w:t>
            </w:r>
          </w:p>
        </w:tc>
        <w:tc>
          <w:tcPr>
            <w:tcW w:w="6232" w:type="dxa"/>
            <w:tcBorders>
              <w:right w:val="nil"/>
            </w:tcBorders>
          </w:tcPr>
          <w:p w14:paraId="23767B0F" w14:textId="1F885041" w:rsidR="00304241" w:rsidRPr="00F154A1" w:rsidRDefault="00304241" w:rsidP="00304241">
            <w:pPr>
              <w:spacing w:before="60" w:after="120"/>
              <w:rPr>
                <w:rFonts w:cs="Arial"/>
                <w:sz w:val="18"/>
              </w:rPr>
            </w:pPr>
            <w:r w:rsidRPr="00F154A1">
              <w:rPr>
                <w:rFonts w:cs="Arial"/>
                <w:sz w:val="18"/>
              </w:rPr>
              <w:t xml:space="preserve">HumeLink (various proposed </w:t>
            </w:r>
            <w:r w:rsidR="009F1EB0">
              <w:rPr>
                <w:rFonts w:cs="Arial"/>
                <w:sz w:val="18"/>
              </w:rPr>
              <w:t>locations</w:t>
            </w:r>
            <w:r w:rsidR="00801692">
              <w:rPr>
                <w:rFonts w:cs="Arial"/>
                <w:sz w:val="18"/>
              </w:rPr>
              <w:t xml:space="preserve"> and community groups along the </w:t>
            </w:r>
            <w:r w:rsidR="000406EE">
              <w:rPr>
                <w:rFonts w:cs="Arial"/>
                <w:sz w:val="18"/>
              </w:rPr>
              <w:t>corridor</w:t>
            </w:r>
            <w:r w:rsidRPr="00F154A1">
              <w:rPr>
                <w:rFonts w:cs="Arial"/>
                <w:sz w:val="18"/>
              </w:rPr>
              <w:t>)</w:t>
            </w:r>
          </w:p>
        </w:tc>
        <w:tc>
          <w:tcPr>
            <w:tcW w:w="289" w:type="dxa"/>
            <w:tcBorders>
              <w:left w:val="nil"/>
            </w:tcBorders>
          </w:tcPr>
          <w:p w14:paraId="135BB915" w14:textId="77777777" w:rsidR="00304241" w:rsidRPr="00F154A1" w:rsidRDefault="00304241" w:rsidP="00304241">
            <w:pPr>
              <w:spacing w:before="60" w:after="120"/>
              <w:rPr>
                <w:rFonts w:cs="Arial"/>
                <w:b/>
                <w:bCs/>
                <w:sz w:val="18"/>
              </w:rPr>
            </w:pPr>
          </w:p>
        </w:tc>
      </w:tr>
      <w:tr w:rsidR="00304241" w:rsidRPr="00F154A1" w14:paraId="388DD135" w14:textId="77777777" w:rsidTr="00304241">
        <w:tc>
          <w:tcPr>
            <w:tcW w:w="2972" w:type="dxa"/>
          </w:tcPr>
          <w:p w14:paraId="3B23792C" w14:textId="000970CB" w:rsidR="00304241" w:rsidRPr="00F154A1" w:rsidRDefault="00304241" w:rsidP="00304241">
            <w:pPr>
              <w:spacing w:before="60" w:after="120"/>
              <w:rPr>
                <w:rFonts w:cs="Arial"/>
                <w:b/>
                <w:bCs/>
                <w:sz w:val="18"/>
              </w:rPr>
            </w:pPr>
            <w:r w:rsidRPr="00F154A1">
              <w:rPr>
                <w:rFonts w:cs="Arial"/>
                <w:b/>
                <w:bCs/>
                <w:sz w:val="18"/>
              </w:rPr>
              <w:t>Victoria</w:t>
            </w:r>
            <w:r w:rsidR="00647B51">
              <w:rPr>
                <w:rFonts w:cs="Arial"/>
                <w:b/>
                <w:bCs/>
                <w:sz w:val="18"/>
              </w:rPr>
              <w:t xml:space="preserve"> (multiple sites)</w:t>
            </w:r>
          </w:p>
        </w:tc>
        <w:tc>
          <w:tcPr>
            <w:tcW w:w="6521" w:type="dxa"/>
            <w:gridSpan w:val="2"/>
          </w:tcPr>
          <w:p w14:paraId="5AEC5BE2" w14:textId="0500A232" w:rsidR="00304241" w:rsidRPr="00F154A1" w:rsidRDefault="00304241" w:rsidP="00304241">
            <w:pPr>
              <w:spacing w:before="60" w:after="120"/>
              <w:rPr>
                <w:rFonts w:cs="Arial"/>
                <w:b/>
                <w:bCs/>
                <w:sz w:val="18"/>
              </w:rPr>
            </w:pPr>
            <w:r w:rsidRPr="00F154A1">
              <w:rPr>
                <w:rFonts w:cs="Arial"/>
                <w:sz w:val="18"/>
              </w:rPr>
              <w:t xml:space="preserve">Western </w:t>
            </w:r>
            <w:r w:rsidR="00CD3D02">
              <w:rPr>
                <w:rFonts w:cs="Arial"/>
                <w:sz w:val="18"/>
              </w:rPr>
              <w:t xml:space="preserve">Renewables Link </w:t>
            </w:r>
            <w:r w:rsidRPr="00F154A1">
              <w:rPr>
                <w:rFonts w:cs="Arial"/>
                <w:sz w:val="18"/>
              </w:rPr>
              <w:t xml:space="preserve">(various proposed </w:t>
            </w:r>
            <w:r w:rsidR="009F1EB0">
              <w:rPr>
                <w:rFonts w:cs="Arial"/>
                <w:sz w:val="18"/>
              </w:rPr>
              <w:t xml:space="preserve">locations </w:t>
            </w:r>
            <w:r w:rsidR="0047729D">
              <w:rPr>
                <w:rFonts w:cs="Arial"/>
                <w:sz w:val="18"/>
              </w:rPr>
              <w:t xml:space="preserve">and community groups along the </w:t>
            </w:r>
            <w:r w:rsidR="00CD3D02">
              <w:rPr>
                <w:rFonts w:cs="Arial"/>
                <w:sz w:val="18"/>
              </w:rPr>
              <w:t xml:space="preserve">proposed </w:t>
            </w:r>
            <w:r w:rsidR="0047729D">
              <w:rPr>
                <w:rFonts w:cs="Arial"/>
                <w:sz w:val="18"/>
              </w:rPr>
              <w:t>corridor</w:t>
            </w:r>
            <w:r w:rsidRPr="00F154A1">
              <w:rPr>
                <w:rFonts w:cs="Arial"/>
                <w:sz w:val="18"/>
              </w:rPr>
              <w:t>)</w:t>
            </w:r>
          </w:p>
        </w:tc>
      </w:tr>
    </w:tbl>
    <w:p w14:paraId="339FAB82" w14:textId="77777777" w:rsidR="00DE1B05" w:rsidRDefault="00DE1B05" w:rsidP="00304241">
      <w:pPr>
        <w:pStyle w:val="ListBullet"/>
        <w:numPr>
          <w:ilvl w:val="0"/>
          <w:numId w:val="0"/>
        </w:numPr>
        <w:spacing w:line="264" w:lineRule="auto"/>
        <w:rPr>
          <w:rFonts w:cs="Arial"/>
          <w:lang w:eastAsia="en-AU"/>
        </w:rPr>
      </w:pPr>
    </w:p>
    <w:p w14:paraId="4B40B9B5" w14:textId="77777777" w:rsidR="00304241" w:rsidRPr="003329B0" w:rsidRDefault="00304241" w:rsidP="003329B0">
      <w:pPr>
        <w:pStyle w:val="Heading2"/>
        <w:rPr>
          <w:i/>
          <w:iCs/>
        </w:rPr>
      </w:pPr>
      <w:bookmarkStart w:id="83" w:name="_Toc135390594"/>
      <w:r w:rsidRPr="003329B0">
        <w:rPr>
          <w:i/>
          <w:iCs/>
        </w:rPr>
        <w:lastRenderedPageBreak/>
        <w:t>Government</w:t>
      </w:r>
      <w:bookmarkEnd w:id="83"/>
    </w:p>
    <w:p w14:paraId="5AAB1D4A" w14:textId="7506AB18" w:rsidR="00CD3D02" w:rsidRPr="0063692E" w:rsidRDefault="00FF33A7" w:rsidP="0063692E">
      <w:bookmarkStart w:id="84" w:name="_Toc131424253"/>
      <w:bookmarkStart w:id="85" w:name="_Toc131424438"/>
      <w:bookmarkStart w:id="86" w:name="_Toc131424978"/>
      <w:bookmarkStart w:id="87" w:name="_Toc131502709"/>
      <w:bookmarkStart w:id="88" w:name="_Toc131505148"/>
      <w:bookmarkStart w:id="89" w:name="_Toc131505312"/>
      <w:bookmarkStart w:id="90" w:name="_Toc132641442"/>
      <w:bookmarkStart w:id="91" w:name="_Toc131179319"/>
      <w:r w:rsidRPr="0063692E">
        <w:t>The Commissioner continues to engage regularly with federal, state and local governments and parliamentarians</w:t>
      </w:r>
      <w:r w:rsidR="00791721" w:rsidRPr="0063692E">
        <w:t>,</w:t>
      </w:r>
      <w:r w:rsidRPr="0063692E">
        <w:t xml:space="preserve"> provid</w:t>
      </w:r>
      <w:r w:rsidR="00C00D20" w:rsidRPr="0063692E">
        <w:t>ing</w:t>
      </w:r>
      <w:r w:rsidRPr="0063692E">
        <w:t xml:space="preserve"> briefings</w:t>
      </w:r>
      <w:r w:rsidR="00C00D20" w:rsidRPr="0063692E">
        <w:t xml:space="preserve"> on topics of interest</w:t>
      </w:r>
      <w:r w:rsidRPr="0063692E">
        <w:t xml:space="preserve"> </w:t>
      </w:r>
      <w:r w:rsidR="00D47C8D" w:rsidRPr="0063692E">
        <w:t>and</w:t>
      </w:r>
      <w:r w:rsidRPr="0063692E">
        <w:t xml:space="preserve"> </w:t>
      </w:r>
      <w:r w:rsidR="00687B0E" w:rsidRPr="0063692E">
        <w:t>convey</w:t>
      </w:r>
      <w:r w:rsidR="008326A2" w:rsidRPr="0063692E">
        <w:t>ing</w:t>
      </w:r>
      <w:r w:rsidR="00687B0E" w:rsidRPr="0063692E">
        <w:t xml:space="preserve"> </w:t>
      </w:r>
      <w:r w:rsidRPr="0063692E">
        <w:t>best practice reforms arising from the Commissioner’s observations and recommendations.</w:t>
      </w:r>
      <w:bookmarkEnd w:id="84"/>
      <w:bookmarkEnd w:id="85"/>
      <w:bookmarkEnd w:id="86"/>
      <w:bookmarkEnd w:id="87"/>
      <w:bookmarkEnd w:id="88"/>
      <w:bookmarkEnd w:id="89"/>
      <w:bookmarkEnd w:id="90"/>
      <w:r w:rsidRPr="0063692E">
        <w:t xml:space="preserve"> </w:t>
      </w:r>
      <w:r w:rsidR="00CD3D02" w:rsidRPr="0063692E">
        <w:t xml:space="preserve"> </w:t>
      </w:r>
    </w:p>
    <w:p w14:paraId="703A86DA" w14:textId="40C597C6" w:rsidR="007A7143" w:rsidRPr="0063692E" w:rsidRDefault="00CD3D02" w:rsidP="0063692E">
      <w:bookmarkStart w:id="92" w:name="_Toc131424254"/>
      <w:bookmarkStart w:id="93" w:name="_Toc131424439"/>
      <w:bookmarkStart w:id="94" w:name="_Toc131424979"/>
      <w:bookmarkStart w:id="95" w:name="_Toc131502710"/>
      <w:bookmarkStart w:id="96" w:name="_Toc131505149"/>
      <w:bookmarkStart w:id="97" w:name="_Toc131505313"/>
      <w:bookmarkStart w:id="98" w:name="_Toc132641443"/>
      <w:r w:rsidRPr="0063692E">
        <w:t>In addition, the Commissioner has worked with other arms of government to assist where lessons learned from our experience could be applied in other sectors</w:t>
      </w:r>
      <w:r w:rsidR="00C477CC" w:rsidRPr="0063692E">
        <w:t>. For</w:t>
      </w:r>
      <w:r w:rsidRPr="0063692E">
        <w:t xml:space="preserve"> example</w:t>
      </w:r>
      <w:r w:rsidR="001653C9" w:rsidRPr="0063692E">
        <w:t>, in 2022</w:t>
      </w:r>
      <w:r w:rsidRPr="0063692E">
        <w:t xml:space="preserve"> the Commissioner was invited to present to the Queensland</w:t>
      </w:r>
      <w:r w:rsidR="001653C9" w:rsidRPr="0063692E">
        <w:t xml:space="preserve"> government and industry leaders for the hydrogen energy sector on the topic of engagement best practices and how best to deal with the inevitable issues as they arise.</w:t>
      </w:r>
      <w:bookmarkEnd w:id="92"/>
      <w:bookmarkEnd w:id="93"/>
      <w:bookmarkEnd w:id="94"/>
      <w:bookmarkEnd w:id="95"/>
      <w:bookmarkEnd w:id="96"/>
      <w:bookmarkEnd w:id="97"/>
      <w:bookmarkEnd w:id="98"/>
    </w:p>
    <w:p w14:paraId="0BD753C2" w14:textId="775C5933" w:rsidR="007A7143" w:rsidRPr="0063692E" w:rsidRDefault="003A49E5" w:rsidP="0063692E">
      <w:bookmarkStart w:id="99" w:name="_Toc131424255"/>
      <w:bookmarkStart w:id="100" w:name="_Toc131424440"/>
      <w:bookmarkStart w:id="101" w:name="_Toc131424980"/>
      <w:bookmarkStart w:id="102" w:name="_Toc131502711"/>
      <w:bookmarkStart w:id="103" w:name="_Toc131505150"/>
      <w:bookmarkStart w:id="104" w:name="_Toc131505314"/>
      <w:bookmarkStart w:id="105" w:name="_Toc132641444"/>
      <w:r w:rsidRPr="0063692E">
        <w:t>It was recently announced that the Commissioner</w:t>
      </w:r>
      <w:r w:rsidR="00F27F00" w:rsidRPr="0063692E">
        <w:t xml:space="preserve"> would join the Commonwealth’s Rewiring the Nation</w:t>
      </w:r>
      <w:r w:rsidR="00DB79B6" w:rsidRPr="0063692E">
        <w:t xml:space="preserve"> </w:t>
      </w:r>
      <w:r w:rsidR="00D9761A" w:rsidRPr="0063692E">
        <w:t>Advisory Committee, along with</w:t>
      </w:r>
      <w:r w:rsidR="00162FA1" w:rsidRPr="0063692E">
        <w:t xml:space="preserve"> the </w:t>
      </w:r>
      <w:r w:rsidR="00EB096A" w:rsidRPr="0063692E">
        <w:t>Rewiring</w:t>
      </w:r>
      <w:r w:rsidR="003A087C" w:rsidRPr="0063692E">
        <w:t xml:space="preserve"> the Nation Office</w:t>
      </w:r>
      <w:r w:rsidR="00162FA1" w:rsidRPr="0063692E">
        <w:t>, CEFC and AEMO senior executives</w:t>
      </w:r>
      <w:r w:rsidR="005C6D9E" w:rsidRPr="0063692E">
        <w:t xml:space="preserve">. </w:t>
      </w:r>
      <w:r w:rsidR="009139F5" w:rsidRPr="0063692E">
        <w:t xml:space="preserve">The Commissioner expects to </w:t>
      </w:r>
      <w:r w:rsidR="00D71662" w:rsidRPr="0063692E">
        <w:t xml:space="preserve">materially </w:t>
      </w:r>
      <w:r w:rsidR="009139F5" w:rsidRPr="0063692E">
        <w:t>contribute</w:t>
      </w:r>
      <w:r w:rsidR="00D71662" w:rsidRPr="0063692E">
        <w:t xml:space="preserve"> to the Committee</w:t>
      </w:r>
      <w:r w:rsidR="00507D88" w:rsidRPr="0063692E">
        <w:t>, particularly from</w:t>
      </w:r>
      <w:r w:rsidR="00AE6B76" w:rsidRPr="0063692E">
        <w:t xml:space="preserve"> deep insights regarding</w:t>
      </w:r>
      <w:r w:rsidR="005F1B46" w:rsidRPr="0063692E">
        <w:t xml:space="preserve"> community</w:t>
      </w:r>
      <w:r w:rsidR="00320549" w:rsidRPr="0063692E">
        <w:t xml:space="preserve">/landholder perspectives, project </w:t>
      </w:r>
      <w:r w:rsidR="002E25FC" w:rsidRPr="0063692E">
        <w:t>deployment, project risks arising from social license</w:t>
      </w:r>
      <w:r w:rsidR="00AA224A" w:rsidRPr="0063692E">
        <w:t xml:space="preserve"> matters along with other decis</w:t>
      </w:r>
      <w:r w:rsidR="00C322C0" w:rsidRPr="0063692E">
        <w:t>ions facing the project</w:t>
      </w:r>
      <w:r w:rsidR="00BC1725" w:rsidRPr="0063692E">
        <w:t>, such as route finalisation.</w:t>
      </w:r>
      <w:bookmarkEnd w:id="99"/>
      <w:bookmarkEnd w:id="100"/>
      <w:bookmarkEnd w:id="101"/>
      <w:bookmarkEnd w:id="102"/>
      <w:bookmarkEnd w:id="103"/>
      <w:bookmarkEnd w:id="104"/>
      <w:bookmarkEnd w:id="105"/>
      <w:r w:rsidR="009139F5" w:rsidRPr="0063692E">
        <w:t xml:space="preserve"> </w:t>
      </w:r>
    </w:p>
    <w:p w14:paraId="60A22070" w14:textId="7AD38E2D" w:rsidR="00FF33A7" w:rsidRPr="0063692E" w:rsidRDefault="00FF33A7" w:rsidP="0063692E">
      <w:bookmarkStart w:id="106" w:name="_Toc131179320"/>
      <w:bookmarkStart w:id="107" w:name="_Toc131424256"/>
      <w:bookmarkStart w:id="108" w:name="_Toc131424441"/>
      <w:bookmarkStart w:id="109" w:name="_Toc131424981"/>
      <w:bookmarkStart w:id="110" w:name="_Toc131502712"/>
      <w:bookmarkStart w:id="111" w:name="_Toc131505151"/>
      <w:bookmarkStart w:id="112" w:name="_Toc131505315"/>
      <w:bookmarkStart w:id="113" w:name="_Toc132641445"/>
      <w:bookmarkEnd w:id="91"/>
      <w:r w:rsidRPr="0063692E">
        <w:t>T</w:t>
      </w:r>
      <w:r w:rsidR="000B4EA7" w:rsidRPr="0063692E">
        <w:t>hroughout the year, t</w:t>
      </w:r>
      <w:r w:rsidRPr="0063692E">
        <w:t xml:space="preserve">he Commissioner </w:t>
      </w:r>
      <w:r w:rsidR="000B4EA7" w:rsidRPr="0063692E">
        <w:t xml:space="preserve">had </w:t>
      </w:r>
      <w:r w:rsidRPr="0063692E">
        <w:t>ongoing engagement with a range of planning and regulatory agencies and market operators, including the Australian Energy Regulator, Australian Energy Market Commission, Australian Energy Market Operator, Clean Energy Finance Corporation</w:t>
      </w:r>
      <w:r w:rsidR="004B36EC" w:rsidRPr="0063692E">
        <w:t>, Clean Energy Regulator</w:t>
      </w:r>
      <w:r w:rsidRPr="0063692E">
        <w:t xml:space="preserve"> and state energy planners such as </w:t>
      </w:r>
      <w:r w:rsidR="00BF4598" w:rsidRPr="0063692E">
        <w:t xml:space="preserve">AVP, </w:t>
      </w:r>
      <w:r w:rsidRPr="0063692E">
        <w:t>VicGrid and Energy Company of NSW.</w:t>
      </w:r>
      <w:bookmarkEnd w:id="106"/>
      <w:bookmarkEnd w:id="107"/>
      <w:bookmarkEnd w:id="108"/>
      <w:bookmarkEnd w:id="109"/>
      <w:bookmarkEnd w:id="110"/>
      <w:bookmarkEnd w:id="111"/>
      <w:bookmarkEnd w:id="112"/>
      <w:bookmarkEnd w:id="113"/>
      <w:r w:rsidRPr="0063692E">
        <w:t xml:space="preserve"> </w:t>
      </w:r>
    </w:p>
    <w:p w14:paraId="1F07756C" w14:textId="6E2CDFAB" w:rsidR="00FF33A7" w:rsidRPr="0063692E" w:rsidRDefault="00FF33A7" w:rsidP="0063692E">
      <w:bookmarkStart w:id="114" w:name="_Toc131179321"/>
      <w:bookmarkStart w:id="115" w:name="_Toc131424257"/>
      <w:bookmarkStart w:id="116" w:name="_Toc131424442"/>
      <w:bookmarkStart w:id="117" w:name="_Toc131424982"/>
      <w:bookmarkStart w:id="118" w:name="_Toc131502713"/>
      <w:bookmarkStart w:id="119" w:name="_Toc131505152"/>
      <w:bookmarkStart w:id="120" w:name="_Toc131505316"/>
      <w:bookmarkStart w:id="121" w:name="_Toc132641446"/>
      <w:r w:rsidRPr="0063692E">
        <w:t xml:space="preserve">The Commissioner continues </w:t>
      </w:r>
      <w:r w:rsidR="0070207D" w:rsidRPr="0063692E">
        <w:t xml:space="preserve">to </w:t>
      </w:r>
      <w:r w:rsidR="001653C9" w:rsidRPr="0063692E">
        <w:t xml:space="preserve">be </w:t>
      </w:r>
      <w:r w:rsidR="0070207D" w:rsidRPr="0063692E">
        <w:t>consult</w:t>
      </w:r>
      <w:r w:rsidR="001653C9" w:rsidRPr="0063692E">
        <w:t>ed by</w:t>
      </w:r>
      <w:r w:rsidRPr="0063692E">
        <w:t xml:space="preserve"> government agencies on new initiatives</w:t>
      </w:r>
      <w:r w:rsidR="0070207D" w:rsidRPr="0063692E">
        <w:t>,</w:t>
      </w:r>
      <w:r w:rsidRPr="0063692E">
        <w:t xml:space="preserve"> includ</w:t>
      </w:r>
      <w:r w:rsidR="0070207D" w:rsidRPr="0063692E">
        <w:t>ing</w:t>
      </w:r>
      <w:r w:rsidRPr="0063692E">
        <w:t xml:space="preserve"> the development of strategic benefit payments for transmission line hosts</w:t>
      </w:r>
      <w:r w:rsidR="00D47C8D" w:rsidRPr="0063692E">
        <w:t xml:space="preserve"> and</w:t>
      </w:r>
      <w:r w:rsidRPr="0063692E">
        <w:t xml:space="preserve"> the Federal Government’s offshore electricity infrastructure framework.</w:t>
      </w:r>
      <w:bookmarkEnd w:id="114"/>
      <w:bookmarkEnd w:id="115"/>
      <w:bookmarkEnd w:id="116"/>
      <w:bookmarkEnd w:id="117"/>
      <w:bookmarkEnd w:id="118"/>
      <w:bookmarkEnd w:id="119"/>
      <w:bookmarkEnd w:id="120"/>
      <w:bookmarkEnd w:id="121"/>
    </w:p>
    <w:p w14:paraId="1BEB6037" w14:textId="168C4A34" w:rsidR="00304241" w:rsidRPr="003329B0" w:rsidRDefault="00304241" w:rsidP="003329B0">
      <w:pPr>
        <w:pStyle w:val="Heading2"/>
        <w:rPr>
          <w:i/>
          <w:iCs/>
        </w:rPr>
      </w:pPr>
      <w:bookmarkStart w:id="122" w:name="_Toc135390595"/>
      <w:r w:rsidRPr="003329B0">
        <w:rPr>
          <w:i/>
          <w:iCs/>
        </w:rPr>
        <w:t>Submissions and consultations</w:t>
      </w:r>
      <w:bookmarkEnd w:id="122"/>
    </w:p>
    <w:p w14:paraId="03D39C4E" w14:textId="575161B6" w:rsidR="00FF33A7" w:rsidRDefault="00A622F5" w:rsidP="00FF33A7">
      <w:pPr>
        <w:spacing w:line="264" w:lineRule="auto"/>
        <w:rPr>
          <w:rFonts w:cs="Arial"/>
        </w:rPr>
      </w:pPr>
      <w:r>
        <w:rPr>
          <w:rFonts w:cs="Arial"/>
        </w:rPr>
        <w:t>During 2022, the</w:t>
      </w:r>
      <w:r w:rsidRPr="003C06CA">
        <w:rPr>
          <w:rFonts w:cs="Arial"/>
        </w:rPr>
        <w:t xml:space="preserve"> </w:t>
      </w:r>
      <w:r w:rsidR="00FF33A7" w:rsidRPr="003C06CA">
        <w:rPr>
          <w:rFonts w:cs="Arial"/>
        </w:rPr>
        <w:t xml:space="preserve">Office </w:t>
      </w:r>
      <w:r w:rsidR="00FF33A7">
        <w:rPr>
          <w:rFonts w:cs="Arial"/>
        </w:rPr>
        <w:t>made</w:t>
      </w:r>
      <w:r w:rsidR="00FF33A7" w:rsidRPr="003C06CA">
        <w:rPr>
          <w:rFonts w:cs="Arial"/>
        </w:rPr>
        <w:t xml:space="preserve"> </w:t>
      </w:r>
      <w:r w:rsidR="00146601">
        <w:rPr>
          <w:rFonts w:cs="Arial"/>
        </w:rPr>
        <w:t xml:space="preserve">various </w:t>
      </w:r>
      <w:r w:rsidR="00FF33A7" w:rsidRPr="003C06CA">
        <w:rPr>
          <w:rFonts w:cs="Arial"/>
        </w:rPr>
        <w:t>submissions</w:t>
      </w:r>
      <w:r w:rsidR="00FD1E0D">
        <w:rPr>
          <w:rFonts w:cs="Arial"/>
        </w:rPr>
        <w:t xml:space="preserve"> to government lead programs</w:t>
      </w:r>
      <w:r w:rsidR="00FF33A7" w:rsidRPr="003C06CA">
        <w:rPr>
          <w:rFonts w:cs="Arial"/>
        </w:rPr>
        <w:t xml:space="preserve"> </w:t>
      </w:r>
      <w:r w:rsidR="00FF33A7">
        <w:rPr>
          <w:rFonts w:cs="Arial"/>
        </w:rPr>
        <w:t xml:space="preserve">and </w:t>
      </w:r>
      <w:r>
        <w:rPr>
          <w:rFonts w:cs="Arial"/>
        </w:rPr>
        <w:t>was consulted</w:t>
      </w:r>
      <w:r w:rsidR="00FF33A7">
        <w:rPr>
          <w:rFonts w:cs="Arial"/>
        </w:rPr>
        <w:t xml:space="preserve"> </w:t>
      </w:r>
      <w:r w:rsidR="00FF33A7" w:rsidRPr="003C06CA">
        <w:rPr>
          <w:rFonts w:cs="Arial"/>
        </w:rPr>
        <w:t>on a range of</w:t>
      </w:r>
      <w:r w:rsidR="00FF33A7">
        <w:rPr>
          <w:rFonts w:cs="Arial"/>
        </w:rPr>
        <w:t xml:space="preserve"> statements, reviews, guidelines and other draft policy documents</w:t>
      </w:r>
      <w:r w:rsidR="00D179D0">
        <w:rPr>
          <w:rFonts w:cs="Arial"/>
        </w:rPr>
        <w:t xml:space="preserve"> </w:t>
      </w:r>
      <w:r w:rsidR="00FF33A7" w:rsidRPr="003C06CA">
        <w:rPr>
          <w:rFonts w:cs="Arial"/>
        </w:rPr>
        <w:t>includ</w:t>
      </w:r>
      <w:r w:rsidR="00D179D0">
        <w:rPr>
          <w:rFonts w:cs="Arial"/>
        </w:rPr>
        <w:t>ing</w:t>
      </w:r>
      <w:r w:rsidR="00FF33A7" w:rsidRPr="003C06CA">
        <w:rPr>
          <w:rFonts w:cs="Arial"/>
        </w:rPr>
        <w:t>:</w:t>
      </w:r>
    </w:p>
    <w:p w14:paraId="682010C9" w14:textId="37DFCBC5" w:rsidR="00FF33A7" w:rsidRPr="002C5164" w:rsidRDefault="00FF33A7" w:rsidP="00FF33A7">
      <w:pPr>
        <w:pStyle w:val="ListBullet"/>
        <w:rPr>
          <w:rFonts w:cs="Arial"/>
          <w:lang w:eastAsia="en-AU"/>
        </w:rPr>
      </w:pPr>
      <w:r w:rsidRPr="001909A7">
        <w:rPr>
          <w:rFonts w:cs="Arial"/>
          <w:lang w:eastAsia="en-AU"/>
        </w:rPr>
        <w:t>Australian Energy Market Commission</w:t>
      </w:r>
      <w:r w:rsidR="00D179D0">
        <w:rPr>
          <w:rFonts w:cs="Arial"/>
          <w:lang w:eastAsia="en-AU"/>
        </w:rPr>
        <w:t>,</w:t>
      </w:r>
      <w:r w:rsidRPr="001909A7">
        <w:rPr>
          <w:rFonts w:cs="Arial"/>
          <w:lang w:eastAsia="en-AU"/>
        </w:rPr>
        <w:t xml:space="preserve"> </w:t>
      </w:r>
      <w:r w:rsidRPr="001909A7">
        <w:rPr>
          <w:rFonts w:cs="Arial"/>
          <w:i/>
          <w:lang w:eastAsia="en-AU"/>
        </w:rPr>
        <w:t>Planning and Investment Review for Large-scale Transmission Infrastructure</w:t>
      </w:r>
      <w:r>
        <w:rPr>
          <w:rFonts w:cs="Arial"/>
          <w:i/>
          <w:lang w:eastAsia="en-AU"/>
        </w:rPr>
        <w:t xml:space="preserve"> – Stage 2</w:t>
      </w:r>
    </w:p>
    <w:p w14:paraId="3130CE8E" w14:textId="4220A1EC" w:rsidR="00FF33A7" w:rsidRPr="00CE4854" w:rsidRDefault="00FF33A7" w:rsidP="00FF33A7">
      <w:pPr>
        <w:pStyle w:val="ListBullet"/>
        <w:rPr>
          <w:rFonts w:cs="Arial"/>
          <w:bCs/>
          <w:lang w:eastAsia="en-AU"/>
        </w:rPr>
      </w:pPr>
      <w:r w:rsidRPr="002C5164">
        <w:rPr>
          <w:bCs/>
          <w:lang w:val="en-US"/>
        </w:rPr>
        <w:t>Australian Energy Market Operator</w:t>
      </w:r>
      <w:r w:rsidR="00D179D0">
        <w:rPr>
          <w:bCs/>
          <w:lang w:val="en-US"/>
        </w:rPr>
        <w:t>,</w:t>
      </w:r>
      <w:r w:rsidRPr="002C5164">
        <w:rPr>
          <w:bCs/>
          <w:lang w:val="en-US"/>
        </w:rPr>
        <w:t xml:space="preserve"> </w:t>
      </w:r>
      <w:r w:rsidRPr="002C5164">
        <w:rPr>
          <w:rFonts w:cs="Arial"/>
          <w:bCs/>
          <w:i/>
        </w:rPr>
        <w:t>Draft 2022 Integrated System Plan</w:t>
      </w:r>
    </w:p>
    <w:p w14:paraId="428EC623" w14:textId="6097ACB9" w:rsidR="00CE4854" w:rsidRPr="002C5164" w:rsidRDefault="00CE4854" w:rsidP="00FF33A7">
      <w:pPr>
        <w:pStyle w:val="ListBullet"/>
        <w:rPr>
          <w:rFonts w:cs="Arial"/>
          <w:bCs/>
          <w:lang w:eastAsia="en-AU"/>
        </w:rPr>
      </w:pPr>
      <w:r>
        <w:rPr>
          <w:rFonts w:cs="Arial"/>
          <w:bCs/>
          <w:iCs/>
        </w:rPr>
        <w:t>Essential Service Commission (VIC</w:t>
      </w:r>
      <w:r w:rsidR="008801C7">
        <w:rPr>
          <w:rFonts w:cs="Arial"/>
          <w:bCs/>
          <w:iCs/>
        </w:rPr>
        <w:t xml:space="preserve">) </w:t>
      </w:r>
      <w:r w:rsidR="00F467CA">
        <w:rPr>
          <w:rFonts w:cs="Arial"/>
          <w:bCs/>
          <w:iCs/>
        </w:rPr>
        <w:t>–</w:t>
      </w:r>
      <w:r w:rsidR="008801C7">
        <w:rPr>
          <w:rFonts w:cs="Arial"/>
          <w:bCs/>
          <w:iCs/>
        </w:rPr>
        <w:t xml:space="preserve"> Consultation</w:t>
      </w:r>
      <w:r w:rsidR="00F467CA">
        <w:rPr>
          <w:rFonts w:cs="Arial"/>
          <w:bCs/>
          <w:iCs/>
        </w:rPr>
        <w:t xml:space="preserve"> on a Statement of Expectations and, subsequently</w:t>
      </w:r>
      <w:r w:rsidR="004C1F4E">
        <w:rPr>
          <w:rFonts w:cs="Arial"/>
          <w:bCs/>
          <w:iCs/>
        </w:rPr>
        <w:t xml:space="preserve"> a Code of Access </w:t>
      </w:r>
      <w:r w:rsidR="00A247C9">
        <w:rPr>
          <w:rFonts w:cs="Arial"/>
          <w:bCs/>
          <w:iCs/>
        </w:rPr>
        <w:t xml:space="preserve">document </w:t>
      </w:r>
      <w:r w:rsidR="004C1F4E">
        <w:rPr>
          <w:rFonts w:cs="Arial"/>
          <w:bCs/>
          <w:iCs/>
        </w:rPr>
        <w:t>to support legislative power</w:t>
      </w:r>
      <w:r w:rsidR="00710E82">
        <w:rPr>
          <w:rFonts w:cs="Arial"/>
          <w:bCs/>
          <w:iCs/>
        </w:rPr>
        <w:t>s</w:t>
      </w:r>
      <w:r w:rsidR="004C1F4E">
        <w:rPr>
          <w:rFonts w:cs="Arial"/>
          <w:bCs/>
          <w:iCs/>
        </w:rPr>
        <w:t xml:space="preserve"> t</w:t>
      </w:r>
      <w:r w:rsidR="00394E2B">
        <w:rPr>
          <w:rFonts w:cs="Arial"/>
          <w:bCs/>
          <w:iCs/>
        </w:rPr>
        <w:t xml:space="preserve">hat can </w:t>
      </w:r>
      <w:r w:rsidR="00710E82">
        <w:rPr>
          <w:rFonts w:cs="Arial"/>
          <w:bCs/>
          <w:iCs/>
        </w:rPr>
        <w:t xml:space="preserve">allow licensed </w:t>
      </w:r>
      <w:r w:rsidR="00E0455E">
        <w:rPr>
          <w:rFonts w:cs="Arial"/>
          <w:bCs/>
          <w:iCs/>
        </w:rPr>
        <w:t>transmission companies</w:t>
      </w:r>
      <w:r w:rsidR="00D57328">
        <w:rPr>
          <w:rFonts w:cs="Arial"/>
          <w:bCs/>
          <w:iCs/>
        </w:rPr>
        <w:t xml:space="preserve"> to </w:t>
      </w:r>
      <w:r w:rsidR="0045322A">
        <w:rPr>
          <w:rFonts w:cs="Arial"/>
          <w:bCs/>
          <w:iCs/>
        </w:rPr>
        <w:t>access a lan</w:t>
      </w:r>
      <w:r w:rsidR="00A247C9">
        <w:rPr>
          <w:rFonts w:cs="Arial"/>
          <w:bCs/>
          <w:iCs/>
        </w:rPr>
        <w:t>dholder’s property for certain purposes.</w:t>
      </w:r>
      <w:r w:rsidR="00E0455E">
        <w:rPr>
          <w:rFonts w:cs="Arial"/>
          <w:bCs/>
          <w:iCs/>
        </w:rPr>
        <w:t xml:space="preserve"> </w:t>
      </w:r>
      <w:r w:rsidR="004C1F4E">
        <w:rPr>
          <w:rFonts w:cs="Arial"/>
          <w:bCs/>
          <w:iCs/>
        </w:rPr>
        <w:t xml:space="preserve"> </w:t>
      </w:r>
      <w:r w:rsidR="00F467CA">
        <w:rPr>
          <w:rFonts w:cs="Arial"/>
          <w:bCs/>
          <w:iCs/>
        </w:rPr>
        <w:t xml:space="preserve"> </w:t>
      </w:r>
    </w:p>
    <w:p w14:paraId="3870E7C4" w14:textId="77777777" w:rsidR="00FF33A7" w:rsidRPr="002C5164" w:rsidRDefault="00FF33A7" w:rsidP="00FF33A7">
      <w:pPr>
        <w:pStyle w:val="ListBullet"/>
        <w:rPr>
          <w:rFonts w:cs="Arial"/>
          <w:bCs/>
          <w:lang w:eastAsia="en-AU"/>
        </w:rPr>
      </w:pPr>
      <w:r w:rsidRPr="00430EC9">
        <w:rPr>
          <w:bCs/>
        </w:rPr>
        <w:t xml:space="preserve">Notice of Proposal to Declare an Area – </w:t>
      </w:r>
      <w:r w:rsidRPr="00FD1E0D">
        <w:rPr>
          <w:bCs/>
          <w:i/>
          <w:iCs/>
        </w:rPr>
        <w:t>Bass Strait off Gippsland, Victoria</w:t>
      </w:r>
    </w:p>
    <w:p w14:paraId="5E781D4C" w14:textId="77777777" w:rsidR="00FF33A7" w:rsidRDefault="00FF33A7" w:rsidP="00FF33A7">
      <w:pPr>
        <w:pStyle w:val="ListBullet"/>
        <w:rPr>
          <w:rFonts w:cs="Arial"/>
          <w:lang w:eastAsia="en-AU"/>
        </w:rPr>
      </w:pPr>
      <w:r>
        <w:rPr>
          <w:rFonts w:cs="Arial"/>
          <w:lang w:eastAsia="en-AU"/>
        </w:rPr>
        <w:t xml:space="preserve">Energy Safe Victoria/Country Fire Authority – </w:t>
      </w:r>
      <w:r w:rsidRPr="00430EC9">
        <w:rPr>
          <w:rFonts w:cs="Arial"/>
          <w:i/>
          <w:iCs/>
          <w:lang w:eastAsia="en-AU"/>
        </w:rPr>
        <w:t>Electricity Transmission Network Lifecycle Bushfire Mitigation and Fire Safety</w:t>
      </w:r>
    </w:p>
    <w:p w14:paraId="4108D74F" w14:textId="49718568" w:rsidR="00FF33A7" w:rsidRPr="002C5164" w:rsidRDefault="00FF33A7" w:rsidP="00FF33A7">
      <w:pPr>
        <w:pStyle w:val="ListBullet"/>
        <w:rPr>
          <w:rFonts w:cs="Arial"/>
          <w:lang w:eastAsia="en-AU"/>
        </w:rPr>
      </w:pPr>
      <w:r w:rsidRPr="002C5164">
        <w:rPr>
          <w:rFonts w:cs="Arial"/>
          <w:lang w:eastAsia="en-AU"/>
        </w:rPr>
        <w:t>Tasmanian Government</w:t>
      </w:r>
      <w:r w:rsidR="00D179D0">
        <w:rPr>
          <w:rFonts w:cs="Arial"/>
          <w:lang w:eastAsia="en-AU"/>
        </w:rPr>
        <w:t>,</w:t>
      </w:r>
      <w:r w:rsidRPr="002C5164">
        <w:rPr>
          <w:rFonts w:cs="Arial"/>
          <w:lang w:eastAsia="en-AU"/>
        </w:rPr>
        <w:t xml:space="preserve"> </w:t>
      </w:r>
      <w:r w:rsidRPr="002C5164">
        <w:rPr>
          <w:rFonts w:cs="Arial"/>
          <w:bCs/>
          <w:i/>
          <w:iCs/>
        </w:rPr>
        <w:t>Draft Guidelines for Community Engagement, Benefit Sharing and Local Procurement</w:t>
      </w:r>
    </w:p>
    <w:p w14:paraId="0B38BE5B" w14:textId="6DC4E397" w:rsidR="00FF33A7" w:rsidRPr="002C5164" w:rsidRDefault="00FF33A7" w:rsidP="00FF33A7">
      <w:pPr>
        <w:pStyle w:val="ListBullet"/>
        <w:rPr>
          <w:rFonts w:cs="Arial"/>
          <w:bCs/>
          <w:lang w:eastAsia="en-AU"/>
        </w:rPr>
      </w:pPr>
      <w:r w:rsidRPr="002C5164">
        <w:rPr>
          <w:rFonts w:cs="Arial"/>
          <w:bCs/>
          <w:lang w:val="en-US"/>
        </w:rPr>
        <w:t>NSW Government</w:t>
      </w:r>
      <w:r w:rsidR="00D179D0">
        <w:rPr>
          <w:rFonts w:cs="Arial"/>
          <w:bCs/>
          <w:lang w:val="en-US"/>
        </w:rPr>
        <w:t>,</w:t>
      </w:r>
      <w:r w:rsidRPr="002C5164">
        <w:rPr>
          <w:rFonts w:cs="Arial"/>
          <w:bCs/>
          <w:lang w:val="en-US"/>
        </w:rPr>
        <w:t xml:space="preserve"> </w:t>
      </w:r>
      <w:r w:rsidRPr="002C5164">
        <w:rPr>
          <w:bCs/>
          <w:i/>
        </w:rPr>
        <w:t>Draft Large-Scale Solar Energy Guideline</w:t>
      </w:r>
    </w:p>
    <w:p w14:paraId="1AEB5592" w14:textId="77777777" w:rsidR="00FF33A7" w:rsidRPr="00430EC9" w:rsidRDefault="00FF33A7" w:rsidP="00FF33A7">
      <w:pPr>
        <w:pStyle w:val="ListBullet"/>
        <w:rPr>
          <w:rFonts w:cs="Arial"/>
          <w:lang w:eastAsia="en-AU"/>
        </w:rPr>
      </w:pPr>
      <w:r w:rsidRPr="00430EC9">
        <w:rPr>
          <w:rFonts w:cs="Arial"/>
          <w:lang w:eastAsia="en-AU"/>
        </w:rPr>
        <w:t>Victorian Transmission Investment Framework – Preliminary Design</w:t>
      </w:r>
    </w:p>
    <w:p w14:paraId="513E7178" w14:textId="77707D07" w:rsidR="00FF33A7" w:rsidRPr="00430EC9" w:rsidRDefault="00FF33A7" w:rsidP="00FF33A7">
      <w:pPr>
        <w:pStyle w:val="ListBullet"/>
        <w:rPr>
          <w:rFonts w:cs="Arial"/>
          <w:lang w:eastAsia="en-AU"/>
        </w:rPr>
      </w:pPr>
      <w:r w:rsidRPr="00430EC9">
        <w:rPr>
          <w:rFonts w:cs="Arial"/>
          <w:lang w:eastAsia="en-AU"/>
        </w:rPr>
        <w:t>Moorabool Shire Council – setback distance recommendations for transmission projects</w:t>
      </w:r>
    </w:p>
    <w:p w14:paraId="41A5A8D0" w14:textId="77777777" w:rsidR="00304241" w:rsidRPr="003329B0" w:rsidRDefault="00304241" w:rsidP="003329B0">
      <w:pPr>
        <w:pStyle w:val="Heading2"/>
        <w:rPr>
          <w:i/>
          <w:iCs/>
        </w:rPr>
      </w:pPr>
      <w:bookmarkStart w:id="123" w:name="_Toc135390596"/>
      <w:r w:rsidRPr="003329B0">
        <w:rPr>
          <w:i/>
          <w:iCs/>
        </w:rPr>
        <w:lastRenderedPageBreak/>
        <w:t>Presentations</w:t>
      </w:r>
      <w:bookmarkEnd w:id="123"/>
    </w:p>
    <w:p w14:paraId="34D943BB" w14:textId="303D4956" w:rsidR="00FF33A7" w:rsidRDefault="00FF33A7" w:rsidP="00FF33A7">
      <w:pPr>
        <w:rPr>
          <w:rFonts w:cs="Arial"/>
        </w:rPr>
      </w:pPr>
      <w:r>
        <w:rPr>
          <w:rFonts w:cs="Arial"/>
        </w:rPr>
        <w:t>Throughout 2022, t</w:t>
      </w:r>
      <w:r w:rsidRPr="00134C44">
        <w:rPr>
          <w:rFonts w:cs="Arial"/>
        </w:rPr>
        <w:t>he Commissioner presented to a variety of</w:t>
      </w:r>
      <w:r>
        <w:rPr>
          <w:rFonts w:cs="Arial"/>
        </w:rPr>
        <w:t xml:space="preserve"> stakeholder groups and forums. These presentations focus</w:t>
      </w:r>
      <w:r w:rsidR="0038770F">
        <w:rPr>
          <w:rFonts w:cs="Arial"/>
        </w:rPr>
        <w:t>ed</w:t>
      </w:r>
      <w:r>
        <w:rPr>
          <w:rFonts w:cs="Arial"/>
        </w:rPr>
        <w:t xml:space="preserve"> on community engagement, social licence and best practices</w:t>
      </w:r>
      <w:r w:rsidR="0038770F">
        <w:rPr>
          <w:rFonts w:cs="Arial"/>
        </w:rPr>
        <w:t xml:space="preserve">. They provided opportunities for the Commissioner to share </w:t>
      </w:r>
      <w:r>
        <w:rPr>
          <w:rFonts w:cs="Arial"/>
        </w:rPr>
        <w:t>experiences and observations within the renewable energy and transmission industries</w:t>
      </w:r>
      <w:r w:rsidR="0038770F">
        <w:rPr>
          <w:rFonts w:cs="Arial"/>
        </w:rPr>
        <w:t xml:space="preserve"> and to</w:t>
      </w:r>
      <w:r>
        <w:rPr>
          <w:rFonts w:cs="Arial"/>
        </w:rPr>
        <w:t xml:space="preserve"> promote advocac</w:t>
      </w:r>
      <w:r w:rsidR="0038770F">
        <w:rPr>
          <w:rFonts w:cs="Arial"/>
        </w:rPr>
        <w:t>y</w:t>
      </w:r>
      <w:r>
        <w:rPr>
          <w:rFonts w:cs="Arial"/>
        </w:rPr>
        <w:t xml:space="preserve"> and reform across the sector.</w:t>
      </w:r>
    </w:p>
    <w:p w14:paraId="0E083C78" w14:textId="77777777" w:rsidR="00FF33A7" w:rsidRPr="00082F5D" w:rsidRDefault="00FF33A7" w:rsidP="00FF33A7">
      <w:pPr>
        <w:rPr>
          <w:rFonts w:cs="Arial"/>
        </w:rPr>
      </w:pPr>
      <w:r>
        <w:rPr>
          <w:rFonts w:cs="Arial"/>
        </w:rPr>
        <w:t>Events and meetings that the Commissioner presented or chaired in 2022 include:</w:t>
      </w:r>
    </w:p>
    <w:p w14:paraId="6D0491C5" w14:textId="3A3343BB" w:rsidR="00FF33A7" w:rsidRDefault="00FF33A7" w:rsidP="00FF33A7">
      <w:pPr>
        <w:pStyle w:val="ListBullet"/>
      </w:pPr>
      <w:r>
        <w:t>Energy Minister’s Meeting</w:t>
      </w:r>
      <w:r w:rsidR="00216032">
        <w:t xml:space="preserve">, </w:t>
      </w:r>
      <w:r>
        <w:t>Melbourne</w:t>
      </w:r>
    </w:p>
    <w:p w14:paraId="63592C06" w14:textId="77777777" w:rsidR="00FF33A7" w:rsidRPr="0082617A" w:rsidRDefault="00FF33A7" w:rsidP="00FF33A7">
      <w:pPr>
        <w:pStyle w:val="ListBullet"/>
      </w:pPr>
      <w:r w:rsidRPr="0082617A">
        <w:t>Clean Energy Council Wind and UPV Directorate meetings</w:t>
      </w:r>
    </w:p>
    <w:p w14:paraId="6EFACCF3" w14:textId="77777777" w:rsidR="00FF33A7" w:rsidRPr="0082617A" w:rsidRDefault="00FF33A7" w:rsidP="00FF33A7">
      <w:pPr>
        <w:pStyle w:val="ListBullet"/>
      </w:pPr>
      <w:r w:rsidRPr="0082617A">
        <w:t>The Energy Charter Agricultural Roundtable</w:t>
      </w:r>
    </w:p>
    <w:p w14:paraId="26958043" w14:textId="77777777" w:rsidR="00FF33A7" w:rsidRPr="0082617A" w:rsidRDefault="00FF33A7" w:rsidP="00FF33A7">
      <w:pPr>
        <w:pStyle w:val="ListBullet"/>
      </w:pPr>
      <w:r w:rsidRPr="0082617A">
        <w:t>Q</w:t>
      </w:r>
      <w:r>
        <w:t>ueensland</w:t>
      </w:r>
      <w:r w:rsidRPr="0082617A">
        <w:t xml:space="preserve"> Gov</w:t>
      </w:r>
      <w:r>
        <w:t>ernment</w:t>
      </w:r>
      <w:r w:rsidRPr="0082617A">
        <w:t xml:space="preserve"> Hydrogen Task Force</w:t>
      </w:r>
    </w:p>
    <w:p w14:paraId="50665917" w14:textId="5BBA2E74" w:rsidR="00FF33A7" w:rsidRPr="0082617A" w:rsidRDefault="00FF33A7" w:rsidP="00FF33A7">
      <w:pPr>
        <w:pStyle w:val="ListBullet"/>
      </w:pPr>
      <w:r w:rsidRPr="0082617A">
        <w:t>New South Wales Farmers Federatio</w:t>
      </w:r>
      <w:r w:rsidR="00216032">
        <w:t>n,</w:t>
      </w:r>
      <w:r w:rsidRPr="0082617A">
        <w:t xml:space="preserve"> Energy Transition Working Group</w:t>
      </w:r>
    </w:p>
    <w:p w14:paraId="01749D87" w14:textId="77777777" w:rsidR="00FF33A7" w:rsidRPr="0082617A" w:rsidRDefault="00FF33A7" w:rsidP="00FF33A7">
      <w:pPr>
        <w:pStyle w:val="ListBullet"/>
      </w:pPr>
      <w:r w:rsidRPr="0082617A">
        <w:t>AEMO’s Executive Joint Planning Committee</w:t>
      </w:r>
    </w:p>
    <w:p w14:paraId="71CBF32C" w14:textId="7DDBA208" w:rsidR="00FF33A7" w:rsidRDefault="00FF33A7" w:rsidP="00FF33A7">
      <w:pPr>
        <w:pStyle w:val="ListBullet"/>
      </w:pPr>
      <w:r w:rsidRPr="0082617A">
        <w:t>Western Victoria Councils</w:t>
      </w:r>
      <w:r w:rsidR="00216032">
        <w:t>,</w:t>
      </w:r>
      <w:r w:rsidRPr="0082617A">
        <w:t xml:space="preserve"> Wind Farm Forum</w:t>
      </w:r>
    </w:p>
    <w:p w14:paraId="383CC27E" w14:textId="77777777" w:rsidR="00FF33A7" w:rsidRPr="0082617A" w:rsidRDefault="00FF33A7" w:rsidP="00FF33A7">
      <w:pPr>
        <w:pStyle w:val="ListBullet"/>
      </w:pPr>
      <w:r w:rsidRPr="0082617A">
        <w:t>Presentation</w:t>
      </w:r>
      <w:r>
        <w:t xml:space="preserve"> on Transmission</w:t>
      </w:r>
      <w:r w:rsidRPr="0082617A">
        <w:t xml:space="preserve"> to Western Victoria Councils</w:t>
      </w:r>
    </w:p>
    <w:p w14:paraId="0DFE232F" w14:textId="1C429342" w:rsidR="00FF33A7" w:rsidRPr="0082617A" w:rsidRDefault="00FF33A7" w:rsidP="00FF33A7">
      <w:pPr>
        <w:pStyle w:val="ListBullet"/>
      </w:pPr>
      <w:r w:rsidRPr="0082617A">
        <w:t>Socially Responsible Renewable Energy Development (CPA Agency/Griffith University)</w:t>
      </w:r>
    </w:p>
    <w:p w14:paraId="69987985" w14:textId="77777777" w:rsidR="00FF33A7" w:rsidRPr="0082617A" w:rsidRDefault="00FF33A7" w:rsidP="00FF33A7">
      <w:pPr>
        <w:pStyle w:val="ListBullet"/>
      </w:pPr>
      <w:r w:rsidRPr="0082617A">
        <w:t xml:space="preserve">Presentation to </w:t>
      </w:r>
      <w:r w:rsidRPr="0082617A">
        <w:rPr>
          <w:rStyle w:val="Emphasis"/>
          <w:i w:val="0"/>
          <w:iCs w:val="0"/>
          <w:shd w:val="clear" w:color="auto" w:fill="FFFFFF"/>
        </w:rPr>
        <w:t>Energy and Water Ombudsman Victoria</w:t>
      </w:r>
      <w:r w:rsidRPr="0082617A">
        <w:rPr>
          <w:rFonts w:cs="Arial"/>
          <w:shd w:val="clear" w:color="auto" w:fill="FFFFFF"/>
        </w:rPr>
        <w:t> </w:t>
      </w:r>
      <w:r w:rsidRPr="0082617A">
        <w:t>(EWOV)</w:t>
      </w:r>
    </w:p>
    <w:p w14:paraId="197ACD0B" w14:textId="77777777" w:rsidR="00FF33A7" w:rsidRPr="007116C2" w:rsidRDefault="00FF33A7" w:rsidP="00FF33A7">
      <w:pPr>
        <w:pStyle w:val="ListBullet"/>
      </w:pPr>
      <w:r w:rsidRPr="007116C2">
        <w:t>Presentation to I</w:t>
      </w:r>
      <w:r>
        <w:t>nternational Energy Agency Committee</w:t>
      </w:r>
    </w:p>
    <w:p w14:paraId="1718DDCA" w14:textId="77777777" w:rsidR="00FF33A7" w:rsidRPr="0082617A" w:rsidRDefault="00FF33A7" w:rsidP="00FF33A7">
      <w:pPr>
        <w:pStyle w:val="ListBullet"/>
      </w:pPr>
      <w:r w:rsidRPr="0082617A">
        <w:t>National Renewables in Agriculture Conferences</w:t>
      </w:r>
    </w:p>
    <w:p w14:paraId="30014A1A" w14:textId="537A763D" w:rsidR="00FF33A7" w:rsidRPr="0082617A" w:rsidRDefault="00FF33A7" w:rsidP="00FF33A7">
      <w:pPr>
        <w:pStyle w:val="ListBullet"/>
      </w:pPr>
      <w:r w:rsidRPr="0082617A">
        <w:t xml:space="preserve">New South Wales Farmers Association seminar </w:t>
      </w:r>
      <w:r w:rsidR="00BC3425">
        <w:t>on</w:t>
      </w:r>
      <w:r w:rsidRPr="0082617A">
        <w:t xml:space="preserve"> renewable projects in New South Wales</w:t>
      </w:r>
      <w:r>
        <w:t>.</w:t>
      </w:r>
    </w:p>
    <w:p w14:paraId="2F587155" w14:textId="77777777" w:rsidR="00304241" w:rsidRPr="003329B0" w:rsidRDefault="00304241" w:rsidP="003329B0">
      <w:pPr>
        <w:pStyle w:val="Heading2"/>
        <w:rPr>
          <w:i/>
          <w:iCs/>
        </w:rPr>
      </w:pPr>
      <w:bookmarkStart w:id="124" w:name="_Toc135390597"/>
      <w:r w:rsidRPr="003329B0">
        <w:rPr>
          <w:i/>
          <w:iCs/>
        </w:rPr>
        <w:t>Committees and reference groups</w:t>
      </w:r>
      <w:bookmarkEnd w:id="124"/>
    </w:p>
    <w:p w14:paraId="716FB30A" w14:textId="0E313D88" w:rsidR="00FF33A7" w:rsidRPr="00D974B7" w:rsidRDefault="00FF33A7" w:rsidP="00FF33A7">
      <w:pPr>
        <w:spacing w:before="120" w:line="264" w:lineRule="auto"/>
        <w:ind w:right="505"/>
        <w:rPr>
          <w:rStyle w:val="hps-normal1"/>
          <w:rFonts w:eastAsia="Times New Roman" w:cs="Arial"/>
        </w:rPr>
      </w:pPr>
      <w:r w:rsidRPr="00D974B7">
        <w:rPr>
          <w:rFonts w:eastAsia="Times New Roman" w:cs="Arial"/>
        </w:rPr>
        <w:t xml:space="preserve">The Commissioner </w:t>
      </w:r>
      <w:r w:rsidRPr="005F06C5">
        <w:rPr>
          <w:rFonts w:cs="Arial"/>
        </w:rPr>
        <w:t xml:space="preserve">has participated in various industry and government </w:t>
      </w:r>
      <w:r>
        <w:rPr>
          <w:rFonts w:cs="Arial"/>
        </w:rPr>
        <w:t>committees</w:t>
      </w:r>
      <w:r w:rsidRPr="005F06C5">
        <w:rPr>
          <w:rFonts w:cs="Arial"/>
        </w:rPr>
        <w:t xml:space="preserve"> to share best practice approaches and policies as well as address specific issues. The Commissioner </w:t>
      </w:r>
      <w:r w:rsidRPr="00D974B7">
        <w:rPr>
          <w:rFonts w:eastAsia="Times New Roman" w:cs="Arial"/>
        </w:rPr>
        <w:t xml:space="preserve">is currently an active member of the </w:t>
      </w:r>
      <w:r>
        <w:rPr>
          <w:rFonts w:eastAsia="Times New Roman" w:cs="Arial"/>
        </w:rPr>
        <w:t>following groups and committees:</w:t>
      </w:r>
    </w:p>
    <w:p w14:paraId="653488C8" w14:textId="64D8CBE9" w:rsidR="00FF33A7" w:rsidRDefault="00E93F3A" w:rsidP="00FF33A7">
      <w:pPr>
        <w:pStyle w:val="ListParagraph"/>
        <w:numPr>
          <w:ilvl w:val="0"/>
          <w:numId w:val="20"/>
        </w:numPr>
        <w:spacing w:after="160" w:line="264" w:lineRule="auto"/>
        <w:rPr>
          <w:rFonts w:eastAsia="Times New Roman" w:cs="Arial"/>
          <w:color w:val="000000"/>
          <w:lang w:eastAsia="en-AU"/>
        </w:rPr>
      </w:pPr>
      <w:r>
        <w:rPr>
          <w:rFonts w:eastAsia="Times New Roman" w:cs="Arial"/>
          <w:color w:val="000000"/>
          <w:lang w:eastAsia="en-AU"/>
        </w:rPr>
        <w:t>Mon</w:t>
      </w:r>
      <w:r w:rsidR="007D3AA1">
        <w:rPr>
          <w:rFonts w:eastAsia="Times New Roman" w:cs="Arial"/>
          <w:color w:val="000000"/>
          <w:lang w:eastAsia="en-AU"/>
        </w:rPr>
        <w:t xml:space="preserve">thly </w:t>
      </w:r>
      <w:r w:rsidR="002E47B8">
        <w:rPr>
          <w:rFonts w:eastAsia="Times New Roman" w:cs="Arial"/>
          <w:color w:val="000000"/>
          <w:lang w:eastAsia="en-AU"/>
        </w:rPr>
        <w:t xml:space="preserve">Victorian Energy </w:t>
      </w:r>
      <w:r w:rsidR="007D3AA1">
        <w:rPr>
          <w:rFonts w:eastAsia="Times New Roman" w:cs="Arial"/>
          <w:color w:val="000000"/>
          <w:lang w:eastAsia="en-AU"/>
        </w:rPr>
        <w:t xml:space="preserve">Minister’s meeting </w:t>
      </w:r>
      <w:r w:rsidR="00190EBE">
        <w:rPr>
          <w:rFonts w:eastAsia="Times New Roman" w:cs="Arial"/>
          <w:color w:val="000000"/>
          <w:lang w:eastAsia="en-AU"/>
        </w:rPr>
        <w:t xml:space="preserve">to </w:t>
      </w:r>
      <w:r w:rsidR="007D3AA1">
        <w:rPr>
          <w:rFonts w:eastAsia="Times New Roman" w:cs="Arial"/>
          <w:color w:val="000000"/>
          <w:lang w:eastAsia="en-AU"/>
        </w:rPr>
        <w:t>oversight</w:t>
      </w:r>
      <w:r w:rsidR="002E47B8">
        <w:rPr>
          <w:rFonts w:eastAsia="Times New Roman" w:cs="Arial"/>
          <w:color w:val="000000"/>
          <w:lang w:eastAsia="en-AU"/>
        </w:rPr>
        <w:t xml:space="preserve"> Western Renewables Link project</w:t>
      </w:r>
    </w:p>
    <w:p w14:paraId="3186CD71" w14:textId="440B17D3" w:rsidR="006A0200" w:rsidRPr="00E927BA" w:rsidRDefault="006A0200" w:rsidP="00FF33A7">
      <w:pPr>
        <w:pStyle w:val="ListParagraph"/>
        <w:numPr>
          <w:ilvl w:val="0"/>
          <w:numId w:val="20"/>
        </w:numPr>
        <w:spacing w:after="160" w:line="264" w:lineRule="auto"/>
        <w:rPr>
          <w:rFonts w:eastAsia="Times New Roman" w:cs="Arial"/>
          <w:color w:val="000000"/>
          <w:lang w:eastAsia="en-AU"/>
        </w:rPr>
      </w:pPr>
      <w:r>
        <w:rPr>
          <w:rFonts w:eastAsia="Times New Roman" w:cs="Arial"/>
          <w:color w:val="000000"/>
          <w:lang w:eastAsia="en-AU"/>
        </w:rPr>
        <w:t xml:space="preserve">Rewiring the Nation Advisory Committee </w:t>
      </w:r>
      <w:r w:rsidRPr="00E927BA">
        <w:rPr>
          <w:rFonts w:eastAsia="Times New Roman" w:cs="Arial"/>
          <w:color w:val="000000"/>
          <w:lang w:eastAsia="en-AU"/>
        </w:rPr>
        <w:t>(co-membership with R</w:t>
      </w:r>
      <w:r>
        <w:rPr>
          <w:rFonts w:eastAsia="Times New Roman" w:cs="Arial"/>
          <w:color w:val="000000"/>
          <w:lang w:eastAsia="en-AU"/>
        </w:rPr>
        <w:t>ewiring the Nation Office</w:t>
      </w:r>
      <w:r w:rsidRPr="00E927BA">
        <w:rPr>
          <w:rFonts w:eastAsia="Times New Roman" w:cs="Arial"/>
          <w:color w:val="000000"/>
          <w:lang w:eastAsia="en-AU"/>
        </w:rPr>
        <w:t>, AEMO and CEFC)</w:t>
      </w:r>
    </w:p>
    <w:p w14:paraId="2B704E21" w14:textId="327AEC5E" w:rsidR="00FF33A7" w:rsidRDefault="00AD4FC1" w:rsidP="00FF33A7">
      <w:pPr>
        <w:pStyle w:val="ListParagraph"/>
        <w:numPr>
          <w:ilvl w:val="0"/>
          <w:numId w:val="20"/>
        </w:numPr>
        <w:spacing w:after="160" w:line="264" w:lineRule="auto"/>
        <w:rPr>
          <w:rFonts w:eastAsia="Times New Roman" w:cs="Arial"/>
          <w:color w:val="000000"/>
          <w:lang w:eastAsia="en-AU"/>
        </w:rPr>
      </w:pPr>
      <w:r>
        <w:rPr>
          <w:rFonts w:eastAsia="Times New Roman" w:cs="Arial"/>
          <w:color w:val="000000"/>
          <w:lang w:eastAsia="en-AU"/>
        </w:rPr>
        <w:t>Fortnightly/Monthly meetings</w:t>
      </w:r>
      <w:r w:rsidR="00C53A9C">
        <w:rPr>
          <w:rFonts w:eastAsia="Times New Roman" w:cs="Arial"/>
          <w:color w:val="000000"/>
          <w:lang w:eastAsia="en-AU"/>
        </w:rPr>
        <w:t xml:space="preserve"> with AusNet to review open issues and c</w:t>
      </w:r>
      <w:r w:rsidR="00AE7175">
        <w:rPr>
          <w:rFonts w:eastAsia="Times New Roman" w:cs="Arial"/>
          <w:color w:val="000000"/>
          <w:lang w:eastAsia="en-AU"/>
        </w:rPr>
        <w:t>ases</w:t>
      </w:r>
    </w:p>
    <w:p w14:paraId="40F13574" w14:textId="07AC6449" w:rsidR="00565009" w:rsidRPr="00E927BA" w:rsidRDefault="00565009" w:rsidP="00FF33A7">
      <w:pPr>
        <w:pStyle w:val="ListParagraph"/>
        <w:numPr>
          <w:ilvl w:val="0"/>
          <w:numId w:val="20"/>
        </w:numPr>
        <w:spacing w:after="160" w:line="264" w:lineRule="auto"/>
        <w:rPr>
          <w:rFonts w:eastAsia="Times New Roman" w:cs="Arial"/>
          <w:color w:val="000000"/>
          <w:lang w:eastAsia="en-AU"/>
        </w:rPr>
      </w:pPr>
      <w:r>
        <w:rPr>
          <w:rFonts w:eastAsia="Times New Roman" w:cs="Arial"/>
          <w:color w:val="000000"/>
          <w:lang w:eastAsia="en-AU"/>
        </w:rPr>
        <w:t>Regular forum</w:t>
      </w:r>
      <w:r w:rsidR="00495D96">
        <w:rPr>
          <w:rFonts w:eastAsia="Times New Roman" w:cs="Arial"/>
          <w:color w:val="000000"/>
          <w:lang w:eastAsia="en-AU"/>
        </w:rPr>
        <w:t xml:space="preserve"> with Transgrid executive team to review material</w:t>
      </w:r>
      <w:r w:rsidR="00F85B7A">
        <w:rPr>
          <w:rFonts w:eastAsia="Times New Roman" w:cs="Arial"/>
          <w:color w:val="000000"/>
          <w:lang w:eastAsia="en-AU"/>
        </w:rPr>
        <w:t xml:space="preserve"> open </w:t>
      </w:r>
      <w:r w:rsidR="00B22AF5">
        <w:rPr>
          <w:rFonts w:eastAsia="Times New Roman" w:cs="Arial"/>
          <w:color w:val="000000"/>
          <w:lang w:eastAsia="en-AU"/>
        </w:rPr>
        <w:t>cases</w:t>
      </w:r>
      <w:r w:rsidR="00F85B7A">
        <w:rPr>
          <w:rFonts w:eastAsia="Times New Roman" w:cs="Arial"/>
          <w:color w:val="000000"/>
          <w:lang w:eastAsia="en-AU"/>
        </w:rPr>
        <w:t xml:space="preserve"> and discuss</w:t>
      </w:r>
      <w:r w:rsidR="00E93C36">
        <w:rPr>
          <w:rFonts w:eastAsia="Times New Roman" w:cs="Arial"/>
          <w:color w:val="000000"/>
          <w:lang w:eastAsia="en-AU"/>
        </w:rPr>
        <w:t xml:space="preserve"> evolving technology and other factor</w:t>
      </w:r>
      <w:r w:rsidR="00143D49">
        <w:rPr>
          <w:rFonts w:eastAsia="Times New Roman" w:cs="Arial"/>
          <w:color w:val="000000"/>
          <w:lang w:eastAsia="en-AU"/>
        </w:rPr>
        <w:t>s in large-scale transmission deployment</w:t>
      </w:r>
    </w:p>
    <w:p w14:paraId="0E7209EE" w14:textId="77777777" w:rsidR="00FF33A7" w:rsidRPr="00E927BA" w:rsidRDefault="00FF33A7" w:rsidP="00FF33A7">
      <w:pPr>
        <w:pStyle w:val="ListParagraph"/>
        <w:numPr>
          <w:ilvl w:val="0"/>
          <w:numId w:val="20"/>
        </w:numPr>
        <w:spacing w:after="160" w:line="264" w:lineRule="auto"/>
        <w:rPr>
          <w:rFonts w:eastAsia="Times New Roman" w:cs="Arial"/>
          <w:color w:val="000000"/>
          <w:lang w:eastAsia="en-AU"/>
        </w:rPr>
      </w:pPr>
      <w:r w:rsidRPr="00E927BA">
        <w:rPr>
          <w:rFonts w:eastAsia="Times New Roman" w:cs="Arial"/>
          <w:color w:val="000000"/>
          <w:lang w:eastAsia="en-AU"/>
        </w:rPr>
        <w:t>The Energy Charter</w:t>
      </w:r>
    </w:p>
    <w:p w14:paraId="67D8AD34" w14:textId="2A794F3A" w:rsidR="00FF33A7" w:rsidRPr="004C521A" w:rsidRDefault="00FF33A7" w:rsidP="00FF33A7">
      <w:pPr>
        <w:pStyle w:val="ListParagraph"/>
        <w:numPr>
          <w:ilvl w:val="0"/>
          <w:numId w:val="20"/>
        </w:numPr>
        <w:spacing w:before="120" w:line="264" w:lineRule="auto"/>
        <w:ind w:right="505"/>
        <w:rPr>
          <w:rFonts w:eastAsia="Times New Roman" w:cs="Arial"/>
        </w:rPr>
      </w:pPr>
      <w:r w:rsidRPr="004C521A">
        <w:rPr>
          <w:rFonts w:eastAsia="Times New Roman" w:cs="Arial"/>
        </w:rPr>
        <w:t xml:space="preserve">Western Victoria Transmission Network Project </w:t>
      </w:r>
      <w:r w:rsidR="00DF1FCE">
        <w:rPr>
          <w:rFonts w:eastAsia="Times New Roman" w:cs="Arial"/>
        </w:rPr>
        <w:t>(</w:t>
      </w:r>
      <w:r w:rsidR="00D96228">
        <w:rPr>
          <w:rFonts w:eastAsia="Times New Roman" w:cs="Arial"/>
        </w:rPr>
        <w:t xml:space="preserve">now ‘WRL’) </w:t>
      </w:r>
      <w:r>
        <w:rPr>
          <w:rFonts w:eastAsia="Times New Roman" w:cs="Arial"/>
        </w:rPr>
        <w:t>Reference Group</w:t>
      </w:r>
    </w:p>
    <w:p w14:paraId="7E79940E" w14:textId="77777777" w:rsidR="00FF33A7" w:rsidRPr="004C521A" w:rsidRDefault="00FF33A7" w:rsidP="00FF33A7">
      <w:pPr>
        <w:pStyle w:val="ListParagraph"/>
        <w:numPr>
          <w:ilvl w:val="0"/>
          <w:numId w:val="20"/>
        </w:numPr>
        <w:spacing w:before="120" w:line="264" w:lineRule="auto"/>
        <w:ind w:right="505"/>
        <w:rPr>
          <w:rFonts w:eastAsia="Times New Roman" w:cs="Arial"/>
        </w:rPr>
      </w:pPr>
      <w:r w:rsidRPr="004C521A">
        <w:rPr>
          <w:rFonts w:eastAsia="Times New Roman" w:cs="Arial"/>
        </w:rPr>
        <w:t>NSW Government Renewable Energy Zone Reference Group</w:t>
      </w:r>
      <w:r>
        <w:rPr>
          <w:rFonts w:eastAsia="Times New Roman" w:cs="Arial"/>
        </w:rPr>
        <w:t>s</w:t>
      </w:r>
    </w:p>
    <w:p w14:paraId="1931DA12" w14:textId="1D6B6895" w:rsidR="00FF33A7" w:rsidRPr="004C521A" w:rsidRDefault="00FF33A7" w:rsidP="00FF33A7">
      <w:pPr>
        <w:pStyle w:val="ListParagraph"/>
        <w:numPr>
          <w:ilvl w:val="0"/>
          <w:numId w:val="20"/>
        </w:numPr>
        <w:spacing w:line="264" w:lineRule="auto"/>
        <w:rPr>
          <w:rFonts w:cs="Arial"/>
        </w:rPr>
      </w:pPr>
      <w:r>
        <w:rPr>
          <w:rFonts w:eastAsia="Times New Roman" w:cs="Arial"/>
        </w:rPr>
        <w:t xml:space="preserve">Standards Australia </w:t>
      </w:r>
      <w:r w:rsidRPr="004C521A">
        <w:rPr>
          <w:rFonts w:cs="Arial"/>
        </w:rPr>
        <w:t xml:space="preserve">EL-048 Technical Committee </w:t>
      </w:r>
      <w:r w:rsidRPr="004C521A">
        <w:rPr>
          <w:rFonts w:cs="Arial"/>
          <w:color w:val="080707"/>
          <w:shd w:val="clear" w:color="auto" w:fill="FFFFFF"/>
        </w:rPr>
        <w:t>Wind Energy Generation Systems</w:t>
      </w:r>
    </w:p>
    <w:p w14:paraId="2887971E" w14:textId="38524D71" w:rsidR="00FF33A7" w:rsidRDefault="00FF33A7" w:rsidP="00FF33A7">
      <w:pPr>
        <w:spacing w:before="120" w:line="264" w:lineRule="auto"/>
        <w:ind w:right="505"/>
        <w:rPr>
          <w:rFonts w:eastAsia="Times New Roman" w:cs="Arial"/>
        </w:rPr>
      </w:pPr>
      <w:r>
        <w:rPr>
          <w:rFonts w:eastAsia="Times New Roman" w:cs="Arial"/>
        </w:rPr>
        <w:lastRenderedPageBreak/>
        <w:t>In addition to formal committee meetings and groups, the Commissioner meets regularly with the executive leadership teams for major transmission projects</w:t>
      </w:r>
      <w:r w:rsidR="00B36F7B">
        <w:rPr>
          <w:rFonts w:eastAsia="Times New Roman" w:cs="Arial"/>
        </w:rPr>
        <w:t xml:space="preserve"> as well as the major </w:t>
      </w:r>
      <w:r w:rsidR="006619F5">
        <w:rPr>
          <w:rFonts w:eastAsia="Times New Roman" w:cs="Arial"/>
        </w:rPr>
        <w:t>generation industry proponents</w:t>
      </w:r>
      <w:r w:rsidR="00507FDB">
        <w:rPr>
          <w:rFonts w:eastAsia="Times New Roman" w:cs="Arial"/>
        </w:rPr>
        <w:t>.</w:t>
      </w:r>
    </w:p>
    <w:p w14:paraId="1B5CC2C0" w14:textId="49BF99BF" w:rsidR="00804504" w:rsidRPr="00D25674" w:rsidRDefault="00B16C6F" w:rsidP="00FF33A7">
      <w:pPr>
        <w:spacing w:before="120" w:line="264" w:lineRule="auto"/>
        <w:ind w:right="505"/>
        <w:rPr>
          <w:rFonts w:eastAsia="Times New Roman" w:cs="Arial"/>
          <w:b/>
          <w:bCs/>
          <w:i/>
          <w:iCs/>
        </w:rPr>
      </w:pPr>
      <w:r w:rsidRPr="00D25674">
        <w:rPr>
          <w:rFonts w:eastAsia="Times New Roman" w:cs="Arial"/>
          <w:b/>
          <w:bCs/>
          <w:i/>
          <w:iCs/>
        </w:rPr>
        <w:t>Off</w:t>
      </w:r>
      <w:r w:rsidR="0063692E">
        <w:rPr>
          <w:rFonts w:eastAsia="Times New Roman" w:cs="Arial"/>
          <w:b/>
          <w:bCs/>
          <w:i/>
          <w:iCs/>
        </w:rPr>
        <w:t>s</w:t>
      </w:r>
      <w:r w:rsidRPr="00D25674">
        <w:rPr>
          <w:rFonts w:eastAsia="Times New Roman" w:cs="Arial"/>
          <w:b/>
          <w:bCs/>
          <w:i/>
          <w:iCs/>
        </w:rPr>
        <w:t>hore Wind Energy</w:t>
      </w:r>
    </w:p>
    <w:p w14:paraId="315F0CEC" w14:textId="4117FDDA" w:rsidR="00445C3F" w:rsidRDefault="00092D03" w:rsidP="00FF33A7">
      <w:pPr>
        <w:spacing w:before="120" w:line="264" w:lineRule="auto"/>
        <w:ind w:right="505"/>
        <w:rPr>
          <w:rFonts w:eastAsia="Times New Roman" w:cs="Arial"/>
        </w:rPr>
      </w:pPr>
      <w:r>
        <w:rPr>
          <w:rFonts w:eastAsia="Times New Roman" w:cs="Arial"/>
        </w:rPr>
        <w:t xml:space="preserve">Significant progress was made during 2022 </w:t>
      </w:r>
      <w:r w:rsidR="007E2501">
        <w:rPr>
          <w:rFonts w:eastAsia="Times New Roman" w:cs="Arial"/>
        </w:rPr>
        <w:t xml:space="preserve">in establishing the foundations </w:t>
      </w:r>
      <w:r w:rsidR="00AF6299">
        <w:rPr>
          <w:rFonts w:eastAsia="Times New Roman" w:cs="Arial"/>
        </w:rPr>
        <w:t xml:space="preserve">for a robust </w:t>
      </w:r>
      <w:r w:rsidR="008D3BCC">
        <w:rPr>
          <w:rFonts w:eastAsia="Times New Roman" w:cs="Arial"/>
        </w:rPr>
        <w:t>offshore</w:t>
      </w:r>
      <w:r w:rsidR="00AF6299">
        <w:rPr>
          <w:rFonts w:eastAsia="Times New Roman" w:cs="Arial"/>
        </w:rPr>
        <w:t xml:space="preserve"> wind energy industry</w:t>
      </w:r>
      <w:r w:rsidR="00734023">
        <w:rPr>
          <w:rFonts w:eastAsia="Times New Roman" w:cs="Arial"/>
        </w:rPr>
        <w:t>. A major step forward occurred</w:t>
      </w:r>
      <w:r w:rsidR="00080931">
        <w:rPr>
          <w:rFonts w:eastAsia="Times New Roman" w:cs="Arial"/>
        </w:rPr>
        <w:t xml:space="preserve"> in December 2022 with the announcement of Australia</w:t>
      </w:r>
      <w:r w:rsidR="006730B0">
        <w:rPr>
          <w:rFonts w:eastAsia="Times New Roman" w:cs="Arial"/>
        </w:rPr>
        <w:t xml:space="preserve">’s first Declared Area for </w:t>
      </w:r>
      <w:r w:rsidR="00893A05">
        <w:rPr>
          <w:rFonts w:eastAsia="Times New Roman" w:cs="Arial"/>
        </w:rPr>
        <w:t xml:space="preserve">exploration and development of </w:t>
      </w:r>
      <w:r w:rsidR="008D3BCC">
        <w:rPr>
          <w:rFonts w:eastAsia="Times New Roman" w:cs="Arial"/>
        </w:rPr>
        <w:t>offshore</w:t>
      </w:r>
      <w:r w:rsidR="002C38B7">
        <w:rPr>
          <w:rFonts w:eastAsia="Times New Roman" w:cs="Arial"/>
        </w:rPr>
        <w:t xml:space="preserve"> projects.  </w:t>
      </w:r>
    </w:p>
    <w:p w14:paraId="5A8EB72D" w14:textId="50727AD9" w:rsidR="00804504" w:rsidRDefault="002C38B7" w:rsidP="00FF33A7">
      <w:pPr>
        <w:spacing w:before="120" w:line="264" w:lineRule="auto"/>
        <w:ind w:right="505"/>
        <w:rPr>
          <w:rFonts w:eastAsia="Times New Roman" w:cs="Arial"/>
        </w:rPr>
      </w:pPr>
      <w:r>
        <w:rPr>
          <w:rFonts w:eastAsia="Times New Roman" w:cs="Arial"/>
        </w:rPr>
        <w:t>The area, known as Bass Strait off Gippsland</w:t>
      </w:r>
      <w:r w:rsidR="00D74434">
        <w:rPr>
          <w:rFonts w:eastAsia="Times New Roman" w:cs="Arial"/>
        </w:rPr>
        <w:t xml:space="preserve"> in eastern Victor</w:t>
      </w:r>
      <w:r w:rsidR="00B64D32">
        <w:rPr>
          <w:rFonts w:eastAsia="Times New Roman" w:cs="Arial"/>
        </w:rPr>
        <w:t>i</w:t>
      </w:r>
      <w:r w:rsidR="00D74434">
        <w:rPr>
          <w:rFonts w:eastAsia="Times New Roman" w:cs="Arial"/>
        </w:rPr>
        <w:t>a</w:t>
      </w:r>
      <w:r w:rsidR="00B64D32">
        <w:rPr>
          <w:rFonts w:eastAsia="Times New Roman" w:cs="Arial"/>
        </w:rPr>
        <w:t xml:space="preserve"> provides a substantial area for development</w:t>
      </w:r>
      <w:r w:rsidR="00445C3F">
        <w:rPr>
          <w:rFonts w:eastAsia="Times New Roman" w:cs="Arial"/>
        </w:rPr>
        <w:t xml:space="preserve"> of material capacity wind farms while accessible </w:t>
      </w:r>
      <w:r w:rsidR="001E7D36">
        <w:rPr>
          <w:rFonts w:eastAsia="Times New Roman" w:cs="Arial"/>
        </w:rPr>
        <w:t>for connection to the Victorian power grid.</w:t>
      </w:r>
      <w:r w:rsidR="007E2501">
        <w:rPr>
          <w:rFonts w:eastAsia="Times New Roman" w:cs="Arial"/>
        </w:rPr>
        <w:t xml:space="preserve"> </w:t>
      </w:r>
      <w:r w:rsidR="00CF6759">
        <w:rPr>
          <w:rFonts w:eastAsia="Times New Roman" w:cs="Arial"/>
        </w:rPr>
        <w:t>It is understood that</w:t>
      </w:r>
      <w:r w:rsidR="000605D9">
        <w:rPr>
          <w:rFonts w:eastAsia="Times New Roman" w:cs="Arial"/>
        </w:rPr>
        <w:t xml:space="preserve"> the Hunter Region in NSW, off the coast</w:t>
      </w:r>
      <w:r w:rsidR="00013CA8">
        <w:rPr>
          <w:rFonts w:eastAsia="Times New Roman" w:cs="Arial"/>
        </w:rPr>
        <w:t xml:space="preserve"> near Newcastle, will be the</w:t>
      </w:r>
      <w:r w:rsidR="006B231F">
        <w:rPr>
          <w:rFonts w:eastAsia="Times New Roman" w:cs="Arial"/>
        </w:rPr>
        <w:t xml:space="preserve"> </w:t>
      </w:r>
      <w:r w:rsidR="00013CA8">
        <w:rPr>
          <w:rFonts w:eastAsia="Times New Roman" w:cs="Arial"/>
        </w:rPr>
        <w:t>next Declared Area.</w:t>
      </w:r>
    </w:p>
    <w:p w14:paraId="5C6A26C5" w14:textId="69A9523E" w:rsidR="009123E7" w:rsidRDefault="006B231F" w:rsidP="00FF33A7">
      <w:pPr>
        <w:spacing w:before="120" w:line="264" w:lineRule="auto"/>
        <w:ind w:right="505"/>
        <w:rPr>
          <w:rFonts w:eastAsia="Times New Roman" w:cs="Arial"/>
        </w:rPr>
      </w:pPr>
      <w:r>
        <w:rPr>
          <w:rFonts w:eastAsia="Times New Roman" w:cs="Arial"/>
        </w:rPr>
        <w:t>Once an area is declared, developers may then apply for a feasibility license</w:t>
      </w:r>
      <w:r w:rsidR="00D768BC">
        <w:rPr>
          <w:rFonts w:eastAsia="Times New Roman" w:cs="Arial"/>
        </w:rPr>
        <w:t>. I</w:t>
      </w:r>
      <w:r w:rsidR="00C203D2">
        <w:rPr>
          <w:rFonts w:eastAsia="Times New Roman" w:cs="Arial"/>
        </w:rPr>
        <w:t xml:space="preserve">f granted, </w:t>
      </w:r>
      <w:r w:rsidR="00D768BC">
        <w:rPr>
          <w:rFonts w:eastAsia="Times New Roman" w:cs="Arial"/>
        </w:rPr>
        <w:t>the feas</w:t>
      </w:r>
      <w:r w:rsidR="00827566">
        <w:rPr>
          <w:rFonts w:eastAsia="Times New Roman" w:cs="Arial"/>
        </w:rPr>
        <w:t>i</w:t>
      </w:r>
      <w:r w:rsidR="00D768BC">
        <w:rPr>
          <w:rFonts w:eastAsia="Times New Roman" w:cs="Arial"/>
        </w:rPr>
        <w:t>bility</w:t>
      </w:r>
      <w:r w:rsidR="00827566">
        <w:rPr>
          <w:rFonts w:eastAsia="Times New Roman" w:cs="Arial"/>
        </w:rPr>
        <w:t xml:space="preserve"> license</w:t>
      </w:r>
      <w:r w:rsidR="00D768BC">
        <w:rPr>
          <w:rFonts w:eastAsia="Times New Roman" w:cs="Arial"/>
        </w:rPr>
        <w:t xml:space="preserve"> </w:t>
      </w:r>
      <w:r w:rsidR="00C203D2">
        <w:rPr>
          <w:rFonts w:eastAsia="Times New Roman" w:cs="Arial"/>
        </w:rPr>
        <w:t>allows the developer to prospect within the</w:t>
      </w:r>
      <w:r w:rsidR="00494F27">
        <w:rPr>
          <w:rFonts w:eastAsia="Times New Roman" w:cs="Arial"/>
        </w:rPr>
        <w:t xml:space="preserve"> area</w:t>
      </w:r>
      <w:r w:rsidR="0090100D">
        <w:rPr>
          <w:rFonts w:eastAsia="Times New Roman" w:cs="Arial"/>
        </w:rPr>
        <w:t xml:space="preserve"> and </w:t>
      </w:r>
      <w:r w:rsidR="00827566">
        <w:rPr>
          <w:rFonts w:eastAsia="Times New Roman" w:cs="Arial"/>
        </w:rPr>
        <w:t>prepare</w:t>
      </w:r>
      <w:r w:rsidR="0090100D">
        <w:rPr>
          <w:rFonts w:eastAsia="Times New Roman" w:cs="Arial"/>
        </w:rPr>
        <w:t xml:space="preserve"> a</w:t>
      </w:r>
      <w:r w:rsidR="003E17E2">
        <w:rPr>
          <w:rFonts w:eastAsia="Times New Roman" w:cs="Arial"/>
        </w:rPr>
        <w:t>n application to construct and operate</w:t>
      </w:r>
      <w:r w:rsidR="00D768BC">
        <w:rPr>
          <w:rFonts w:eastAsia="Times New Roman" w:cs="Arial"/>
        </w:rPr>
        <w:t xml:space="preserve"> an </w:t>
      </w:r>
      <w:r w:rsidR="008D3BCC">
        <w:rPr>
          <w:rFonts w:eastAsia="Times New Roman" w:cs="Arial"/>
        </w:rPr>
        <w:t>offshore</w:t>
      </w:r>
      <w:r w:rsidR="00D768BC">
        <w:rPr>
          <w:rFonts w:eastAsia="Times New Roman" w:cs="Arial"/>
        </w:rPr>
        <w:t xml:space="preserve"> wind farm</w:t>
      </w:r>
      <w:r w:rsidR="0054510B">
        <w:rPr>
          <w:rFonts w:eastAsia="Times New Roman" w:cs="Arial"/>
        </w:rPr>
        <w:t>, with a time li</w:t>
      </w:r>
      <w:r w:rsidR="00522822">
        <w:rPr>
          <w:rFonts w:eastAsia="Times New Roman" w:cs="Arial"/>
        </w:rPr>
        <w:t>m</w:t>
      </w:r>
      <w:r w:rsidR="0054510B">
        <w:rPr>
          <w:rFonts w:eastAsia="Times New Roman" w:cs="Arial"/>
        </w:rPr>
        <w:t xml:space="preserve">it of </w:t>
      </w:r>
      <w:r w:rsidR="00522822">
        <w:rPr>
          <w:rFonts w:eastAsia="Times New Roman" w:cs="Arial"/>
        </w:rPr>
        <w:t xml:space="preserve">seven years to gain all the required approvals </w:t>
      </w:r>
      <w:r w:rsidR="00AA22EF">
        <w:rPr>
          <w:rFonts w:eastAsia="Times New Roman" w:cs="Arial"/>
        </w:rPr>
        <w:t>and be issued with a commercial license</w:t>
      </w:r>
      <w:r w:rsidR="009123E7">
        <w:rPr>
          <w:rFonts w:eastAsia="Times New Roman" w:cs="Arial"/>
        </w:rPr>
        <w:t>.</w:t>
      </w:r>
    </w:p>
    <w:p w14:paraId="563BB8DE" w14:textId="7A14B59C" w:rsidR="006B231F" w:rsidRDefault="009123E7" w:rsidP="00FF33A7">
      <w:pPr>
        <w:spacing w:before="120" w:line="264" w:lineRule="auto"/>
        <w:ind w:right="505"/>
        <w:rPr>
          <w:rFonts w:eastAsia="Times New Roman" w:cs="Arial"/>
        </w:rPr>
      </w:pPr>
      <w:r>
        <w:rPr>
          <w:rFonts w:eastAsia="Times New Roman" w:cs="Arial"/>
        </w:rPr>
        <w:t>Community</w:t>
      </w:r>
      <w:r w:rsidR="00C0024B">
        <w:rPr>
          <w:rFonts w:eastAsia="Times New Roman" w:cs="Arial"/>
        </w:rPr>
        <w:t xml:space="preserve"> engagement</w:t>
      </w:r>
      <w:r w:rsidR="00FA1CE4">
        <w:rPr>
          <w:rFonts w:eastAsia="Times New Roman" w:cs="Arial"/>
        </w:rPr>
        <w:t xml:space="preserve"> will require a range of skills and programs to be effective. Not only will the developer</w:t>
      </w:r>
      <w:r w:rsidR="00926660">
        <w:rPr>
          <w:rFonts w:eastAsia="Times New Roman" w:cs="Arial"/>
        </w:rPr>
        <w:t xml:space="preserve"> need to engage well around all aspects of the offshore wind farm itself</w:t>
      </w:r>
      <w:r w:rsidR="005B55AB">
        <w:rPr>
          <w:rFonts w:eastAsia="Times New Roman" w:cs="Arial"/>
        </w:rPr>
        <w:t xml:space="preserve">, </w:t>
      </w:r>
      <w:r w:rsidR="00445BBC">
        <w:rPr>
          <w:rFonts w:eastAsia="Times New Roman" w:cs="Arial"/>
        </w:rPr>
        <w:t>but developers will also</w:t>
      </w:r>
      <w:r w:rsidR="005B55AB">
        <w:rPr>
          <w:rFonts w:eastAsia="Times New Roman" w:cs="Arial"/>
        </w:rPr>
        <w:t xml:space="preserve"> need to proactively address the myriad onshore </w:t>
      </w:r>
      <w:r w:rsidR="008E0A7B">
        <w:rPr>
          <w:rFonts w:eastAsia="Times New Roman" w:cs="Arial"/>
        </w:rPr>
        <w:t>activities. These will include manufacturing and assembly</w:t>
      </w:r>
      <w:r w:rsidR="00E125DD">
        <w:rPr>
          <w:rFonts w:eastAsia="Times New Roman" w:cs="Arial"/>
        </w:rPr>
        <w:t xml:space="preserve"> impacts (activities that typically occur at a suitabl</w:t>
      </w:r>
      <w:r w:rsidR="00757D87">
        <w:rPr>
          <w:rFonts w:eastAsia="Times New Roman" w:cs="Arial"/>
        </w:rPr>
        <w:t>e</w:t>
      </w:r>
      <w:r w:rsidR="00E125DD">
        <w:rPr>
          <w:rFonts w:eastAsia="Times New Roman" w:cs="Arial"/>
        </w:rPr>
        <w:t>, nearby</w:t>
      </w:r>
      <w:r w:rsidR="00757D87">
        <w:rPr>
          <w:rFonts w:eastAsia="Times New Roman" w:cs="Arial"/>
        </w:rPr>
        <w:t xml:space="preserve"> port), impacts on the local </w:t>
      </w:r>
      <w:r w:rsidR="00445BBC">
        <w:rPr>
          <w:rFonts w:eastAsia="Times New Roman" w:cs="Arial"/>
        </w:rPr>
        <w:t>infrastructure</w:t>
      </w:r>
      <w:r w:rsidR="00AA22EF">
        <w:rPr>
          <w:rFonts w:eastAsia="Times New Roman" w:cs="Arial"/>
        </w:rPr>
        <w:t xml:space="preserve"> </w:t>
      </w:r>
      <w:r w:rsidR="004F39C3">
        <w:rPr>
          <w:rFonts w:eastAsia="Times New Roman" w:cs="Arial"/>
        </w:rPr>
        <w:t>(accommodation, meals, supplies</w:t>
      </w:r>
      <w:r w:rsidR="00445BBC">
        <w:rPr>
          <w:rFonts w:eastAsia="Times New Roman" w:cs="Arial"/>
        </w:rPr>
        <w:t xml:space="preserve">, road delays and damage) </w:t>
      </w:r>
      <w:r w:rsidR="00CA6D8E">
        <w:rPr>
          <w:rFonts w:eastAsia="Times New Roman" w:cs="Arial"/>
        </w:rPr>
        <w:t>through to the impacts and challenges of</w:t>
      </w:r>
      <w:r w:rsidR="007735AD">
        <w:rPr>
          <w:rFonts w:eastAsia="Times New Roman" w:cs="Arial"/>
        </w:rPr>
        <w:t xml:space="preserve"> designing and deploying the transmission solution</w:t>
      </w:r>
      <w:r w:rsidR="00B256B5">
        <w:rPr>
          <w:rFonts w:eastAsia="Times New Roman" w:cs="Arial"/>
        </w:rPr>
        <w:t xml:space="preserve"> that will connect the offshore wind energy facilities to the </w:t>
      </w:r>
      <w:r w:rsidR="008360B9">
        <w:rPr>
          <w:rFonts w:eastAsia="Times New Roman" w:cs="Arial"/>
        </w:rPr>
        <w:t>onshore power grid.</w:t>
      </w:r>
    </w:p>
    <w:p w14:paraId="34F1B37E" w14:textId="1BDF94C5" w:rsidR="009A3841" w:rsidRPr="002B2C2A" w:rsidRDefault="009A3841" w:rsidP="00FF33A7">
      <w:pPr>
        <w:spacing w:before="120" w:line="264" w:lineRule="auto"/>
        <w:ind w:right="505"/>
        <w:rPr>
          <w:rFonts w:eastAsia="Times New Roman" w:cs="Arial"/>
        </w:rPr>
      </w:pPr>
      <w:r>
        <w:rPr>
          <w:rFonts w:eastAsia="Times New Roman" w:cs="Arial"/>
        </w:rPr>
        <w:t>Engagement will also need to be carefully coordinated</w:t>
      </w:r>
      <w:r w:rsidR="00285E72">
        <w:rPr>
          <w:rFonts w:eastAsia="Times New Roman" w:cs="Arial"/>
        </w:rPr>
        <w:t xml:space="preserve"> by </w:t>
      </w:r>
      <w:r w:rsidR="00E91677">
        <w:rPr>
          <w:rFonts w:eastAsia="Times New Roman" w:cs="Arial"/>
        </w:rPr>
        <w:t xml:space="preserve">project </w:t>
      </w:r>
      <w:r w:rsidR="00285E72">
        <w:rPr>
          <w:rFonts w:eastAsia="Times New Roman" w:cs="Arial"/>
        </w:rPr>
        <w:t>developers, local government, state government, regulators</w:t>
      </w:r>
      <w:r w:rsidR="00E91677">
        <w:rPr>
          <w:rFonts w:eastAsia="Times New Roman" w:cs="Arial"/>
        </w:rPr>
        <w:t xml:space="preserve"> and transmission to avoid</w:t>
      </w:r>
      <w:r w:rsidR="00D75104">
        <w:rPr>
          <w:rFonts w:eastAsia="Times New Roman" w:cs="Arial"/>
        </w:rPr>
        <w:t xml:space="preserve"> overlapping</w:t>
      </w:r>
      <w:r w:rsidR="00C67D04">
        <w:rPr>
          <w:rFonts w:eastAsia="Times New Roman" w:cs="Arial"/>
        </w:rPr>
        <w:t xml:space="preserve"> consultation</w:t>
      </w:r>
      <w:r w:rsidR="00AB5BBE">
        <w:rPr>
          <w:rFonts w:eastAsia="Times New Roman" w:cs="Arial"/>
        </w:rPr>
        <w:t>, leading to fatigue.</w:t>
      </w:r>
    </w:p>
    <w:p w14:paraId="3DCC478B" w14:textId="77777777" w:rsidR="00304241" w:rsidRPr="003329B0" w:rsidRDefault="00304241" w:rsidP="003329B0">
      <w:pPr>
        <w:pStyle w:val="Heading2"/>
        <w:rPr>
          <w:i/>
          <w:iCs/>
        </w:rPr>
      </w:pPr>
      <w:bookmarkStart w:id="125" w:name="_Toc135390598"/>
      <w:r w:rsidRPr="003329B0">
        <w:rPr>
          <w:i/>
          <w:iCs/>
        </w:rPr>
        <w:t>Universities and Experts</w:t>
      </w:r>
      <w:bookmarkEnd w:id="125"/>
    </w:p>
    <w:p w14:paraId="6EDF3F9F" w14:textId="77777777" w:rsidR="00FF33A7" w:rsidRPr="00FF33A7" w:rsidRDefault="00FF33A7" w:rsidP="0063692E">
      <w:pPr>
        <w:rPr>
          <w:b/>
        </w:rPr>
      </w:pPr>
      <w:bookmarkStart w:id="126" w:name="_Toc131179326"/>
      <w:bookmarkStart w:id="127" w:name="_Toc131424262"/>
      <w:bookmarkStart w:id="128" w:name="_Toc131424447"/>
      <w:bookmarkStart w:id="129" w:name="_Toc131424987"/>
      <w:bookmarkStart w:id="130" w:name="_Toc131502718"/>
      <w:bookmarkStart w:id="131" w:name="_Toc131505157"/>
      <w:bookmarkStart w:id="132" w:name="_Toc131505321"/>
      <w:bookmarkStart w:id="133" w:name="_Toc132641451"/>
      <w:r w:rsidRPr="00FF33A7">
        <w:t>The Commissioner has continued to liaise with subject matter experts and university researchers to keep abreast of new approaches and findings. In 2022, the Commissioner held meetings with expert consultants in relation to a range of relevant disciplines required for the design, development, construction, operations and maintenance of projects.</w:t>
      </w:r>
      <w:bookmarkEnd w:id="126"/>
      <w:bookmarkEnd w:id="127"/>
      <w:bookmarkEnd w:id="128"/>
      <w:bookmarkEnd w:id="129"/>
      <w:bookmarkEnd w:id="130"/>
      <w:bookmarkEnd w:id="131"/>
      <w:bookmarkEnd w:id="132"/>
      <w:bookmarkEnd w:id="133"/>
    </w:p>
    <w:p w14:paraId="0B289EFF" w14:textId="7595FF49" w:rsidR="00FF33A7" w:rsidRDefault="00FF33A7" w:rsidP="0063692E">
      <w:pPr>
        <w:rPr>
          <w:b/>
        </w:rPr>
      </w:pPr>
      <w:bookmarkStart w:id="134" w:name="_Toc131179327"/>
      <w:bookmarkStart w:id="135" w:name="_Toc131424263"/>
      <w:bookmarkStart w:id="136" w:name="_Toc131424448"/>
      <w:bookmarkStart w:id="137" w:name="_Toc131424988"/>
      <w:bookmarkStart w:id="138" w:name="_Toc131502719"/>
      <w:bookmarkStart w:id="139" w:name="_Toc131505158"/>
      <w:bookmarkStart w:id="140" w:name="_Toc131505322"/>
      <w:bookmarkStart w:id="141" w:name="_Toc132641452"/>
      <w:r w:rsidRPr="00FF33A7">
        <w:t xml:space="preserve">The Commissioner presented on social licence to other advisory bodies, such as the Queensland Government Hydrogen Task Force and the International Energy Agency Committee. The Commissioner </w:t>
      </w:r>
      <w:r w:rsidR="00F51230">
        <w:t xml:space="preserve">is </w:t>
      </w:r>
      <w:r w:rsidRPr="00FF33A7">
        <w:t>also a guest presenter in sessions for the Socially Responsible Renewable Energy Development short course, co-programmed by Community Power Agency and Griffith University</w:t>
      </w:r>
      <w:r w:rsidR="00ED265A">
        <w:t xml:space="preserve"> and has delivered guest lectures in </w:t>
      </w:r>
      <w:r w:rsidR="00661752">
        <w:t>Community Engagement at Monash University</w:t>
      </w:r>
      <w:r w:rsidRPr="00FF33A7">
        <w:t>.</w:t>
      </w:r>
      <w:bookmarkEnd w:id="134"/>
      <w:bookmarkEnd w:id="135"/>
      <w:bookmarkEnd w:id="136"/>
      <w:bookmarkEnd w:id="137"/>
      <w:bookmarkEnd w:id="138"/>
      <w:bookmarkEnd w:id="139"/>
      <w:bookmarkEnd w:id="140"/>
      <w:bookmarkEnd w:id="141"/>
    </w:p>
    <w:p w14:paraId="58FFF822" w14:textId="18478792" w:rsidR="00304241" w:rsidRPr="003329B0" w:rsidRDefault="00304241" w:rsidP="003329B0">
      <w:pPr>
        <w:pStyle w:val="Heading2"/>
        <w:rPr>
          <w:i/>
          <w:iCs/>
        </w:rPr>
      </w:pPr>
      <w:bookmarkStart w:id="142" w:name="_Toc135390599"/>
      <w:r w:rsidRPr="003329B0">
        <w:rPr>
          <w:i/>
          <w:iCs/>
        </w:rPr>
        <w:t>Commissioner’s Website</w:t>
      </w:r>
      <w:bookmarkEnd w:id="142"/>
    </w:p>
    <w:p w14:paraId="743147E6" w14:textId="21D67DC8" w:rsidR="00030A2F" w:rsidRDefault="00304241" w:rsidP="0063692E">
      <w:r>
        <w:t xml:space="preserve">The </w:t>
      </w:r>
      <w:r w:rsidRPr="008530B9">
        <w:t>Commi</w:t>
      </w:r>
      <w:r>
        <w:t>ssioner maintains a</w:t>
      </w:r>
      <w:r w:rsidRPr="008530B9">
        <w:t xml:space="preserve"> website</w:t>
      </w:r>
      <w:r w:rsidRPr="00AE0F0A">
        <w:t xml:space="preserve"> </w:t>
      </w:r>
      <w:r>
        <w:t xml:space="preserve">which </w:t>
      </w:r>
      <w:r w:rsidRPr="008530B9">
        <w:t>provides information about the Office</w:t>
      </w:r>
      <w:r w:rsidR="00AE0359">
        <w:t>, including our policies</w:t>
      </w:r>
      <w:r w:rsidR="006D3E9C">
        <w:t xml:space="preserve">, how to make a complaint and </w:t>
      </w:r>
      <w:r w:rsidR="00A73A23">
        <w:t xml:space="preserve">other </w:t>
      </w:r>
      <w:r w:rsidR="006D3E9C">
        <w:t>publications</w:t>
      </w:r>
      <w:r w:rsidR="00030A2F">
        <w:t xml:space="preserve"> issued by our Office.</w:t>
      </w:r>
    </w:p>
    <w:p w14:paraId="440B74A1" w14:textId="3CA420D2" w:rsidR="00304241" w:rsidRPr="00E41412" w:rsidRDefault="00304241" w:rsidP="0063692E">
      <w:r w:rsidRPr="00E41412">
        <w:t xml:space="preserve">The website provides </w:t>
      </w:r>
      <w:r w:rsidR="00556425">
        <w:t>information a</w:t>
      </w:r>
      <w:r w:rsidRPr="00E41412">
        <w:t xml:space="preserve">bout </w:t>
      </w:r>
      <w:r w:rsidR="004F10B3">
        <w:t>large-scale renewable energy and</w:t>
      </w:r>
      <w:r w:rsidRPr="00E41412">
        <w:t xml:space="preserve"> </w:t>
      </w:r>
      <w:r w:rsidR="004F10B3">
        <w:t>transmission infrastructure</w:t>
      </w:r>
      <w:r w:rsidRPr="00E41412">
        <w:t xml:space="preserve"> projects. This includes links to resources about these </w:t>
      </w:r>
      <w:r w:rsidR="00556425">
        <w:t xml:space="preserve">types of projects </w:t>
      </w:r>
      <w:r w:rsidRPr="00E41412">
        <w:t>as well as information on energy generation, health studies, emergency management, planning authorities and guidelines, compliance authority contact details and commu</w:t>
      </w:r>
      <w:r w:rsidR="004F10B3">
        <w:t>nity engagement best practices.</w:t>
      </w:r>
    </w:p>
    <w:p w14:paraId="762EA6BF" w14:textId="77777777" w:rsidR="00032D57" w:rsidRDefault="00304241" w:rsidP="00304241">
      <w:pPr>
        <w:rPr>
          <w:rFonts w:cs="Arial"/>
        </w:rPr>
        <w:sectPr w:rsidR="00032D57" w:rsidSect="00A67D71">
          <w:headerReference w:type="even" r:id="rId66"/>
          <w:headerReference w:type="default" r:id="rId67"/>
          <w:headerReference w:type="first" r:id="rId68"/>
          <w:pgSz w:w="11906" w:h="16838" w:code="9"/>
          <w:pgMar w:top="720" w:right="720" w:bottom="720" w:left="720" w:header="425" w:footer="425" w:gutter="0"/>
          <w:cols w:space="708"/>
          <w:docGrid w:linePitch="360"/>
        </w:sectPr>
      </w:pPr>
      <w:r w:rsidRPr="008530B9">
        <w:rPr>
          <w:rFonts w:cs="Arial"/>
        </w:rPr>
        <w:t xml:space="preserve">The </w:t>
      </w:r>
      <w:r>
        <w:rPr>
          <w:rFonts w:cs="Arial"/>
        </w:rPr>
        <w:t xml:space="preserve">Commissioner’s </w:t>
      </w:r>
      <w:r w:rsidRPr="008530B9">
        <w:rPr>
          <w:rFonts w:cs="Arial"/>
        </w:rPr>
        <w:t xml:space="preserve">website </w:t>
      </w:r>
      <w:r>
        <w:rPr>
          <w:rFonts w:cs="Arial"/>
        </w:rPr>
        <w:t xml:space="preserve">is available </w:t>
      </w:r>
      <w:r w:rsidRPr="008530B9">
        <w:rPr>
          <w:rFonts w:cs="Arial"/>
        </w:rPr>
        <w:t xml:space="preserve">at </w:t>
      </w:r>
      <w:hyperlink r:id="rId69" w:history="1">
        <w:r w:rsidRPr="00F81DDF">
          <w:rPr>
            <w:rStyle w:val="Hyperlink"/>
            <w:rFonts w:cs="Arial"/>
          </w:rPr>
          <w:t>www.aeic.gov.au</w:t>
        </w:r>
      </w:hyperlink>
      <w:r w:rsidRPr="008530B9">
        <w:rPr>
          <w:rFonts w:cs="Arial"/>
        </w:rPr>
        <w:t>.</w:t>
      </w:r>
    </w:p>
    <w:p w14:paraId="7A903396" w14:textId="77777777" w:rsidR="00F555E6" w:rsidRPr="003329B0" w:rsidRDefault="00F555E6" w:rsidP="003329B0">
      <w:pPr>
        <w:pStyle w:val="Heading1"/>
      </w:pPr>
      <w:bookmarkStart w:id="143" w:name="_Toc100168878"/>
      <w:bookmarkStart w:id="144" w:name="_Toc135390600"/>
      <w:r w:rsidRPr="003329B0">
        <w:lastRenderedPageBreak/>
        <w:t>LARGE-SCALE Transmission</w:t>
      </w:r>
      <w:bookmarkEnd w:id="143"/>
      <w:bookmarkEnd w:id="144"/>
    </w:p>
    <w:p w14:paraId="0917F915" w14:textId="3D190219" w:rsidR="00F555E6" w:rsidRDefault="00F555E6" w:rsidP="00F555E6">
      <w:pPr>
        <w:rPr>
          <w:rFonts w:eastAsia="Arial" w:cs="Arial"/>
        </w:rPr>
      </w:pPr>
      <w:r>
        <w:rPr>
          <w:rStyle w:val="gmail-s1"/>
          <w:rFonts w:cs="Arial"/>
        </w:rPr>
        <w:t xml:space="preserve">In </w:t>
      </w:r>
      <w:r w:rsidRPr="006F3C79">
        <w:rPr>
          <w:rStyle w:val="gmail-s1"/>
          <w:rFonts w:cs="Arial"/>
        </w:rPr>
        <w:t>March 2021</w:t>
      </w:r>
      <w:r>
        <w:rPr>
          <w:rStyle w:val="gmail-s1"/>
          <w:rFonts w:cs="Arial"/>
        </w:rPr>
        <w:t xml:space="preserve">, </w:t>
      </w:r>
      <w:r w:rsidRPr="006F3C79">
        <w:rPr>
          <w:rStyle w:val="gmail-s1"/>
          <w:rFonts w:cs="Arial"/>
        </w:rPr>
        <w:t xml:space="preserve">the </w:t>
      </w:r>
      <w:r w:rsidR="00701C5D">
        <w:rPr>
          <w:rStyle w:val="gmail-s1"/>
          <w:rFonts w:cs="Arial"/>
        </w:rPr>
        <w:t>Australian Government</w:t>
      </w:r>
      <w:r w:rsidRPr="006F3C79">
        <w:rPr>
          <w:rStyle w:val="gmail-s1"/>
          <w:rFonts w:cs="Arial"/>
        </w:rPr>
        <w:t xml:space="preserve"> announced the expansion of </w:t>
      </w:r>
      <w:r>
        <w:rPr>
          <w:rStyle w:val="gmail-s1"/>
          <w:rFonts w:cs="Arial"/>
        </w:rPr>
        <w:t>our</w:t>
      </w:r>
      <w:r w:rsidRPr="006F3C79">
        <w:rPr>
          <w:rStyle w:val="gmail-s1"/>
          <w:rFonts w:cs="Arial"/>
        </w:rPr>
        <w:t xml:space="preserve"> role to include new </w:t>
      </w:r>
      <w:r>
        <w:rPr>
          <w:rStyle w:val="gmail-s1"/>
          <w:rFonts w:cs="Arial"/>
        </w:rPr>
        <w:t>major</w:t>
      </w:r>
      <w:r w:rsidRPr="006F3C79">
        <w:rPr>
          <w:rStyle w:val="gmail-s1"/>
          <w:rFonts w:cs="Arial"/>
        </w:rPr>
        <w:t xml:space="preserve"> transmission projects, </w:t>
      </w:r>
      <w:r>
        <w:rPr>
          <w:rStyle w:val="gmail-s1"/>
          <w:rFonts w:cs="Arial"/>
        </w:rPr>
        <w:t xml:space="preserve">which includes large-scale projects </w:t>
      </w:r>
      <w:r w:rsidRPr="006F3C79">
        <w:rPr>
          <w:rStyle w:val="gmail-s1"/>
          <w:rFonts w:cs="Arial"/>
        </w:rPr>
        <w:t>such as HumeLink (NSW), Project EnergyConnect (SA-NSW), Marinus Link (Tas-Vic)</w:t>
      </w:r>
      <w:r w:rsidR="00A5136C">
        <w:rPr>
          <w:rStyle w:val="gmail-s1"/>
          <w:rFonts w:cs="Arial"/>
        </w:rPr>
        <w:t>, VNI West</w:t>
      </w:r>
      <w:r w:rsidR="00DE5696">
        <w:rPr>
          <w:rStyle w:val="gmail-s1"/>
          <w:rFonts w:cs="Arial"/>
        </w:rPr>
        <w:t xml:space="preserve"> (NSW to VIC new interconnector)</w:t>
      </w:r>
      <w:r w:rsidRPr="006F3C79">
        <w:rPr>
          <w:rStyle w:val="gmail-s1"/>
          <w:rFonts w:cs="Arial"/>
        </w:rPr>
        <w:t xml:space="preserve"> and the Western </w:t>
      </w:r>
      <w:r w:rsidR="009B607F">
        <w:rPr>
          <w:rStyle w:val="gmail-s1"/>
          <w:rFonts w:cs="Arial"/>
        </w:rPr>
        <w:t>Renewables Link</w:t>
      </w:r>
      <w:r w:rsidR="00DF763E">
        <w:rPr>
          <w:rStyle w:val="gmail-s1"/>
          <w:rFonts w:cs="Arial"/>
        </w:rPr>
        <w:t xml:space="preserve"> </w:t>
      </w:r>
      <w:r w:rsidRPr="006F3C79">
        <w:rPr>
          <w:rStyle w:val="gmail-s1"/>
          <w:rFonts w:cs="Arial"/>
        </w:rPr>
        <w:t>(Vic)</w:t>
      </w:r>
      <w:r>
        <w:rPr>
          <w:rStyle w:val="gmail-s1"/>
          <w:rFonts w:cs="Arial"/>
        </w:rPr>
        <w:t>. Since this announcement</w:t>
      </w:r>
      <w:r w:rsidR="00982A59">
        <w:rPr>
          <w:rStyle w:val="gmail-s1"/>
          <w:rFonts w:cs="Arial"/>
        </w:rPr>
        <w:t xml:space="preserve"> was made</w:t>
      </w:r>
      <w:r>
        <w:rPr>
          <w:rStyle w:val="gmail-s1"/>
          <w:rFonts w:cs="Arial"/>
        </w:rPr>
        <w:t xml:space="preserve">, the Office has received and handled a large number of new cases and has </w:t>
      </w:r>
      <w:r w:rsidRPr="00A2608F">
        <w:rPr>
          <w:rFonts w:eastAsia="Arial" w:cs="Arial"/>
        </w:rPr>
        <w:t xml:space="preserve">worked </w:t>
      </w:r>
      <w:r>
        <w:rPr>
          <w:rFonts w:eastAsia="Arial" w:cs="Arial"/>
        </w:rPr>
        <w:t xml:space="preserve">closely </w:t>
      </w:r>
      <w:r w:rsidRPr="00A2608F">
        <w:rPr>
          <w:rFonts w:eastAsia="Arial" w:cs="Arial"/>
        </w:rPr>
        <w:t xml:space="preserve">with industry and government on a range of </w:t>
      </w:r>
      <w:r>
        <w:rPr>
          <w:rFonts w:eastAsia="Arial" w:cs="Arial"/>
        </w:rPr>
        <w:t>activities.</w:t>
      </w:r>
    </w:p>
    <w:p w14:paraId="04CC9DED" w14:textId="77777777" w:rsidR="00F379E5" w:rsidRPr="003329B0" w:rsidRDefault="00F379E5" w:rsidP="003329B0">
      <w:pPr>
        <w:pStyle w:val="Heading2"/>
        <w:rPr>
          <w:i/>
          <w:iCs/>
        </w:rPr>
      </w:pPr>
      <w:bookmarkStart w:id="145" w:name="_Toc135390601"/>
      <w:r w:rsidRPr="003329B0">
        <w:rPr>
          <w:i/>
          <w:iCs/>
        </w:rPr>
        <w:t>Initial observations</w:t>
      </w:r>
      <w:bookmarkEnd w:id="145"/>
    </w:p>
    <w:p w14:paraId="38D335C9" w14:textId="77777777" w:rsidR="00F379E5" w:rsidRDefault="00F379E5" w:rsidP="00F379E5">
      <w:pPr>
        <w:spacing w:line="264" w:lineRule="auto"/>
      </w:pPr>
      <w:r>
        <w:t>The energy transition, as proposed in AEMO’s draft 2022 Integrated System Plan, together with various other state policies, requires a number of significant new transmission projects to be designed, developed, built, operated and maintained. Our Office has made several initial observations in relation to potential systemic issues and challenges regarding the design, development and deployment of large-scale transmission lines.</w:t>
      </w:r>
    </w:p>
    <w:p w14:paraId="19C32BB3" w14:textId="23C92DB5" w:rsidR="00F379E5" w:rsidRPr="00FA7E14" w:rsidRDefault="00F379E5" w:rsidP="00F379E5">
      <w:pPr>
        <w:spacing w:line="264" w:lineRule="auto"/>
      </w:pPr>
      <w:r>
        <w:t xml:space="preserve">Some of these </w:t>
      </w:r>
      <w:r w:rsidR="00ED2FA7">
        <w:t xml:space="preserve">key </w:t>
      </w:r>
      <w:r>
        <w:rPr>
          <w:rFonts w:cs="Arial"/>
          <w:lang w:eastAsia="en-AU"/>
        </w:rPr>
        <w:t>observations include</w:t>
      </w:r>
      <w:r w:rsidR="00D56399">
        <w:rPr>
          <w:rFonts w:cs="Arial"/>
          <w:lang w:eastAsia="en-AU"/>
        </w:rPr>
        <w:t>d</w:t>
      </w:r>
      <w:r>
        <w:rPr>
          <w:rFonts w:cs="Arial"/>
          <w:lang w:eastAsia="en-AU"/>
        </w:rPr>
        <w:t>:</w:t>
      </w:r>
    </w:p>
    <w:p w14:paraId="6F703709" w14:textId="77777777" w:rsidR="00F379E5" w:rsidRPr="00E346EA" w:rsidRDefault="00F379E5" w:rsidP="00F379E5">
      <w:pPr>
        <w:pStyle w:val="ListParagraph"/>
        <w:numPr>
          <w:ilvl w:val="0"/>
          <w:numId w:val="27"/>
        </w:numPr>
        <w:spacing w:line="264" w:lineRule="auto"/>
        <w:ind w:left="714" w:right="357" w:hanging="357"/>
        <w:textAlignment w:val="baseline"/>
        <w:rPr>
          <w:rFonts w:eastAsia="Arial"/>
          <w:color w:val="000000"/>
        </w:rPr>
      </w:pPr>
      <w:r>
        <w:rPr>
          <w:rFonts w:eastAsia="Arial"/>
          <w:color w:val="000000"/>
        </w:rPr>
        <w:t>I</w:t>
      </w:r>
      <w:r w:rsidRPr="00E346EA">
        <w:rPr>
          <w:rFonts w:eastAsia="Arial"/>
          <w:color w:val="000000"/>
        </w:rPr>
        <w:t xml:space="preserve">t has been several decades since </w:t>
      </w:r>
      <w:r>
        <w:rPr>
          <w:rFonts w:eastAsia="Arial"/>
          <w:color w:val="000000"/>
        </w:rPr>
        <w:t xml:space="preserve">new, long-distance, large-scale </w:t>
      </w:r>
      <w:r w:rsidRPr="00E346EA">
        <w:rPr>
          <w:rFonts w:eastAsia="Arial"/>
          <w:color w:val="000000"/>
        </w:rPr>
        <w:t xml:space="preserve">transmission projects have been </w:t>
      </w:r>
      <w:r>
        <w:rPr>
          <w:rFonts w:eastAsia="Arial"/>
          <w:color w:val="000000"/>
        </w:rPr>
        <w:t>planned and deployed</w:t>
      </w:r>
      <w:r w:rsidRPr="00E346EA">
        <w:rPr>
          <w:rFonts w:eastAsia="Arial"/>
          <w:color w:val="000000"/>
        </w:rPr>
        <w:t xml:space="preserve">. </w:t>
      </w:r>
      <w:r>
        <w:rPr>
          <w:rFonts w:eastAsia="Arial"/>
          <w:color w:val="000000"/>
        </w:rPr>
        <w:t>I</w:t>
      </w:r>
      <w:r w:rsidRPr="00E346EA">
        <w:rPr>
          <w:rFonts w:eastAsia="Arial"/>
          <w:color w:val="000000"/>
        </w:rPr>
        <w:t xml:space="preserve">ndustry </w:t>
      </w:r>
      <w:r>
        <w:rPr>
          <w:rFonts w:eastAsia="Arial"/>
          <w:color w:val="000000"/>
        </w:rPr>
        <w:t xml:space="preserve">(and regulators) </w:t>
      </w:r>
      <w:r w:rsidRPr="00E346EA">
        <w:rPr>
          <w:rFonts w:eastAsia="Arial"/>
          <w:color w:val="000000"/>
        </w:rPr>
        <w:t xml:space="preserve">will likely have a steep learning curve </w:t>
      </w:r>
      <w:r>
        <w:rPr>
          <w:rFonts w:eastAsia="Arial"/>
          <w:color w:val="000000"/>
        </w:rPr>
        <w:t>as well</w:t>
      </w:r>
      <w:r w:rsidRPr="00E346EA">
        <w:rPr>
          <w:rFonts w:eastAsia="Arial"/>
          <w:color w:val="000000"/>
        </w:rPr>
        <w:t xml:space="preserve"> </w:t>
      </w:r>
      <w:r>
        <w:rPr>
          <w:rFonts w:eastAsia="Arial"/>
          <w:color w:val="000000"/>
        </w:rPr>
        <w:t>as challenges in regaining and retaining</w:t>
      </w:r>
      <w:r w:rsidRPr="00E346EA">
        <w:rPr>
          <w:rFonts w:eastAsia="Arial"/>
          <w:color w:val="000000"/>
        </w:rPr>
        <w:t xml:space="preserve"> the appropriate skills and expertise,</w:t>
      </w:r>
      <w:r>
        <w:rPr>
          <w:rFonts w:eastAsia="Arial"/>
          <w:color w:val="000000"/>
        </w:rPr>
        <w:t xml:space="preserve"> including skills related to communit</w:t>
      </w:r>
      <w:r w:rsidRPr="00E346EA">
        <w:rPr>
          <w:rFonts w:eastAsia="Arial"/>
          <w:color w:val="000000"/>
        </w:rPr>
        <w:t xml:space="preserve">y and landholder </w:t>
      </w:r>
      <w:r w:rsidRPr="00E346EA">
        <w:rPr>
          <w:rFonts w:eastAsia="Arial"/>
          <w:color w:val="000000"/>
          <w:spacing w:val="-2"/>
        </w:rPr>
        <w:t>engagement.</w:t>
      </w:r>
      <w:r>
        <w:rPr>
          <w:rFonts w:eastAsia="Arial"/>
          <w:color w:val="000000"/>
          <w:spacing w:val="-2"/>
        </w:rPr>
        <w:t xml:space="preserve"> </w:t>
      </w:r>
    </w:p>
    <w:p w14:paraId="3EFC3946" w14:textId="77777777" w:rsidR="00F379E5" w:rsidRPr="00C24D9E" w:rsidRDefault="00F379E5" w:rsidP="00F379E5">
      <w:pPr>
        <w:numPr>
          <w:ilvl w:val="0"/>
          <w:numId w:val="27"/>
        </w:numPr>
        <w:tabs>
          <w:tab w:val="left" w:pos="792"/>
        </w:tabs>
        <w:spacing w:line="264" w:lineRule="auto"/>
        <w:ind w:left="714" w:right="792" w:hanging="357"/>
        <w:textAlignment w:val="baseline"/>
        <w:rPr>
          <w:rFonts w:eastAsia="Arial"/>
          <w:color w:val="000000"/>
        </w:rPr>
      </w:pPr>
      <w:r>
        <w:rPr>
          <w:rFonts w:eastAsia="Arial"/>
          <w:color w:val="000000"/>
        </w:rPr>
        <w:t xml:space="preserve">There will be a need for clearly visible leadership </w:t>
      </w:r>
      <w:r w:rsidRPr="00E32755">
        <w:rPr>
          <w:rFonts w:eastAsia="Arial"/>
          <w:color w:val="000000"/>
        </w:rPr>
        <w:t xml:space="preserve">and ownership of </w:t>
      </w:r>
      <w:r>
        <w:rPr>
          <w:rFonts w:eastAsia="Arial"/>
          <w:color w:val="000000"/>
        </w:rPr>
        <w:t xml:space="preserve">these major projects to enable achieving agreed </w:t>
      </w:r>
      <w:r w:rsidRPr="00E32755">
        <w:rPr>
          <w:rFonts w:eastAsia="Arial"/>
          <w:color w:val="000000"/>
        </w:rPr>
        <w:t>project outcomes</w:t>
      </w:r>
      <w:r>
        <w:rPr>
          <w:rFonts w:eastAsia="Arial"/>
          <w:color w:val="000000"/>
        </w:rPr>
        <w:t>,</w:t>
      </w:r>
      <w:r w:rsidRPr="00E32755">
        <w:rPr>
          <w:rFonts w:eastAsia="Arial"/>
          <w:color w:val="000000"/>
        </w:rPr>
        <w:t xml:space="preserve"> </w:t>
      </w:r>
      <w:r>
        <w:rPr>
          <w:rFonts w:eastAsia="Arial"/>
          <w:color w:val="000000"/>
        </w:rPr>
        <w:t xml:space="preserve">delivering on the </w:t>
      </w:r>
      <w:r w:rsidRPr="00E32755">
        <w:rPr>
          <w:rFonts w:eastAsia="Arial"/>
          <w:color w:val="000000"/>
        </w:rPr>
        <w:t>business case</w:t>
      </w:r>
      <w:r>
        <w:rPr>
          <w:rFonts w:eastAsia="Arial"/>
          <w:color w:val="000000"/>
        </w:rPr>
        <w:t xml:space="preserve"> and ensuring ongoing clarity about the problem(s) to be solved by the project.</w:t>
      </w:r>
    </w:p>
    <w:p w14:paraId="6D2E0692" w14:textId="77777777" w:rsidR="00F379E5" w:rsidRPr="00C24D9E" w:rsidRDefault="00F379E5" w:rsidP="00F379E5">
      <w:pPr>
        <w:numPr>
          <w:ilvl w:val="0"/>
          <w:numId w:val="27"/>
        </w:numPr>
        <w:tabs>
          <w:tab w:val="left" w:pos="792"/>
        </w:tabs>
        <w:spacing w:line="264" w:lineRule="auto"/>
        <w:ind w:left="714" w:hanging="357"/>
        <w:textAlignment w:val="baseline"/>
        <w:rPr>
          <w:rFonts w:eastAsia="Arial"/>
          <w:color w:val="000000"/>
        </w:rPr>
      </w:pPr>
      <w:r>
        <w:rPr>
          <w:rFonts w:eastAsia="Arial"/>
          <w:color w:val="000000"/>
        </w:rPr>
        <w:t>In addition, there will need to be an appropriate, effective executive level governance of projects, including representation from major stakeholders, with material project decisions elevated to the executive.</w:t>
      </w:r>
    </w:p>
    <w:p w14:paraId="19BF0E92" w14:textId="77777777" w:rsidR="00F379E5" w:rsidRPr="00C24D9E" w:rsidRDefault="00F379E5" w:rsidP="00F379E5">
      <w:pPr>
        <w:numPr>
          <w:ilvl w:val="0"/>
          <w:numId w:val="27"/>
        </w:numPr>
        <w:tabs>
          <w:tab w:val="left" w:pos="792"/>
        </w:tabs>
        <w:spacing w:line="264" w:lineRule="auto"/>
        <w:ind w:left="714" w:hanging="357"/>
        <w:textAlignment w:val="baseline"/>
        <w:rPr>
          <w:rFonts w:eastAsia="Arial"/>
          <w:color w:val="000000"/>
        </w:rPr>
      </w:pPr>
      <w:r>
        <w:rPr>
          <w:rFonts w:eastAsia="Arial"/>
          <w:color w:val="000000"/>
        </w:rPr>
        <w:t>There should be careful consideration of d</w:t>
      </w:r>
      <w:r w:rsidRPr="00C24D9E">
        <w:rPr>
          <w:rFonts w:eastAsia="Arial"/>
          <w:color w:val="000000"/>
        </w:rPr>
        <w:t>esign</w:t>
      </w:r>
      <w:r>
        <w:rPr>
          <w:rFonts w:eastAsia="Arial"/>
          <w:color w:val="000000"/>
        </w:rPr>
        <w:t xml:space="preserve"> and route</w:t>
      </w:r>
      <w:r w:rsidRPr="00C24D9E">
        <w:rPr>
          <w:rFonts w:eastAsia="Arial"/>
          <w:color w:val="000000"/>
        </w:rPr>
        <w:t xml:space="preserve"> implications </w:t>
      </w:r>
      <w:r>
        <w:rPr>
          <w:rFonts w:eastAsia="Arial"/>
          <w:color w:val="000000"/>
        </w:rPr>
        <w:t xml:space="preserve">resulting from </w:t>
      </w:r>
      <w:r w:rsidRPr="00C24D9E">
        <w:rPr>
          <w:rFonts w:eastAsia="Arial"/>
          <w:color w:val="000000"/>
        </w:rPr>
        <w:t xml:space="preserve">technology </w:t>
      </w:r>
      <w:r>
        <w:rPr>
          <w:rFonts w:eastAsia="Arial"/>
          <w:color w:val="000000"/>
        </w:rPr>
        <w:t xml:space="preserve">choices to deliver the project. Emerging and maturing technologies, such as underground cable options and large-scale storage solutions, may have a material impact and benefit in reducing the impact of the overall project on landholders and community. </w:t>
      </w:r>
    </w:p>
    <w:p w14:paraId="519EB082" w14:textId="77777777" w:rsidR="00F379E5" w:rsidRPr="00E32755" w:rsidRDefault="00F379E5" w:rsidP="00F379E5">
      <w:pPr>
        <w:numPr>
          <w:ilvl w:val="0"/>
          <w:numId w:val="27"/>
        </w:numPr>
        <w:tabs>
          <w:tab w:val="left" w:pos="792"/>
        </w:tabs>
        <w:spacing w:line="264" w:lineRule="auto"/>
        <w:ind w:left="714" w:right="-1" w:hanging="357"/>
        <w:textAlignment w:val="baseline"/>
        <w:rPr>
          <w:rFonts w:eastAsia="Arial"/>
          <w:color w:val="000000"/>
          <w:spacing w:val="-1"/>
        </w:rPr>
      </w:pPr>
      <w:r>
        <w:rPr>
          <w:rFonts w:eastAsia="Arial"/>
          <w:color w:val="000000"/>
          <w:spacing w:val="-1"/>
        </w:rPr>
        <w:t>There is a n</w:t>
      </w:r>
      <w:r w:rsidRPr="00E32755">
        <w:rPr>
          <w:rFonts w:eastAsia="Arial"/>
          <w:color w:val="000000"/>
          <w:spacing w:val="-1"/>
        </w:rPr>
        <w:t xml:space="preserve">eed for </w:t>
      </w:r>
      <w:r>
        <w:rPr>
          <w:rFonts w:eastAsia="Arial"/>
          <w:color w:val="000000"/>
          <w:spacing w:val="-1"/>
        </w:rPr>
        <w:t xml:space="preserve">updated contemporary </w:t>
      </w:r>
      <w:r w:rsidRPr="00E32755">
        <w:rPr>
          <w:rFonts w:eastAsia="Arial"/>
          <w:color w:val="000000"/>
          <w:spacing w:val="-1"/>
        </w:rPr>
        <w:t xml:space="preserve">planning </w:t>
      </w:r>
      <w:r>
        <w:rPr>
          <w:rFonts w:eastAsia="Arial"/>
          <w:color w:val="000000"/>
          <w:spacing w:val="-1"/>
        </w:rPr>
        <w:t xml:space="preserve">processes and </w:t>
      </w:r>
      <w:r w:rsidRPr="00E32755">
        <w:rPr>
          <w:rFonts w:eastAsia="Arial"/>
          <w:color w:val="000000"/>
          <w:spacing w:val="-1"/>
        </w:rPr>
        <w:t xml:space="preserve">guidelines </w:t>
      </w:r>
      <w:r>
        <w:rPr>
          <w:rFonts w:eastAsia="Arial"/>
          <w:color w:val="000000"/>
          <w:spacing w:val="-1"/>
        </w:rPr>
        <w:t>to assist with the design and assessment of projects. Guidelines need to consider a range of parameters – as an example</w:t>
      </w:r>
      <w:r w:rsidRPr="00E32755">
        <w:rPr>
          <w:rFonts w:eastAsia="Arial"/>
          <w:color w:val="000000"/>
          <w:spacing w:val="-1"/>
        </w:rPr>
        <w:t xml:space="preserve">, minimum setback distances </w:t>
      </w:r>
      <w:r>
        <w:rPr>
          <w:rFonts w:eastAsia="Arial"/>
          <w:color w:val="000000"/>
          <w:spacing w:val="-1"/>
        </w:rPr>
        <w:t xml:space="preserve">for above ground transmission lines and towers </w:t>
      </w:r>
      <w:r w:rsidRPr="00E32755">
        <w:rPr>
          <w:rFonts w:eastAsia="Arial"/>
          <w:color w:val="000000"/>
          <w:spacing w:val="-1"/>
        </w:rPr>
        <w:t xml:space="preserve">from </w:t>
      </w:r>
      <w:r>
        <w:rPr>
          <w:rFonts w:eastAsia="Arial"/>
          <w:color w:val="000000"/>
          <w:spacing w:val="-1"/>
        </w:rPr>
        <w:t>residences</w:t>
      </w:r>
      <w:r w:rsidRPr="00E32755">
        <w:rPr>
          <w:rFonts w:eastAsia="Arial"/>
          <w:color w:val="000000"/>
          <w:spacing w:val="-1"/>
        </w:rPr>
        <w:t xml:space="preserve">, </w:t>
      </w:r>
      <w:r>
        <w:rPr>
          <w:rFonts w:eastAsia="Arial"/>
          <w:color w:val="000000"/>
          <w:spacing w:val="-1"/>
        </w:rPr>
        <w:t xml:space="preserve">property </w:t>
      </w:r>
      <w:r w:rsidRPr="00E32755">
        <w:rPr>
          <w:rFonts w:eastAsia="Arial"/>
          <w:color w:val="000000"/>
          <w:spacing w:val="-1"/>
        </w:rPr>
        <w:t>boundaries</w:t>
      </w:r>
      <w:r>
        <w:rPr>
          <w:rFonts w:eastAsia="Arial"/>
          <w:color w:val="000000"/>
          <w:spacing w:val="-1"/>
        </w:rPr>
        <w:t>, public facilities, state and national parks, airfields and runways,</w:t>
      </w:r>
      <w:r w:rsidRPr="00E32755">
        <w:rPr>
          <w:rFonts w:eastAsia="Arial"/>
          <w:color w:val="000000"/>
          <w:spacing w:val="-1"/>
        </w:rPr>
        <w:t xml:space="preserve"> and </w:t>
      </w:r>
      <w:r>
        <w:rPr>
          <w:rFonts w:eastAsia="Arial"/>
          <w:color w:val="000000"/>
          <w:spacing w:val="-1"/>
        </w:rPr>
        <w:t xml:space="preserve">public </w:t>
      </w:r>
      <w:r w:rsidRPr="00E32755">
        <w:rPr>
          <w:rFonts w:eastAsia="Arial"/>
          <w:color w:val="000000"/>
          <w:spacing w:val="-1"/>
        </w:rPr>
        <w:t>roads</w:t>
      </w:r>
      <w:r>
        <w:rPr>
          <w:rFonts w:eastAsia="Arial"/>
          <w:color w:val="000000"/>
          <w:spacing w:val="-1"/>
        </w:rPr>
        <w:t>.</w:t>
      </w:r>
    </w:p>
    <w:p w14:paraId="4FE65147" w14:textId="77777777" w:rsidR="00F379E5" w:rsidRPr="002B2C2A" w:rsidRDefault="00F379E5" w:rsidP="00F379E5">
      <w:pPr>
        <w:numPr>
          <w:ilvl w:val="0"/>
          <w:numId w:val="27"/>
        </w:numPr>
        <w:tabs>
          <w:tab w:val="left" w:pos="792"/>
        </w:tabs>
        <w:spacing w:line="264" w:lineRule="auto"/>
        <w:ind w:left="714" w:right="-1" w:hanging="357"/>
        <w:textAlignment w:val="baseline"/>
        <w:rPr>
          <w:rFonts w:eastAsia="Arial"/>
          <w:color w:val="000000"/>
          <w:spacing w:val="-2"/>
        </w:rPr>
      </w:pPr>
      <w:r>
        <w:t>Landholder cooperation is a vital element in enabling a smooth process through the various development stages of the project. It is important that sufficient time and funding is dedicated by industry proponents to developing effective working relationships with landholders in the initial stages of project investigation.</w:t>
      </w:r>
    </w:p>
    <w:p w14:paraId="51C8F9C4" w14:textId="77777777" w:rsidR="00F379E5" w:rsidRPr="00E346EA" w:rsidRDefault="00F379E5" w:rsidP="00F379E5">
      <w:pPr>
        <w:numPr>
          <w:ilvl w:val="0"/>
          <w:numId w:val="27"/>
        </w:numPr>
        <w:tabs>
          <w:tab w:val="left" w:pos="792"/>
        </w:tabs>
        <w:spacing w:line="264" w:lineRule="auto"/>
        <w:ind w:left="714" w:right="-1" w:hanging="357"/>
        <w:textAlignment w:val="baseline"/>
        <w:rPr>
          <w:rFonts w:eastAsia="Arial"/>
          <w:color w:val="000000"/>
          <w:spacing w:val="-2"/>
        </w:rPr>
      </w:pPr>
      <w:r>
        <w:rPr>
          <w:rFonts w:eastAsia="Arial"/>
          <w:color w:val="000000"/>
        </w:rPr>
        <w:t xml:space="preserve">The effectiveness of community and landholder engagement programs and their ability to adapt to the diversity of community and landholder circumstances </w:t>
      </w:r>
      <w:r w:rsidRPr="00E32755">
        <w:rPr>
          <w:rFonts w:eastAsia="Arial"/>
          <w:color w:val="000000"/>
          <w:spacing w:val="-2"/>
        </w:rPr>
        <w:t>along the length of the proposed transmission line</w:t>
      </w:r>
      <w:r>
        <w:rPr>
          <w:rFonts w:eastAsia="Arial"/>
          <w:color w:val="000000"/>
          <w:spacing w:val="-2"/>
        </w:rPr>
        <w:t xml:space="preserve"> is essential. Affected persons can include </w:t>
      </w:r>
      <w:r w:rsidRPr="00E32755">
        <w:rPr>
          <w:rFonts w:eastAsia="Arial"/>
          <w:color w:val="000000"/>
          <w:spacing w:val="-2"/>
        </w:rPr>
        <w:t xml:space="preserve">suburban home </w:t>
      </w:r>
      <w:r>
        <w:rPr>
          <w:rFonts w:eastAsia="Arial"/>
          <w:color w:val="000000"/>
          <w:spacing w:val="-2"/>
        </w:rPr>
        <w:t>residents, lifestyle property residents, hobby farmers, specialised breeders and primary producers through to broad-acre farming. Such diversity of impacted persons can also lead to a diverse array of community opposition groups to the project that have differing issues and objections to navigate.</w:t>
      </w:r>
    </w:p>
    <w:p w14:paraId="2622C067" w14:textId="77777777" w:rsidR="00F379E5" w:rsidRPr="00A03611" w:rsidRDefault="00F379E5" w:rsidP="00F379E5">
      <w:pPr>
        <w:numPr>
          <w:ilvl w:val="0"/>
          <w:numId w:val="27"/>
        </w:numPr>
        <w:tabs>
          <w:tab w:val="left" w:pos="792"/>
        </w:tabs>
        <w:spacing w:line="264" w:lineRule="auto"/>
        <w:ind w:left="714" w:right="-1" w:hanging="357"/>
        <w:textAlignment w:val="baseline"/>
        <w:rPr>
          <w:rFonts w:eastAsia="Arial"/>
        </w:rPr>
      </w:pPr>
      <w:r>
        <w:rPr>
          <w:rFonts w:eastAsia="Arial"/>
          <w:color w:val="000000"/>
        </w:rPr>
        <w:t>There may be u</w:t>
      </w:r>
      <w:r w:rsidRPr="00E32755">
        <w:rPr>
          <w:rFonts w:eastAsia="Arial"/>
          <w:color w:val="000000"/>
        </w:rPr>
        <w:t>nintended consequences</w:t>
      </w:r>
      <w:r>
        <w:rPr>
          <w:rFonts w:eastAsia="Arial"/>
          <w:color w:val="000000"/>
        </w:rPr>
        <w:t>, resulting in widespread project opposition from numerous landholders and communities, due to the current ‘</w:t>
      </w:r>
      <w:r w:rsidRPr="00E32755">
        <w:rPr>
          <w:rFonts w:eastAsia="Arial"/>
          <w:color w:val="000000"/>
        </w:rPr>
        <w:t>multi-corridor approach</w:t>
      </w:r>
      <w:r>
        <w:rPr>
          <w:rFonts w:eastAsia="Arial"/>
          <w:color w:val="000000"/>
        </w:rPr>
        <w:t xml:space="preserve">’ to route selection and </w:t>
      </w:r>
      <w:r>
        <w:rPr>
          <w:rFonts w:eastAsia="Arial"/>
          <w:color w:val="000000"/>
        </w:rPr>
        <w:lastRenderedPageBreak/>
        <w:t xml:space="preserve">community consultation being used </w:t>
      </w:r>
      <w:r w:rsidRPr="00A03611">
        <w:rPr>
          <w:rFonts w:eastAsia="Arial"/>
        </w:rPr>
        <w:t>to select a final proposed transmission line route.</w:t>
      </w:r>
      <w:r>
        <w:rPr>
          <w:rFonts w:eastAsia="Arial"/>
        </w:rPr>
        <w:t xml:space="preserve"> An alternative approach may be to internally determine the preferred route corridor and then fully engage the community and landholders, taking on board feedback and insights to fine tune the actual final route. </w:t>
      </w:r>
    </w:p>
    <w:p w14:paraId="1E3BEDFC" w14:textId="5565FA53" w:rsidR="00F379E5" w:rsidRPr="00C24D9E" w:rsidRDefault="00F379E5" w:rsidP="00F379E5">
      <w:pPr>
        <w:numPr>
          <w:ilvl w:val="0"/>
          <w:numId w:val="27"/>
        </w:numPr>
        <w:tabs>
          <w:tab w:val="left" w:pos="792"/>
        </w:tabs>
        <w:spacing w:line="264" w:lineRule="auto"/>
        <w:ind w:left="714" w:hanging="357"/>
        <w:textAlignment w:val="baseline"/>
        <w:rPr>
          <w:rFonts w:eastAsia="Arial"/>
          <w:color w:val="000000"/>
        </w:rPr>
      </w:pPr>
      <w:r>
        <w:rPr>
          <w:rFonts w:eastAsia="Arial"/>
          <w:color w:val="000000"/>
        </w:rPr>
        <w:t>Current c</w:t>
      </w:r>
      <w:r w:rsidRPr="00C24D9E">
        <w:rPr>
          <w:rFonts w:eastAsia="Arial"/>
          <w:color w:val="000000"/>
        </w:rPr>
        <w:t>ompensation arrangements for landholders</w:t>
      </w:r>
      <w:r>
        <w:rPr>
          <w:rFonts w:eastAsia="Arial"/>
          <w:color w:val="000000"/>
        </w:rPr>
        <w:t xml:space="preserve"> hosting transmission and related infrastructure may be perceived </w:t>
      </w:r>
      <w:r w:rsidR="00DC7CEA">
        <w:rPr>
          <w:rFonts w:eastAsia="Arial"/>
          <w:color w:val="000000"/>
        </w:rPr>
        <w:t xml:space="preserve">to </w:t>
      </w:r>
      <w:r>
        <w:rPr>
          <w:rFonts w:eastAsia="Arial"/>
          <w:color w:val="000000"/>
        </w:rPr>
        <w:t>be inequitable when compared with landholder arrangements for hosting wind farms and solar farms, which could affect the success rate of negotiated agreements for hosting transmission lines and harm the ability to engender good will.</w:t>
      </w:r>
    </w:p>
    <w:p w14:paraId="7C25A9B8" w14:textId="77777777" w:rsidR="00F379E5" w:rsidRPr="00311F5F" w:rsidRDefault="00F379E5" w:rsidP="00F379E5">
      <w:pPr>
        <w:numPr>
          <w:ilvl w:val="0"/>
          <w:numId w:val="27"/>
        </w:numPr>
        <w:tabs>
          <w:tab w:val="left" w:pos="792"/>
        </w:tabs>
        <w:spacing w:line="264" w:lineRule="auto"/>
        <w:ind w:left="714" w:hanging="357"/>
        <w:textAlignment w:val="baseline"/>
        <w:rPr>
          <w:rFonts w:eastAsia="Arial"/>
          <w:color w:val="000000"/>
          <w:spacing w:val="-2"/>
        </w:rPr>
      </w:pPr>
      <w:r>
        <w:rPr>
          <w:rFonts w:eastAsia="Arial"/>
          <w:color w:val="000000"/>
        </w:rPr>
        <w:t>The need for clear and consistent protocols for working with landholders, such as land access protocols that must be followed by proponents when accessing landowner properties for surveys/investigations, the process to negotiate and obtain easements from landholders, through to publishing consistent guidelines that clarify what activities a landholder can and cannot do near or within a transmission line eas</w:t>
      </w:r>
      <w:r>
        <w:rPr>
          <w:rFonts w:eastAsia="Arial" w:cs="Arial"/>
          <w:color w:val="000000"/>
        </w:rPr>
        <w:t>ement.</w:t>
      </w:r>
    </w:p>
    <w:p w14:paraId="4BECFB7E" w14:textId="42B1FAF1" w:rsidR="00F379E5" w:rsidRDefault="00F379E5" w:rsidP="00F379E5">
      <w:pPr>
        <w:numPr>
          <w:ilvl w:val="0"/>
          <w:numId w:val="27"/>
        </w:numPr>
        <w:tabs>
          <w:tab w:val="left" w:pos="792"/>
        </w:tabs>
        <w:spacing w:line="264" w:lineRule="auto"/>
        <w:ind w:left="714" w:right="-1" w:hanging="357"/>
        <w:textAlignment w:val="baseline"/>
        <w:rPr>
          <w:rFonts w:eastAsia="Arial"/>
          <w:color w:val="000000"/>
          <w:spacing w:val="-2"/>
        </w:rPr>
      </w:pPr>
      <w:r>
        <w:rPr>
          <w:rFonts w:eastAsia="Arial"/>
          <w:color w:val="000000"/>
          <w:spacing w:val="-2"/>
        </w:rPr>
        <w:t xml:space="preserve">Other key issues of concern that have been raised </w:t>
      </w:r>
      <w:r w:rsidR="00DC7CEA">
        <w:rPr>
          <w:rFonts w:eastAsia="Arial"/>
          <w:color w:val="000000"/>
          <w:spacing w:val="-2"/>
        </w:rPr>
        <w:t xml:space="preserve">by </w:t>
      </w:r>
      <w:r>
        <w:rPr>
          <w:rFonts w:eastAsia="Arial"/>
          <w:color w:val="000000"/>
          <w:spacing w:val="-2"/>
        </w:rPr>
        <w:t>community members and landholders include:</w:t>
      </w:r>
    </w:p>
    <w:p w14:paraId="5D78F028" w14:textId="77777777" w:rsidR="00F379E5" w:rsidRPr="001D7FFB" w:rsidRDefault="00F379E5" w:rsidP="00F379E5">
      <w:pPr>
        <w:numPr>
          <w:ilvl w:val="1"/>
          <w:numId w:val="27"/>
        </w:numPr>
        <w:tabs>
          <w:tab w:val="left" w:pos="792"/>
        </w:tabs>
        <w:spacing w:line="264" w:lineRule="auto"/>
        <w:ind w:right="-1"/>
        <w:textAlignment w:val="baseline"/>
        <w:rPr>
          <w:rFonts w:eastAsia="Arial"/>
          <w:color w:val="000000"/>
        </w:rPr>
      </w:pPr>
      <w:r w:rsidRPr="001D7FFB">
        <w:rPr>
          <w:rFonts w:eastAsia="Arial"/>
          <w:color w:val="000000"/>
          <w:spacing w:val="-2"/>
        </w:rPr>
        <w:t>effectiveness, or otherwise, of current community/landholder engagement programs</w:t>
      </w:r>
      <w:r>
        <w:rPr>
          <w:rFonts w:eastAsia="Arial"/>
          <w:color w:val="000000"/>
          <w:spacing w:val="-2"/>
        </w:rPr>
        <w:t>, including skills and abilities of landholder liaison personnel</w:t>
      </w:r>
    </w:p>
    <w:p w14:paraId="03A21124" w14:textId="77777777" w:rsidR="00F379E5" w:rsidRPr="001D7FFB" w:rsidRDefault="00F379E5" w:rsidP="00F379E5">
      <w:pPr>
        <w:numPr>
          <w:ilvl w:val="1"/>
          <w:numId w:val="27"/>
        </w:numPr>
        <w:tabs>
          <w:tab w:val="left" w:pos="792"/>
        </w:tabs>
        <w:spacing w:line="264" w:lineRule="auto"/>
        <w:ind w:right="-1"/>
        <w:textAlignment w:val="baseline"/>
        <w:rPr>
          <w:rFonts w:eastAsia="Arial"/>
          <w:color w:val="000000"/>
        </w:rPr>
      </w:pPr>
      <w:r w:rsidRPr="001D7FFB">
        <w:rPr>
          <w:rFonts w:eastAsia="Arial"/>
          <w:color w:val="000000"/>
        </w:rPr>
        <w:t>perceived potential for increased bushfire risk and decreased fire</w:t>
      </w:r>
      <w:r w:rsidRPr="001D7FFB">
        <w:rPr>
          <w:rFonts w:eastAsia="Arial"/>
          <w:color w:val="000000"/>
        </w:rPr>
        <w:softHyphen/>
        <w:t>fighting capability</w:t>
      </w:r>
      <w:r>
        <w:rPr>
          <w:rFonts w:eastAsia="Arial"/>
          <w:color w:val="000000"/>
        </w:rPr>
        <w:t xml:space="preserve"> due to the presence of above ground transmission assets</w:t>
      </w:r>
    </w:p>
    <w:p w14:paraId="7B78470D" w14:textId="77777777" w:rsidR="00F379E5" w:rsidRDefault="00F379E5" w:rsidP="00F379E5">
      <w:pPr>
        <w:numPr>
          <w:ilvl w:val="1"/>
          <w:numId w:val="27"/>
        </w:numPr>
        <w:tabs>
          <w:tab w:val="left" w:pos="792"/>
        </w:tabs>
        <w:spacing w:line="264" w:lineRule="auto"/>
        <w:ind w:right="-1"/>
        <w:textAlignment w:val="baseline"/>
        <w:rPr>
          <w:rFonts w:eastAsia="Arial"/>
          <w:color w:val="000000"/>
          <w:spacing w:val="-1"/>
        </w:rPr>
      </w:pPr>
      <w:r>
        <w:rPr>
          <w:rFonts w:eastAsia="Arial"/>
          <w:color w:val="000000"/>
          <w:spacing w:val="-1"/>
        </w:rPr>
        <w:t>i</w:t>
      </w:r>
      <w:r w:rsidRPr="00C24D9E">
        <w:rPr>
          <w:rFonts w:eastAsia="Arial"/>
          <w:color w:val="000000"/>
          <w:spacing w:val="-1"/>
        </w:rPr>
        <w:t xml:space="preserve">mpacts </w:t>
      </w:r>
      <w:r>
        <w:rPr>
          <w:rFonts w:eastAsia="Arial"/>
          <w:color w:val="000000"/>
          <w:spacing w:val="-1"/>
        </w:rPr>
        <w:t xml:space="preserve">of the transmission lines </w:t>
      </w:r>
      <w:r w:rsidRPr="00C24D9E">
        <w:rPr>
          <w:rFonts w:eastAsia="Arial"/>
          <w:color w:val="000000"/>
          <w:spacing w:val="-1"/>
        </w:rPr>
        <w:t>to visual amenity</w:t>
      </w:r>
      <w:r>
        <w:rPr>
          <w:rFonts w:eastAsia="Arial"/>
          <w:color w:val="000000"/>
          <w:spacing w:val="-1"/>
        </w:rPr>
        <w:t xml:space="preserve"> and the natural environment</w:t>
      </w:r>
    </w:p>
    <w:p w14:paraId="504AA7AC" w14:textId="77777777" w:rsidR="00F379E5" w:rsidRPr="00C24D9E" w:rsidRDefault="00F379E5" w:rsidP="00F379E5">
      <w:pPr>
        <w:numPr>
          <w:ilvl w:val="1"/>
          <w:numId w:val="27"/>
        </w:numPr>
        <w:tabs>
          <w:tab w:val="left" w:pos="792"/>
        </w:tabs>
        <w:spacing w:line="264" w:lineRule="auto"/>
        <w:ind w:right="-1"/>
        <w:textAlignment w:val="baseline"/>
        <w:rPr>
          <w:rFonts w:eastAsia="Arial"/>
          <w:color w:val="000000"/>
          <w:spacing w:val="-1"/>
        </w:rPr>
      </w:pPr>
      <w:r>
        <w:rPr>
          <w:rFonts w:eastAsia="Arial"/>
          <w:color w:val="000000"/>
          <w:spacing w:val="-1"/>
        </w:rPr>
        <w:t>the potential for new grid and substations to attract prospectors for new solar and wind farm deployments, which may lead to further concentrations of renewable assets</w:t>
      </w:r>
    </w:p>
    <w:p w14:paraId="5B0F4554" w14:textId="63159F24" w:rsidR="00F379E5" w:rsidRPr="00C24D9E" w:rsidRDefault="00F379E5" w:rsidP="00F379E5">
      <w:pPr>
        <w:numPr>
          <w:ilvl w:val="1"/>
          <w:numId w:val="27"/>
        </w:numPr>
        <w:tabs>
          <w:tab w:val="left" w:pos="792"/>
        </w:tabs>
        <w:spacing w:line="264" w:lineRule="auto"/>
        <w:ind w:right="-1"/>
        <w:textAlignment w:val="baseline"/>
        <w:rPr>
          <w:rFonts w:eastAsia="Arial"/>
          <w:color w:val="000000"/>
          <w:spacing w:val="-2"/>
        </w:rPr>
      </w:pPr>
      <w:r>
        <w:rPr>
          <w:rFonts w:eastAsia="Arial"/>
          <w:color w:val="000000"/>
          <w:spacing w:val="-2"/>
        </w:rPr>
        <w:t>potential l</w:t>
      </w:r>
      <w:r w:rsidRPr="00C24D9E">
        <w:rPr>
          <w:rFonts w:eastAsia="Arial"/>
          <w:color w:val="000000"/>
          <w:spacing w:val="-2"/>
        </w:rPr>
        <w:t>oss of property value</w:t>
      </w:r>
    </w:p>
    <w:p w14:paraId="73E38B2B" w14:textId="4F872056" w:rsidR="00F379E5" w:rsidRPr="008423B9" w:rsidRDefault="00F379E5" w:rsidP="00F379E5">
      <w:pPr>
        <w:numPr>
          <w:ilvl w:val="1"/>
          <w:numId w:val="27"/>
        </w:numPr>
        <w:tabs>
          <w:tab w:val="left" w:pos="792"/>
        </w:tabs>
        <w:spacing w:line="264" w:lineRule="auto"/>
        <w:ind w:right="-1"/>
        <w:textAlignment w:val="baseline"/>
        <w:rPr>
          <w:rFonts w:eastAsia="Arial"/>
          <w:color w:val="000000"/>
          <w:spacing w:val="-1"/>
        </w:rPr>
      </w:pPr>
      <w:r>
        <w:rPr>
          <w:rFonts w:eastAsia="Arial"/>
          <w:color w:val="000000"/>
          <w:spacing w:val="-1"/>
        </w:rPr>
        <w:t>reduction</w:t>
      </w:r>
      <w:r w:rsidRPr="00C24D9E">
        <w:rPr>
          <w:rFonts w:eastAsia="Arial"/>
          <w:color w:val="000000"/>
          <w:spacing w:val="-1"/>
        </w:rPr>
        <w:t xml:space="preserve"> of </w:t>
      </w:r>
      <w:r>
        <w:rPr>
          <w:rFonts w:eastAsia="Arial"/>
          <w:color w:val="000000"/>
          <w:spacing w:val="-1"/>
        </w:rPr>
        <w:t>pro</w:t>
      </w:r>
      <w:r w:rsidRPr="00C24D9E">
        <w:rPr>
          <w:rFonts w:eastAsia="Arial"/>
          <w:color w:val="000000"/>
          <w:spacing w:val="-1"/>
        </w:rPr>
        <w:t>ductive agricultural land</w:t>
      </w:r>
      <w:r>
        <w:rPr>
          <w:rFonts w:eastAsia="Arial"/>
          <w:color w:val="000000"/>
          <w:spacing w:val="-1"/>
        </w:rPr>
        <w:t xml:space="preserve"> and impact on farm and industry economics</w:t>
      </w:r>
    </w:p>
    <w:p w14:paraId="77BB4A35" w14:textId="77777777" w:rsidR="00F555E6" w:rsidRPr="003329B0" w:rsidRDefault="00F555E6" w:rsidP="003329B0">
      <w:pPr>
        <w:pStyle w:val="Heading2"/>
        <w:rPr>
          <w:i/>
          <w:iCs/>
        </w:rPr>
      </w:pPr>
      <w:bookmarkStart w:id="146" w:name="_Toc100168879"/>
      <w:bookmarkStart w:id="147" w:name="_Toc135390602"/>
      <w:r w:rsidRPr="003329B0">
        <w:rPr>
          <w:i/>
          <w:iCs/>
        </w:rPr>
        <w:t>Key activities</w:t>
      </w:r>
      <w:bookmarkEnd w:id="146"/>
      <w:bookmarkEnd w:id="147"/>
    </w:p>
    <w:p w14:paraId="671ABA34" w14:textId="143C0623" w:rsidR="00F555E6" w:rsidRPr="00A2608F" w:rsidRDefault="00F555E6" w:rsidP="00F555E6">
      <w:pPr>
        <w:spacing w:line="264" w:lineRule="auto"/>
        <w:rPr>
          <w:rFonts w:eastAsia="Arial" w:cs="Arial"/>
        </w:rPr>
      </w:pPr>
      <w:r w:rsidRPr="00A2608F">
        <w:rPr>
          <w:rFonts w:eastAsia="Arial" w:cs="Arial"/>
        </w:rPr>
        <w:t xml:space="preserve">Some key activities </w:t>
      </w:r>
      <w:r w:rsidR="007F4494">
        <w:rPr>
          <w:rFonts w:eastAsia="Arial" w:cs="Arial"/>
        </w:rPr>
        <w:t xml:space="preserve">related to </w:t>
      </w:r>
      <w:r w:rsidR="008A435F">
        <w:rPr>
          <w:rFonts w:eastAsia="Arial" w:cs="Arial"/>
        </w:rPr>
        <w:t xml:space="preserve">transmission </w:t>
      </w:r>
      <w:r w:rsidRPr="00A2608F">
        <w:rPr>
          <w:rFonts w:eastAsia="Arial" w:cs="Arial"/>
        </w:rPr>
        <w:t xml:space="preserve">undertaken </w:t>
      </w:r>
      <w:r w:rsidR="007F4494">
        <w:rPr>
          <w:rFonts w:eastAsia="Arial" w:cs="Arial"/>
        </w:rPr>
        <w:t xml:space="preserve">since that </w:t>
      </w:r>
      <w:r w:rsidR="008A435F">
        <w:rPr>
          <w:rFonts w:eastAsia="Arial" w:cs="Arial"/>
        </w:rPr>
        <w:t>role expa</w:t>
      </w:r>
      <w:r w:rsidR="00177D01">
        <w:rPr>
          <w:rFonts w:eastAsia="Arial" w:cs="Arial"/>
        </w:rPr>
        <w:t>n</w:t>
      </w:r>
      <w:r w:rsidR="008A435F">
        <w:rPr>
          <w:rFonts w:eastAsia="Arial" w:cs="Arial"/>
        </w:rPr>
        <w:t>sion</w:t>
      </w:r>
      <w:r w:rsidR="007F4494">
        <w:rPr>
          <w:rFonts w:eastAsia="Arial" w:cs="Arial"/>
        </w:rPr>
        <w:t xml:space="preserve"> </w:t>
      </w:r>
      <w:r w:rsidRPr="00A2608F">
        <w:rPr>
          <w:rFonts w:eastAsia="Arial" w:cs="Arial"/>
        </w:rPr>
        <w:t>include the following:</w:t>
      </w:r>
    </w:p>
    <w:p w14:paraId="07664CEA" w14:textId="0DF0718A" w:rsidR="00F555E6" w:rsidRPr="008562E1" w:rsidRDefault="00F555E6" w:rsidP="00F555E6">
      <w:pPr>
        <w:pStyle w:val="ListParagraph"/>
        <w:numPr>
          <w:ilvl w:val="0"/>
          <w:numId w:val="33"/>
        </w:numPr>
        <w:tabs>
          <w:tab w:val="left" w:pos="993"/>
        </w:tabs>
        <w:spacing w:line="264" w:lineRule="auto"/>
        <w:ind w:left="709" w:hanging="425"/>
        <w:textAlignment w:val="baseline"/>
        <w:rPr>
          <w:rStyle w:val="gmail-s1"/>
          <w:rFonts w:eastAsia="Arial" w:cs="Arial"/>
          <w:color w:val="000000"/>
          <w:szCs w:val="20"/>
        </w:rPr>
      </w:pPr>
      <w:r>
        <w:rPr>
          <w:rStyle w:val="gmail-s1"/>
          <w:rFonts w:cs="Arial"/>
        </w:rPr>
        <w:t>S</w:t>
      </w:r>
      <w:r w:rsidRPr="008562E1">
        <w:rPr>
          <w:rStyle w:val="gmail-s1"/>
          <w:rFonts w:cs="Arial"/>
        </w:rPr>
        <w:t xml:space="preserve">ite visits </w:t>
      </w:r>
      <w:r w:rsidR="00967A6A">
        <w:rPr>
          <w:rStyle w:val="gmail-s1"/>
          <w:rFonts w:cs="Arial"/>
        </w:rPr>
        <w:t>to</w:t>
      </w:r>
      <w:r w:rsidR="008D5E11">
        <w:rPr>
          <w:rStyle w:val="gmail-s1"/>
          <w:rFonts w:cs="Arial"/>
        </w:rPr>
        <w:t xml:space="preserve"> inspect </w:t>
      </w:r>
      <w:r w:rsidRPr="008562E1">
        <w:rPr>
          <w:rStyle w:val="gmail-s1"/>
          <w:rFonts w:cs="Arial"/>
        </w:rPr>
        <w:t xml:space="preserve">various </w:t>
      </w:r>
      <w:r>
        <w:rPr>
          <w:rStyle w:val="gmail-s1"/>
          <w:rFonts w:cs="Arial"/>
        </w:rPr>
        <w:t xml:space="preserve">proposed transmission </w:t>
      </w:r>
      <w:r w:rsidRPr="008562E1">
        <w:rPr>
          <w:rStyle w:val="gmail-s1"/>
          <w:rFonts w:cs="Arial"/>
        </w:rPr>
        <w:t>corridor</w:t>
      </w:r>
      <w:r>
        <w:rPr>
          <w:rStyle w:val="gmail-s1"/>
          <w:rFonts w:cs="Arial"/>
        </w:rPr>
        <w:t xml:space="preserve">s </w:t>
      </w:r>
      <w:r w:rsidR="008D5E11">
        <w:rPr>
          <w:rStyle w:val="gmail-s1"/>
          <w:rFonts w:cs="Arial"/>
        </w:rPr>
        <w:t>and alternatives</w:t>
      </w:r>
      <w:r w:rsidR="00054E43">
        <w:rPr>
          <w:rStyle w:val="gmail-s1"/>
          <w:rFonts w:cs="Arial"/>
        </w:rPr>
        <w:t xml:space="preserve"> </w:t>
      </w:r>
      <w:r>
        <w:rPr>
          <w:rStyle w:val="gmail-s1"/>
          <w:rFonts w:cs="Arial"/>
        </w:rPr>
        <w:t xml:space="preserve">as </w:t>
      </w:r>
      <w:r w:rsidRPr="008562E1">
        <w:rPr>
          <w:rStyle w:val="gmail-s1"/>
          <w:rFonts w:cs="Arial"/>
        </w:rPr>
        <w:t>well as me</w:t>
      </w:r>
      <w:r w:rsidR="00503446">
        <w:rPr>
          <w:rStyle w:val="gmail-s1"/>
          <w:rFonts w:cs="Arial"/>
        </w:rPr>
        <w:t>et</w:t>
      </w:r>
      <w:r w:rsidRPr="008562E1">
        <w:rPr>
          <w:rStyle w:val="gmail-s1"/>
          <w:rFonts w:cs="Arial"/>
        </w:rPr>
        <w:t xml:space="preserve"> </w:t>
      </w:r>
      <w:r w:rsidR="00054E43">
        <w:rPr>
          <w:rStyle w:val="gmail-s1"/>
          <w:rFonts w:cs="Arial"/>
        </w:rPr>
        <w:t>a</w:t>
      </w:r>
      <w:r w:rsidRPr="008562E1">
        <w:rPr>
          <w:rStyle w:val="gmail-s1"/>
          <w:rFonts w:cs="Arial"/>
        </w:rPr>
        <w:t xml:space="preserve">ffected </w:t>
      </w:r>
      <w:r w:rsidR="00054E43">
        <w:rPr>
          <w:rStyle w:val="gmail-s1"/>
          <w:rFonts w:cs="Arial"/>
        </w:rPr>
        <w:t xml:space="preserve">landholders </w:t>
      </w:r>
      <w:r w:rsidR="004300DB">
        <w:rPr>
          <w:rStyle w:val="gmail-s1"/>
          <w:rFonts w:cs="Arial"/>
        </w:rPr>
        <w:t xml:space="preserve">and neighbours </w:t>
      </w:r>
      <w:r w:rsidRPr="008562E1">
        <w:rPr>
          <w:rStyle w:val="gmail-s1"/>
          <w:rFonts w:cs="Arial"/>
        </w:rPr>
        <w:t>to understand t</w:t>
      </w:r>
      <w:r>
        <w:rPr>
          <w:rStyle w:val="gmail-s1"/>
          <w:rFonts w:cs="Arial"/>
        </w:rPr>
        <w:t>heir concerns and perspectives.</w:t>
      </w:r>
    </w:p>
    <w:p w14:paraId="7AA14F52" w14:textId="1D2355E6" w:rsidR="00F555E6" w:rsidRDefault="007004CA"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zCs w:val="20"/>
        </w:rPr>
        <w:t>M</w:t>
      </w:r>
      <w:r w:rsidR="00F555E6">
        <w:rPr>
          <w:rFonts w:eastAsia="Arial" w:cs="Arial"/>
          <w:color w:val="000000"/>
          <w:szCs w:val="20"/>
        </w:rPr>
        <w:t>e</w:t>
      </w:r>
      <w:r w:rsidR="007F322B">
        <w:rPr>
          <w:rFonts w:eastAsia="Arial" w:cs="Arial"/>
          <w:color w:val="000000"/>
          <w:szCs w:val="20"/>
        </w:rPr>
        <w:t>t</w:t>
      </w:r>
      <w:r w:rsidR="00F555E6">
        <w:rPr>
          <w:rFonts w:eastAsia="Arial" w:cs="Arial"/>
          <w:color w:val="000000"/>
          <w:szCs w:val="20"/>
        </w:rPr>
        <w:t xml:space="preserve"> with </w:t>
      </w:r>
      <w:r>
        <w:rPr>
          <w:rFonts w:eastAsia="Arial" w:cs="Arial"/>
          <w:color w:val="000000"/>
          <w:szCs w:val="20"/>
        </w:rPr>
        <w:t xml:space="preserve">relevant </w:t>
      </w:r>
      <w:r w:rsidR="00F555E6">
        <w:rPr>
          <w:rFonts w:eastAsia="Arial" w:cs="Arial"/>
          <w:color w:val="000000"/>
          <w:szCs w:val="20"/>
        </w:rPr>
        <w:t xml:space="preserve">Ministers, </w:t>
      </w:r>
      <w:r w:rsidR="00340F26">
        <w:rPr>
          <w:rFonts w:eastAsia="Arial" w:cs="Arial"/>
          <w:color w:val="000000"/>
          <w:szCs w:val="20"/>
        </w:rPr>
        <w:t xml:space="preserve">MPs, </w:t>
      </w:r>
      <w:r w:rsidR="00F555E6">
        <w:rPr>
          <w:rFonts w:eastAsia="Arial" w:cs="Arial"/>
          <w:color w:val="000000"/>
          <w:szCs w:val="20"/>
        </w:rPr>
        <w:t>government agencies, planning authorities and industry proponents</w:t>
      </w:r>
      <w:r w:rsidR="00F555E6" w:rsidRPr="00A2608F">
        <w:rPr>
          <w:rFonts w:eastAsia="Arial" w:cs="Arial"/>
          <w:color w:val="000000"/>
          <w:szCs w:val="20"/>
        </w:rPr>
        <w:t xml:space="preserve"> to provide </w:t>
      </w:r>
      <w:r w:rsidR="00ED177F">
        <w:rPr>
          <w:rFonts w:eastAsia="Arial" w:cs="Arial"/>
          <w:color w:val="000000"/>
          <w:szCs w:val="20"/>
        </w:rPr>
        <w:t>suggestions on a range of</w:t>
      </w:r>
      <w:r w:rsidR="003545CF">
        <w:rPr>
          <w:rFonts w:eastAsia="Arial" w:cs="Arial"/>
          <w:color w:val="000000"/>
          <w:szCs w:val="20"/>
        </w:rPr>
        <w:t xml:space="preserve"> improveme</w:t>
      </w:r>
      <w:r w:rsidR="00B81805">
        <w:rPr>
          <w:rFonts w:eastAsia="Arial" w:cs="Arial"/>
          <w:color w:val="000000"/>
          <w:szCs w:val="20"/>
        </w:rPr>
        <w:t>n</w:t>
      </w:r>
      <w:r w:rsidR="003545CF">
        <w:rPr>
          <w:rFonts w:eastAsia="Arial" w:cs="Arial"/>
          <w:color w:val="000000"/>
          <w:szCs w:val="20"/>
        </w:rPr>
        <w:t>ts and reforms</w:t>
      </w:r>
      <w:r w:rsidR="00F555E6" w:rsidRPr="00A2608F">
        <w:rPr>
          <w:rFonts w:eastAsia="Arial" w:cs="Arial"/>
          <w:color w:val="000000"/>
          <w:szCs w:val="20"/>
        </w:rPr>
        <w:t>.</w:t>
      </w:r>
    </w:p>
    <w:p w14:paraId="196D0456" w14:textId="38E923A4" w:rsidR="00F555E6" w:rsidRPr="005314AD" w:rsidRDefault="00F555E6"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A2608F">
        <w:rPr>
          <w:rFonts w:eastAsia="Arial" w:cs="Arial"/>
          <w:color w:val="000000"/>
          <w:szCs w:val="20"/>
        </w:rPr>
        <w:t>Provid</w:t>
      </w:r>
      <w:r w:rsidR="00B81805">
        <w:rPr>
          <w:rFonts w:eastAsia="Arial" w:cs="Arial"/>
          <w:color w:val="000000"/>
          <w:szCs w:val="20"/>
        </w:rPr>
        <w:t>ed</w:t>
      </w:r>
      <w:r w:rsidRPr="00A2608F">
        <w:rPr>
          <w:rFonts w:eastAsia="Arial" w:cs="Arial"/>
          <w:color w:val="000000"/>
          <w:szCs w:val="20"/>
        </w:rPr>
        <w:t xml:space="preserve"> </w:t>
      </w:r>
      <w:r w:rsidR="00324094">
        <w:rPr>
          <w:rFonts w:eastAsia="Arial" w:cs="Arial"/>
          <w:color w:val="000000"/>
          <w:szCs w:val="20"/>
        </w:rPr>
        <w:t xml:space="preserve">detailed </w:t>
      </w:r>
      <w:r>
        <w:rPr>
          <w:rFonts w:eastAsia="Arial" w:cs="Arial"/>
          <w:color w:val="000000"/>
          <w:szCs w:val="20"/>
        </w:rPr>
        <w:t xml:space="preserve">suggestions </w:t>
      </w:r>
      <w:r w:rsidRPr="00A2608F">
        <w:rPr>
          <w:rFonts w:eastAsia="Arial" w:cs="Arial"/>
          <w:color w:val="000000"/>
          <w:szCs w:val="20"/>
        </w:rPr>
        <w:t xml:space="preserve">and feedback to </w:t>
      </w:r>
      <w:r>
        <w:rPr>
          <w:rFonts w:eastAsia="Arial" w:cs="Arial"/>
          <w:color w:val="000000"/>
          <w:szCs w:val="20"/>
        </w:rPr>
        <w:t>proponents</w:t>
      </w:r>
      <w:r w:rsidRPr="00A2608F">
        <w:rPr>
          <w:rFonts w:eastAsia="Arial" w:cs="Arial"/>
          <w:color w:val="000000"/>
          <w:szCs w:val="20"/>
        </w:rPr>
        <w:t xml:space="preserve"> </w:t>
      </w:r>
      <w:r w:rsidR="003B40D0">
        <w:rPr>
          <w:rFonts w:eastAsia="Arial" w:cs="Arial"/>
          <w:color w:val="000000"/>
          <w:szCs w:val="20"/>
        </w:rPr>
        <w:t xml:space="preserve">and governments </w:t>
      </w:r>
      <w:r w:rsidRPr="00A2608F">
        <w:rPr>
          <w:rFonts w:eastAsia="Arial" w:cs="Arial"/>
          <w:color w:val="000000"/>
          <w:szCs w:val="20"/>
        </w:rPr>
        <w:t xml:space="preserve">on </w:t>
      </w:r>
      <w:r>
        <w:rPr>
          <w:rFonts w:eastAsia="Arial" w:cs="Arial"/>
          <w:color w:val="000000"/>
          <w:szCs w:val="20"/>
        </w:rPr>
        <w:t>draft</w:t>
      </w:r>
      <w:r w:rsidRPr="00A2608F">
        <w:rPr>
          <w:rFonts w:eastAsia="Arial" w:cs="Arial"/>
          <w:color w:val="000000"/>
          <w:szCs w:val="20"/>
        </w:rPr>
        <w:t xml:space="preserve"> correspondence </w:t>
      </w:r>
      <w:r w:rsidR="00781C06">
        <w:rPr>
          <w:rFonts w:eastAsia="Arial" w:cs="Arial"/>
          <w:color w:val="000000"/>
          <w:szCs w:val="20"/>
        </w:rPr>
        <w:t xml:space="preserve">and collateral being prepared </w:t>
      </w:r>
      <w:r w:rsidR="00324094">
        <w:rPr>
          <w:rFonts w:eastAsia="Arial" w:cs="Arial"/>
          <w:color w:val="000000"/>
          <w:szCs w:val="20"/>
        </w:rPr>
        <w:t xml:space="preserve">for </w:t>
      </w:r>
      <w:r w:rsidRPr="00A2608F">
        <w:rPr>
          <w:rFonts w:eastAsia="Arial" w:cs="Arial"/>
          <w:color w:val="000000"/>
          <w:szCs w:val="20"/>
        </w:rPr>
        <w:t>landholders and</w:t>
      </w:r>
      <w:r w:rsidR="00324094">
        <w:rPr>
          <w:rFonts w:eastAsia="Arial" w:cs="Arial"/>
          <w:color w:val="000000"/>
          <w:szCs w:val="20"/>
        </w:rPr>
        <w:t>/or</w:t>
      </w:r>
      <w:r w:rsidRPr="00A2608F">
        <w:rPr>
          <w:rFonts w:eastAsia="Arial" w:cs="Arial"/>
          <w:color w:val="000000"/>
          <w:szCs w:val="20"/>
        </w:rPr>
        <w:t xml:space="preserve"> </w:t>
      </w:r>
      <w:r w:rsidRPr="00A2608F">
        <w:rPr>
          <w:rFonts w:eastAsia="Arial" w:cs="Arial"/>
          <w:color w:val="000000"/>
          <w:spacing w:val="-1"/>
        </w:rPr>
        <w:t>affected communit</w:t>
      </w:r>
      <w:r>
        <w:rPr>
          <w:rFonts w:eastAsia="Arial" w:cs="Arial"/>
          <w:color w:val="000000"/>
          <w:spacing w:val="-1"/>
        </w:rPr>
        <w:t>y members</w:t>
      </w:r>
      <w:r w:rsidRPr="00A2608F">
        <w:rPr>
          <w:rFonts w:eastAsia="Arial" w:cs="Arial"/>
          <w:color w:val="000000"/>
          <w:spacing w:val="-1"/>
        </w:rPr>
        <w:t>.</w:t>
      </w:r>
    </w:p>
    <w:p w14:paraId="7D469FB5" w14:textId="31080F84" w:rsidR="005314AD" w:rsidRPr="003025AF" w:rsidRDefault="00503446"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pacing w:val="-1"/>
        </w:rPr>
        <w:t>P</w:t>
      </w:r>
      <w:r w:rsidR="005314AD">
        <w:rPr>
          <w:rFonts w:eastAsia="Arial" w:cs="Arial"/>
          <w:color w:val="000000"/>
          <w:spacing w:val="-1"/>
        </w:rPr>
        <w:t>rovided detailed suggestions and feedb</w:t>
      </w:r>
      <w:r w:rsidR="003B40D0">
        <w:rPr>
          <w:rFonts w:eastAsia="Arial" w:cs="Arial"/>
          <w:color w:val="000000"/>
          <w:spacing w:val="-1"/>
        </w:rPr>
        <w:t>ack to proponents on dra</w:t>
      </w:r>
      <w:r w:rsidR="00FD3416">
        <w:rPr>
          <w:rFonts w:eastAsia="Arial" w:cs="Arial"/>
          <w:color w:val="000000"/>
          <w:spacing w:val="-1"/>
        </w:rPr>
        <w:t>f</w:t>
      </w:r>
      <w:r w:rsidR="003B40D0">
        <w:rPr>
          <w:rFonts w:eastAsia="Arial" w:cs="Arial"/>
          <w:color w:val="000000"/>
          <w:spacing w:val="-1"/>
        </w:rPr>
        <w:t>t</w:t>
      </w:r>
      <w:r w:rsidR="00FD3416">
        <w:rPr>
          <w:rFonts w:eastAsia="Arial" w:cs="Arial"/>
          <w:color w:val="000000"/>
          <w:spacing w:val="-1"/>
        </w:rPr>
        <w:t xml:space="preserve"> </w:t>
      </w:r>
      <w:r w:rsidR="003B40D0">
        <w:rPr>
          <w:rFonts w:eastAsia="Arial" w:cs="Arial"/>
          <w:color w:val="000000"/>
          <w:spacing w:val="-1"/>
        </w:rPr>
        <w:t>commercial agreements</w:t>
      </w:r>
      <w:r w:rsidR="00FD3416">
        <w:rPr>
          <w:rFonts w:eastAsia="Arial" w:cs="Arial"/>
          <w:color w:val="000000"/>
          <w:spacing w:val="-1"/>
        </w:rPr>
        <w:t xml:space="preserve">, such as </w:t>
      </w:r>
      <w:r w:rsidR="00526406">
        <w:rPr>
          <w:rFonts w:eastAsia="Arial" w:cs="Arial"/>
          <w:color w:val="000000"/>
          <w:spacing w:val="-1"/>
        </w:rPr>
        <w:t>Option for Easement agreements</w:t>
      </w:r>
      <w:r w:rsidR="0013583D">
        <w:rPr>
          <w:rFonts w:eastAsia="Arial" w:cs="Arial"/>
          <w:color w:val="000000"/>
          <w:spacing w:val="-1"/>
        </w:rPr>
        <w:t xml:space="preserve">, along with review of </w:t>
      </w:r>
      <w:r w:rsidR="00EB6208">
        <w:rPr>
          <w:rFonts w:eastAsia="Arial" w:cs="Arial"/>
          <w:color w:val="000000"/>
          <w:spacing w:val="-1"/>
        </w:rPr>
        <w:t>associated collateral and correspondence</w:t>
      </w:r>
      <w:r>
        <w:rPr>
          <w:rFonts w:eastAsia="Arial" w:cs="Arial"/>
          <w:color w:val="000000"/>
          <w:spacing w:val="-1"/>
        </w:rPr>
        <w:t>.</w:t>
      </w:r>
      <w:r w:rsidR="00FD3416">
        <w:rPr>
          <w:rFonts w:eastAsia="Arial" w:cs="Arial"/>
          <w:color w:val="000000"/>
          <w:spacing w:val="-1"/>
        </w:rPr>
        <w:t xml:space="preserve"> </w:t>
      </w:r>
    </w:p>
    <w:p w14:paraId="064C215A" w14:textId="26991326" w:rsidR="00F555E6" w:rsidRPr="00E7716A" w:rsidRDefault="00F555E6"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3025AF">
        <w:rPr>
          <w:rFonts w:eastAsia="Arial" w:cs="Arial"/>
          <w:color w:val="000000"/>
          <w:spacing w:val="-1"/>
        </w:rPr>
        <w:t>Assisted proponents</w:t>
      </w:r>
      <w:r w:rsidR="00503446">
        <w:rPr>
          <w:rFonts w:eastAsia="Arial" w:cs="Arial"/>
          <w:color w:val="000000"/>
          <w:spacing w:val="-1"/>
        </w:rPr>
        <w:t xml:space="preserve"> to</w:t>
      </w:r>
      <w:r w:rsidRPr="003025AF">
        <w:rPr>
          <w:rFonts w:eastAsia="Arial" w:cs="Arial"/>
          <w:color w:val="000000"/>
          <w:spacing w:val="-1"/>
        </w:rPr>
        <w:t xml:space="preserve"> </w:t>
      </w:r>
      <w:r>
        <w:rPr>
          <w:rFonts w:eastAsia="Arial" w:cs="Arial"/>
          <w:color w:val="000000"/>
          <w:spacing w:val="-1"/>
        </w:rPr>
        <w:t xml:space="preserve">review and </w:t>
      </w:r>
      <w:r w:rsidR="00FC7F0B">
        <w:rPr>
          <w:rFonts w:eastAsia="Arial" w:cs="Arial"/>
          <w:color w:val="000000"/>
          <w:spacing w:val="-1"/>
        </w:rPr>
        <w:t>implement/</w:t>
      </w:r>
      <w:r>
        <w:rPr>
          <w:rFonts w:eastAsia="Arial" w:cs="Arial"/>
          <w:color w:val="000000"/>
          <w:spacing w:val="-1"/>
        </w:rPr>
        <w:t xml:space="preserve">refine their </w:t>
      </w:r>
      <w:r w:rsidRPr="003025AF">
        <w:rPr>
          <w:rFonts w:eastAsia="Arial" w:cs="Arial"/>
          <w:color w:val="000000"/>
          <w:spacing w:val="-1"/>
        </w:rPr>
        <w:t>complaint handling processes</w:t>
      </w:r>
      <w:r w:rsidR="00503446">
        <w:rPr>
          <w:rFonts w:eastAsia="Arial" w:cs="Arial"/>
          <w:color w:val="000000"/>
          <w:spacing w:val="-1"/>
        </w:rPr>
        <w:t>.</w:t>
      </w:r>
      <w:r w:rsidR="00215A90">
        <w:rPr>
          <w:rFonts w:eastAsia="Arial" w:cs="Arial"/>
          <w:color w:val="000000"/>
          <w:spacing w:val="-1"/>
        </w:rPr>
        <w:t xml:space="preserve"> </w:t>
      </w:r>
    </w:p>
    <w:p w14:paraId="31A81F76" w14:textId="5305A78A" w:rsidR="00F555E6" w:rsidRPr="004068B9" w:rsidRDefault="00F555E6"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pacing w:val="-1"/>
        </w:rPr>
        <w:t xml:space="preserve">Assisted both proponents and regulators to review and </w:t>
      </w:r>
      <w:r w:rsidR="00100C16">
        <w:rPr>
          <w:rFonts w:eastAsia="Arial" w:cs="Arial"/>
          <w:color w:val="000000"/>
          <w:spacing w:val="-1"/>
        </w:rPr>
        <w:t>implement</w:t>
      </w:r>
      <w:r w:rsidR="0089442C">
        <w:rPr>
          <w:rFonts w:eastAsia="Arial" w:cs="Arial"/>
          <w:color w:val="000000"/>
          <w:spacing w:val="-1"/>
        </w:rPr>
        <w:t>/</w:t>
      </w:r>
      <w:r>
        <w:rPr>
          <w:rFonts w:eastAsia="Arial" w:cs="Arial"/>
          <w:color w:val="000000"/>
          <w:spacing w:val="-1"/>
        </w:rPr>
        <w:t xml:space="preserve">improve guidance </w:t>
      </w:r>
      <w:r w:rsidRPr="003025AF">
        <w:rPr>
          <w:rFonts w:eastAsia="Arial" w:cs="Arial"/>
          <w:color w:val="000000"/>
          <w:spacing w:val="-1"/>
        </w:rPr>
        <w:t xml:space="preserve">and protocols relating to </w:t>
      </w:r>
      <w:r w:rsidR="0089442C">
        <w:rPr>
          <w:rFonts w:eastAsia="Arial" w:cs="Arial"/>
          <w:color w:val="000000"/>
          <w:spacing w:val="-1"/>
        </w:rPr>
        <w:t xml:space="preserve">opposed </w:t>
      </w:r>
      <w:r w:rsidRPr="003025AF">
        <w:rPr>
          <w:rFonts w:eastAsia="Arial" w:cs="Arial"/>
          <w:color w:val="000000"/>
          <w:spacing w:val="-1"/>
        </w:rPr>
        <w:t xml:space="preserve">land access and </w:t>
      </w:r>
      <w:r w:rsidR="0089442C">
        <w:rPr>
          <w:rFonts w:eastAsia="Arial" w:cs="Arial"/>
          <w:color w:val="000000"/>
          <w:spacing w:val="-1"/>
        </w:rPr>
        <w:t xml:space="preserve">compulsory </w:t>
      </w:r>
      <w:r w:rsidRPr="003025AF">
        <w:rPr>
          <w:rFonts w:eastAsia="Arial" w:cs="Arial"/>
          <w:color w:val="000000"/>
          <w:spacing w:val="-1"/>
        </w:rPr>
        <w:t>easement acquisition.</w:t>
      </w:r>
    </w:p>
    <w:p w14:paraId="19CBBA53" w14:textId="7EA5338F" w:rsidR="00F555E6" w:rsidRPr="003025AF" w:rsidRDefault="00F555E6" w:rsidP="00F555E6">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pacing w:val="-1"/>
        </w:rPr>
        <w:t xml:space="preserve">Mediated land access disputes </w:t>
      </w:r>
      <w:r w:rsidR="006D66AE">
        <w:rPr>
          <w:rFonts w:eastAsia="Arial" w:cs="Arial"/>
          <w:color w:val="000000"/>
          <w:spacing w:val="-1"/>
        </w:rPr>
        <w:t xml:space="preserve">between landholders and </w:t>
      </w:r>
      <w:r w:rsidR="00B57F9B">
        <w:rPr>
          <w:rFonts w:eastAsia="Arial" w:cs="Arial"/>
          <w:color w:val="000000"/>
          <w:spacing w:val="-1"/>
        </w:rPr>
        <w:t xml:space="preserve">developers </w:t>
      </w:r>
      <w:r>
        <w:rPr>
          <w:rFonts w:eastAsia="Arial" w:cs="Arial"/>
          <w:color w:val="000000"/>
          <w:spacing w:val="-1"/>
        </w:rPr>
        <w:t>to help facilitate access to properties for the purpose of carrying out surveys and investigations.</w:t>
      </w:r>
    </w:p>
    <w:p w14:paraId="760842DB" w14:textId="5555BE95" w:rsidR="00F555E6" w:rsidRDefault="00F555E6" w:rsidP="00F555E6">
      <w:pPr>
        <w:pStyle w:val="ListParagraph"/>
        <w:numPr>
          <w:ilvl w:val="0"/>
          <w:numId w:val="33"/>
        </w:numPr>
        <w:tabs>
          <w:tab w:val="left" w:pos="792"/>
        </w:tabs>
        <w:spacing w:line="264" w:lineRule="auto"/>
        <w:ind w:left="709" w:hanging="425"/>
        <w:textAlignment w:val="baseline"/>
        <w:rPr>
          <w:rFonts w:eastAsia="Arial" w:cs="Arial"/>
          <w:color w:val="000000"/>
          <w:spacing w:val="-2"/>
        </w:rPr>
      </w:pPr>
      <w:r w:rsidRPr="00A2608F">
        <w:rPr>
          <w:rFonts w:eastAsia="Arial" w:cs="Arial"/>
          <w:color w:val="000000"/>
          <w:spacing w:val="-2"/>
        </w:rPr>
        <w:lastRenderedPageBreak/>
        <w:t>Advocat</w:t>
      </w:r>
      <w:r>
        <w:rPr>
          <w:rFonts w:eastAsia="Arial" w:cs="Arial"/>
          <w:color w:val="000000"/>
          <w:spacing w:val="-2"/>
        </w:rPr>
        <w:t>ed</w:t>
      </w:r>
      <w:r w:rsidRPr="00A2608F">
        <w:rPr>
          <w:rFonts w:eastAsia="Arial" w:cs="Arial"/>
          <w:color w:val="000000"/>
          <w:spacing w:val="-2"/>
        </w:rPr>
        <w:t xml:space="preserve"> for new, </w:t>
      </w:r>
      <w:r w:rsidR="00B56F0E">
        <w:rPr>
          <w:rFonts w:eastAsia="Arial" w:cs="Arial"/>
          <w:color w:val="000000"/>
          <w:spacing w:val="-2"/>
        </w:rPr>
        <w:t xml:space="preserve">harmonised </w:t>
      </w:r>
      <w:r w:rsidRPr="00A2608F">
        <w:rPr>
          <w:rFonts w:eastAsia="Arial" w:cs="Arial"/>
          <w:color w:val="000000"/>
          <w:spacing w:val="-2"/>
        </w:rPr>
        <w:t>guidelines relating to topics such as farming practices in transmission easements</w:t>
      </w:r>
      <w:r>
        <w:rPr>
          <w:rFonts w:eastAsia="Arial" w:cs="Arial"/>
          <w:color w:val="000000"/>
          <w:spacing w:val="-2"/>
        </w:rPr>
        <w:t xml:space="preserve">, including </w:t>
      </w:r>
      <w:r w:rsidRPr="00A2608F">
        <w:rPr>
          <w:rFonts w:eastAsia="Arial" w:cs="Arial"/>
          <w:color w:val="000000"/>
          <w:spacing w:val="-2"/>
        </w:rPr>
        <w:t xml:space="preserve">use of equipment on land </w:t>
      </w:r>
      <w:r>
        <w:rPr>
          <w:rFonts w:eastAsia="Arial" w:cs="Arial"/>
          <w:color w:val="000000"/>
          <w:spacing w:val="-2"/>
        </w:rPr>
        <w:t>subject to easements</w:t>
      </w:r>
      <w:r w:rsidR="00B56F0E">
        <w:rPr>
          <w:rFonts w:eastAsia="Arial" w:cs="Arial"/>
          <w:color w:val="000000"/>
          <w:spacing w:val="-2"/>
        </w:rPr>
        <w:t xml:space="preserve"> and managing bushfires</w:t>
      </w:r>
      <w:r w:rsidR="004D6CBA">
        <w:rPr>
          <w:rFonts w:eastAsia="Arial" w:cs="Arial"/>
          <w:color w:val="000000"/>
          <w:spacing w:val="-2"/>
        </w:rPr>
        <w:t xml:space="preserve"> and fire risk</w:t>
      </w:r>
      <w:r>
        <w:rPr>
          <w:rFonts w:eastAsia="Arial" w:cs="Arial"/>
          <w:color w:val="000000"/>
          <w:spacing w:val="-2"/>
        </w:rPr>
        <w:t>.</w:t>
      </w:r>
    </w:p>
    <w:p w14:paraId="35F9D55A" w14:textId="1D47FC5E" w:rsidR="00F555E6" w:rsidRPr="00A2608F" w:rsidRDefault="00F555E6" w:rsidP="00F555E6">
      <w:pPr>
        <w:pStyle w:val="ListParagraph"/>
        <w:numPr>
          <w:ilvl w:val="0"/>
          <w:numId w:val="33"/>
        </w:numPr>
        <w:tabs>
          <w:tab w:val="left" w:pos="792"/>
        </w:tabs>
        <w:spacing w:line="264" w:lineRule="auto"/>
        <w:ind w:left="709" w:hanging="425"/>
        <w:textAlignment w:val="baseline"/>
        <w:rPr>
          <w:rFonts w:eastAsia="Arial" w:cs="Arial"/>
          <w:color w:val="000000"/>
          <w:spacing w:val="-2"/>
        </w:rPr>
      </w:pPr>
      <w:r>
        <w:rPr>
          <w:rFonts w:eastAsia="Arial" w:cs="Arial"/>
          <w:color w:val="000000"/>
          <w:spacing w:val="-2"/>
        </w:rPr>
        <w:t>Worked with various stakeholders to understand and propose contemporary approaches to landholder compensation.</w:t>
      </w:r>
    </w:p>
    <w:p w14:paraId="4C7AB908" w14:textId="77777777" w:rsidR="00F555E6" w:rsidRPr="00A2608F" w:rsidRDefault="00F555E6" w:rsidP="00F555E6">
      <w:pPr>
        <w:pStyle w:val="ListParagraph"/>
        <w:numPr>
          <w:ilvl w:val="0"/>
          <w:numId w:val="29"/>
        </w:numPr>
        <w:tabs>
          <w:tab w:val="left" w:pos="792"/>
        </w:tabs>
        <w:spacing w:line="264" w:lineRule="auto"/>
        <w:ind w:left="714" w:hanging="357"/>
        <w:textAlignment w:val="baseline"/>
        <w:rPr>
          <w:rFonts w:eastAsia="Arial" w:cs="Arial"/>
          <w:color w:val="000000"/>
          <w:spacing w:val="-1"/>
        </w:rPr>
      </w:pPr>
      <w:r w:rsidRPr="00A2608F">
        <w:rPr>
          <w:rFonts w:eastAsia="Arial" w:cs="Arial"/>
          <w:color w:val="000000"/>
          <w:spacing w:val="-1"/>
        </w:rPr>
        <w:t>Advocated for clearer planning guidelines</w:t>
      </w:r>
      <w:r>
        <w:rPr>
          <w:rFonts w:eastAsia="Arial" w:cs="Arial"/>
          <w:color w:val="000000"/>
          <w:spacing w:val="-1"/>
        </w:rPr>
        <w:t xml:space="preserve"> for transmission</w:t>
      </w:r>
      <w:r w:rsidRPr="00A2608F">
        <w:rPr>
          <w:rFonts w:eastAsia="Arial" w:cs="Arial"/>
          <w:color w:val="000000"/>
          <w:spacing w:val="-1"/>
        </w:rPr>
        <w:t>, such as minimum setback distances</w:t>
      </w:r>
      <w:r>
        <w:rPr>
          <w:rFonts w:eastAsia="Arial" w:cs="Arial"/>
          <w:color w:val="000000"/>
          <w:spacing w:val="-1"/>
        </w:rPr>
        <w:t xml:space="preserve"> for transmission lines</w:t>
      </w:r>
      <w:r w:rsidRPr="00A2608F">
        <w:rPr>
          <w:rFonts w:eastAsia="Arial" w:cs="Arial"/>
          <w:color w:val="000000"/>
          <w:spacing w:val="-1"/>
        </w:rPr>
        <w:t xml:space="preserve"> from houses, </w:t>
      </w:r>
      <w:r>
        <w:rPr>
          <w:rFonts w:eastAsia="Arial" w:cs="Arial"/>
          <w:color w:val="000000"/>
          <w:spacing w:val="-1"/>
        </w:rPr>
        <w:t xml:space="preserve">public areas, schools, property </w:t>
      </w:r>
      <w:r w:rsidRPr="00A2608F">
        <w:rPr>
          <w:rFonts w:eastAsia="Arial" w:cs="Arial"/>
          <w:color w:val="000000"/>
          <w:spacing w:val="-1"/>
        </w:rPr>
        <w:t>boundaries, and roads.</w:t>
      </w:r>
    </w:p>
    <w:p w14:paraId="1B1951DC" w14:textId="1790E6E8" w:rsidR="00F555E6" w:rsidRPr="00A2608F" w:rsidRDefault="00F555E6" w:rsidP="00F555E6">
      <w:pPr>
        <w:spacing w:line="264" w:lineRule="auto"/>
        <w:rPr>
          <w:rFonts w:eastAsia="Arial" w:cs="Arial"/>
        </w:rPr>
      </w:pPr>
      <w:r w:rsidRPr="00A2608F">
        <w:rPr>
          <w:rFonts w:eastAsia="Arial" w:cs="Arial"/>
        </w:rPr>
        <w:t xml:space="preserve">We </w:t>
      </w:r>
      <w:r w:rsidR="004C5CFF">
        <w:rPr>
          <w:rFonts w:eastAsia="Arial" w:cs="Arial"/>
        </w:rPr>
        <w:t xml:space="preserve">continue </w:t>
      </w:r>
      <w:r>
        <w:rPr>
          <w:rFonts w:eastAsia="Arial" w:cs="Arial"/>
        </w:rPr>
        <w:t xml:space="preserve">to help initiate and implement </w:t>
      </w:r>
      <w:r w:rsidR="00343FC9">
        <w:rPr>
          <w:rFonts w:eastAsia="Arial" w:cs="Arial"/>
        </w:rPr>
        <w:t xml:space="preserve">priority </w:t>
      </w:r>
      <w:r w:rsidRPr="00A2608F">
        <w:rPr>
          <w:rFonts w:eastAsia="Arial" w:cs="Arial"/>
        </w:rPr>
        <w:t xml:space="preserve">reforms and improvements </w:t>
      </w:r>
      <w:r>
        <w:rPr>
          <w:rFonts w:eastAsia="Arial" w:cs="Arial"/>
        </w:rPr>
        <w:t xml:space="preserve">to the conduct and engagement of large-scale transmission </w:t>
      </w:r>
      <w:r w:rsidR="0055005B">
        <w:rPr>
          <w:rFonts w:eastAsia="Arial" w:cs="Arial"/>
        </w:rPr>
        <w:t>developers</w:t>
      </w:r>
      <w:r>
        <w:rPr>
          <w:rFonts w:eastAsia="Arial" w:cs="Arial"/>
        </w:rPr>
        <w:t xml:space="preserve">, as well as the broader </w:t>
      </w:r>
      <w:r w:rsidR="00BF5013">
        <w:rPr>
          <w:rFonts w:eastAsia="Arial" w:cs="Arial"/>
        </w:rPr>
        <w:t xml:space="preserve">stakeholders </w:t>
      </w:r>
      <w:r>
        <w:rPr>
          <w:rFonts w:eastAsia="Arial" w:cs="Arial"/>
        </w:rPr>
        <w:t>involved in transmission governance and planning</w:t>
      </w:r>
      <w:r w:rsidR="00BF5013">
        <w:rPr>
          <w:rFonts w:eastAsia="Arial" w:cs="Arial"/>
        </w:rPr>
        <w:t xml:space="preserve">. </w:t>
      </w:r>
      <w:r w:rsidR="00CB7B23">
        <w:rPr>
          <w:rFonts w:eastAsia="Arial" w:cs="Arial"/>
        </w:rPr>
        <w:t xml:space="preserve">As noted </w:t>
      </w:r>
      <w:r w:rsidR="00277E7D">
        <w:rPr>
          <w:rFonts w:eastAsia="Arial" w:cs="Arial"/>
        </w:rPr>
        <w:t>in this report</w:t>
      </w:r>
      <w:r w:rsidR="00CB7B23">
        <w:rPr>
          <w:rFonts w:eastAsia="Arial" w:cs="Arial"/>
        </w:rPr>
        <w:t xml:space="preserve">, the Commissioner’s presentation to the Energy Minister’s Meeting in October 2022 provides </w:t>
      </w:r>
      <w:r w:rsidR="009D2A9F">
        <w:rPr>
          <w:rFonts w:eastAsia="Arial" w:cs="Arial"/>
        </w:rPr>
        <w:t>a good summary of what has been achieved and the pathway</w:t>
      </w:r>
      <w:r w:rsidR="00403C4D">
        <w:rPr>
          <w:rFonts w:eastAsia="Arial" w:cs="Arial"/>
        </w:rPr>
        <w:t xml:space="preserve"> forward for remaining actionable</w:t>
      </w:r>
      <w:r w:rsidR="00C53E54">
        <w:rPr>
          <w:rFonts w:eastAsia="Arial" w:cs="Arial"/>
        </w:rPr>
        <w:t xml:space="preserve"> initiatives</w:t>
      </w:r>
      <w:r w:rsidRPr="00A2608F">
        <w:rPr>
          <w:rFonts w:eastAsia="Arial" w:cs="Arial"/>
        </w:rPr>
        <w:t>.</w:t>
      </w:r>
      <w:r w:rsidR="00244208">
        <w:rPr>
          <w:rFonts w:eastAsia="Arial" w:cs="Arial"/>
        </w:rPr>
        <w:t xml:space="preserve"> The presentation is available on our website.</w:t>
      </w:r>
    </w:p>
    <w:p w14:paraId="6BA5A3B1" w14:textId="58B7D157" w:rsidR="00304241" w:rsidRPr="003329B0" w:rsidRDefault="00304241" w:rsidP="003329B0">
      <w:pPr>
        <w:pStyle w:val="Heading1"/>
      </w:pPr>
      <w:bookmarkStart w:id="148" w:name="_Toc135390603"/>
      <w:r w:rsidRPr="003329B0">
        <w:t>Reforms and advocacy</w:t>
      </w:r>
      <w:bookmarkEnd w:id="148"/>
    </w:p>
    <w:p w14:paraId="2E36F187" w14:textId="77777777" w:rsidR="00C33E12" w:rsidRPr="003329B0" w:rsidRDefault="00C33E12" w:rsidP="003329B0">
      <w:pPr>
        <w:pStyle w:val="Heading2"/>
        <w:rPr>
          <w:i/>
          <w:iCs/>
        </w:rPr>
      </w:pPr>
      <w:bookmarkStart w:id="149" w:name="_Toc135390604"/>
      <w:r w:rsidRPr="003329B0">
        <w:rPr>
          <w:i/>
          <w:iCs/>
        </w:rPr>
        <w:t>Key activities</w:t>
      </w:r>
      <w:bookmarkEnd w:id="149"/>
    </w:p>
    <w:p w14:paraId="0CDC881C" w14:textId="72CF8F8D" w:rsidR="00C33E12" w:rsidRPr="004E654D" w:rsidRDefault="00C33E12" w:rsidP="00C33E12">
      <w:pPr>
        <w:spacing w:line="264" w:lineRule="auto"/>
        <w:rPr>
          <w:rFonts w:cs="Arial"/>
        </w:rPr>
      </w:pPr>
      <w:r w:rsidRPr="004E654D">
        <w:rPr>
          <w:rFonts w:cs="Arial"/>
        </w:rPr>
        <w:t>Throughout 202</w:t>
      </w:r>
      <w:r>
        <w:rPr>
          <w:rFonts w:cs="Arial"/>
        </w:rPr>
        <w:t>2</w:t>
      </w:r>
      <w:r w:rsidRPr="004E654D">
        <w:rPr>
          <w:rFonts w:cs="Arial"/>
        </w:rPr>
        <w:t>, the Office continued to pursue and deliver reform initiatives and other</w:t>
      </w:r>
      <w:r>
        <w:rPr>
          <w:rFonts w:cs="Arial"/>
        </w:rPr>
        <w:t xml:space="preserve"> </w:t>
      </w:r>
      <w:r w:rsidRPr="004E654D">
        <w:rPr>
          <w:rFonts w:cs="Arial"/>
        </w:rPr>
        <w:t>advocac</w:t>
      </w:r>
      <w:r w:rsidR="001156FA">
        <w:rPr>
          <w:rFonts w:cs="Arial"/>
        </w:rPr>
        <w:t>ies</w:t>
      </w:r>
      <w:r w:rsidR="00793F94">
        <w:rPr>
          <w:rFonts w:cs="Arial"/>
        </w:rPr>
        <w:t xml:space="preserve"> including:</w:t>
      </w:r>
    </w:p>
    <w:p w14:paraId="035E5944" w14:textId="28C5E1BA" w:rsidR="00C33E12" w:rsidRPr="006C7CDC" w:rsidRDefault="00C33E12" w:rsidP="00C33E12">
      <w:pPr>
        <w:pStyle w:val="ListParagraph"/>
        <w:numPr>
          <w:ilvl w:val="0"/>
          <w:numId w:val="33"/>
        </w:numPr>
        <w:tabs>
          <w:tab w:val="left" w:pos="993"/>
        </w:tabs>
        <w:spacing w:line="264" w:lineRule="auto"/>
        <w:ind w:left="709" w:hanging="425"/>
        <w:textAlignment w:val="baseline"/>
        <w:rPr>
          <w:rStyle w:val="gmail-s1"/>
          <w:rFonts w:eastAsia="Arial" w:cs="Arial"/>
          <w:color w:val="000000"/>
          <w:szCs w:val="20"/>
        </w:rPr>
      </w:pPr>
      <w:r w:rsidRPr="006C7CDC">
        <w:rPr>
          <w:rStyle w:val="gmail-s1"/>
          <w:rFonts w:cs="Arial"/>
        </w:rPr>
        <w:t xml:space="preserve">Identification of a wide range of issues </w:t>
      </w:r>
      <w:r w:rsidR="001156FA" w:rsidRPr="006C7CDC">
        <w:rPr>
          <w:rStyle w:val="gmail-s1"/>
          <w:rFonts w:cs="Arial"/>
        </w:rPr>
        <w:t>and</w:t>
      </w:r>
      <w:r w:rsidRPr="006C7CDC">
        <w:rPr>
          <w:rStyle w:val="gmail-s1"/>
          <w:rFonts w:cs="Arial"/>
        </w:rPr>
        <w:t xml:space="preserve"> </w:t>
      </w:r>
      <w:r w:rsidR="006C7CDC" w:rsidRPr="006251A9">
        <w:rPr>
          <w:rStyle w:val="gmail-s1"/>
          <w:rFonts w:cs="Arial"/>
        </w:rPr>
        <w:t>recommended</w:t>
      </w:r>
      <w:r w:rsidRPr="006C7CDC">
        <w:rPr>
          <w:rStyle w:val="gmail-s1"/>
          <w:rFonts w:cs="Arial"/>
        </w:rPr>
        <w:t xml:space="preserve"> solutions for new proposed transmission projects, particularly in relation to:</w:t>
      </w:r>
    </w:p>
    <w:p w14:paraId="559336EE" w14:textId="77777777" w:rsidR="00C33E12" w:rsidRPr="006C7CDC" w:rsidRDefault="00C33E12" w:rsidP="00C33E12">
      <w:pPr>
        <w:pStyle w:val="ListParagraph"/>
        <w:numPr>
          <w:ilvl w:val="1"/>
          <w:numId w:val="33"/>
        </w:numPr>
        <w:tabs>
          <w:tab w:val="left" w:pos="993"/>
        </w:tabs>
        <w:spacing w:line="264" w:lineRule="auto"/>
        <w:ind w:left="1276" w:hanging="283"/>
        <w:textAlignment w:val="baseline"/>
        <w:rPr>
          <w:rStyle w:val="gmail-s1"/>
          <w:rFonts w:eastAsia="Arial" w:cs="Arial"/>
          <w:color w:val="000000"/>
          <w:szCs w:val="20"/>
        </w:rPr>
      </w:pPr>
      <w:r w:rsidRPr="006C7CDC">
        <w:rPr>
          <w:rStyle w:val="gmail-s1"/>
          <w:rFonts w:cs="Arial"/>
        </w:rPr>
        <w:t>landholder matters</w:t>
      </w:r>
    </w:p>
    <w:p w14:paraId="0BAF2F44" w14:textId="77777777" w:rsidR="00C33E12" w:rsidRPr="006C7CDC" w:rsidRDefault="00C33E12" w:rsidP="00C33E12">
      <w:pPr>
        <w:pStyle w:val="ListParagraph"/>
        <w:numPr>
          <w:ilvl w:val="1"/>
          <w:numId w:val="33"/>
        </w:numPr>
        <w:tabs>
          <w:tab w:val="left" w:pos="993"/>
        </w:tabs>
        <w:spacing w:line="264" w:lineRule="auto"/>
        <w:ind w:left="1276" w:hanging="283"/>
        <w:textAlignment w:val="baseline"/>
        <w:rPr>
          <w:rStyle w:val="gmail-s1"/>
          <w:rFonts w:eastAsia="Arial" w:cs="Arial"/>
          <w:color w:val="000000"/>
          <w:szCs w:val="20"/>
        </w:rPr>
      </w:pPr>
      <w:r w:rsidRPr="006C7CDC">
        <w:rPr>
          <w:rStyle w:val="gmail-s1"/>
          <w:rFonts w:cs="Arial"/>
        </w:rPr>
        <w:t>neighbour and community matters</w:t>
      </w:r>
    </w:p>
    <w:p w14:paraId="5AB4FF45" w14:textId="4A715FC8" w:rsidR="00C33E12" w:rsidRPr="006C7CDC" w:rsidRDefault="00C33E12" w:rsidP="00C33E12">
      <w:pPr>
        <w:pStyle w:val="ListParagraph"/>
        <w:numPr>
          <w:ilvl w:val="1"/>
          <w:numId w:val="33"/>
        </w:numPr>
        <w:tabs>
          <w:tab w:val="left" w:pos="993"/>
        </w:tabs>
        <w:spacing w:line="264" w:lineRule="auto"/>
        <w:ind w:left="1276" w:hanging="283"/>
        <w:textAlignment w:val="baseline"/>
        <w:rPr>
          <w:rStyle w:val="gmail-s1"/>
          <w:rFonts w:eastAsia="Arial" w:cs="Arial"/>
          <w:color w:val="000000"/>
          <w:szCs w:val="20"/>
        </w:rPr>
      </w:pPr>
      <w:r w:rsidRPr="006C7CDC">
        <w:rPr>
          <w:rStyle w:val="gmail-s1"/>
          <w:rFonts w:eastAsia="Arial" w:cs="Arial"/>
          <w:color w:val="000000"/>
          <w:szCs w:val="20"/>
        </w:rPr>
        <w:t>governance matters</w:t>
      </w:r>
    </w:p>
    <w:p w14:paraId="6CB1E36A" w14:textId="68E70939" w:rsidR="00C33E12"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zCs w:val="20"/>
        </w:rPr>
        <w:t xml:space="preserve">Presentation to the </w:t>
      </w:r>
      <w:r w:rsidR="00A408B4">
        <w:rPr>
          <w:rFonts w:eastAsia="Arial" w:cs="Arial"/>
          <w:color w:val="000000"/>
          <w:szCs w:val="20"/>
        </w:rPr>
        <w:t>October 202</w:t>
      </w:r>
      <w:r w:rsidR="00694B66">
        <w:rPr>
          <w:rFonts w:eastAsia="Arial" w:cs="Arial"/>
          <w:color w:val="000000"/>
          <w:szCs w:val="20"/>
        </w:rPr>
        <w:t>2</w:t>
      </w:r>
      <w:r w:rsidR="00A408B4">
        <w:rPr>
          <w:rFonts w:eastAsia="Arial" w:cs="Arial"/>
          <w:color w:val="000000"/>
          <w:szCs w:val="20"/>
        </w:rPr>
        <w:t xml:space="preserve"> </w:t>
      </w:r>
      <w:r>
        <w:rPr>
          <w:rFonts w:eastAsia="Arial" w:cs="Arial"/>
          <w:color w:val="000000"/>
          <w:szCs w:val="20"/>
        </w:rPr>
        <w:t xml:space="preserve">Energy Minister’s Meeting on </w:t>
      </w:r>
      <w:r w:rsidRPr="00A73A23">
        <w:rPr>
          <w:rFonts w:eastAsia="Arial" w:cs="Arial"/>
          <w:color w:val="000000"/>
          <w:szCs w:val="20"/>
        </w:rPr>
        <w:t>recommendations for next steps</w:t>
      </w:r>
      <w:r>
        <w:rPr>
          <w:rFonts w:eastAsia="Arial" w:cs="Arial"/>
          <w:color w:val="000000"/>
          <w:szCs w:val="20"/>
        </w:rPr>
        <w:t xml:space="preserve"> (discussed </w:t>
      </w:r>
      <w:r w:rsidR="00627F2B">
        <w:rPr>
          <w:rFonts w:eastAsia="Arial" w:cs="Arial"/>
          <w:color w:val="000000"/>
          <w:szCs w:val="20"/>
        </w:rPr>
        <w:t>further below</w:t>
      </w:r>
      <w:r>
        <w:rPr>
          <w:rFonts w:eastAsia="Arial" w:cs="Arial"/>
          <w:color w:val="000000"/>
          <w:szCs w:val="20"/>
        </w:rPr>
        <w:t>).</w:t>
      </w:r>
    </w:p>
    <w:p w14:paraId="7F6E422E" w14:textId="77777777"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eastAsia="Arial" w:cs="Arial"/>
        </w:rPr>
        <w:t xml:space="preserve">Publication of the updated guidance document </w:t>
      </w:r>
      <w:r w:rsidRPr="004E654D">
        <w:rPr>
          <w:rFonts w:eastAsia="Arial" w:cs="Arial"/>
          <w:i/>
        </w:rPr>
        <w:t>Considerations for Landowners before Entering into Commercial Agreements</w:t>
      </w:r>
      <w:r w:rsidRPr="004E654D">
        <w:rPr>
          <w:rFonts w:eastAsia="Arial" w:cs="Arial"/>
        </w:rPr>
        <w:t>, available on the Commissioner’s website.</w:t>
      </w:r>
    </w:p>
    <w:p w14:paraId="43EDD579" w14:textId="49AFB5CA"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cs="Arial"/>
        </w:rPr>
        <w:t xml:space="preserve">Meetings with various state and federal departments and agencies to discuss </w:t>
      </w:r>
      <w:r w:rsidRPr="004E654D">
        <w:rPr>
          <w:rFonts w:cs="Arial"/>
          <w:bCs/>
          <w:lang w:eastAsia="en-AU"/>
        </w:rPr>
        <w:t xml:space="preserve">long-term transmission grid planning and </w:t>
      </w:r>
      <w:r w:rsidR="006C7CDC">
        <w:rPr>
          <w:rFonts w:cs="Arial"/>
          <w:bCs/>
          <w:lang w:eastAsia="en-AU"/>
        </w:rPr>
        <w:t xml:space="preserve">the </w:t>
      </w:r>
      <w:r w:rsidRPr="004E654D">
        <w:rPr>
          <w:rFonts w:cs="Arial"/>
          <w:bCs/>
          <w:lang w:eastAsia="en-AU"/>
        </w:rPr>
        <w:t>management of cumulative impacts and other community issues across jurisdictions</w:t>
      </w:r>
      <w:r w:rsidRPr="004E654D">
        <w:rPr>
          <w:rFonts w:cs="Arial"/>
        </w:rPr>
        <w:t xml:space="preserve">. </w:t>
      </w:r>
    </w:p>
    <w:p w14:paraId="1623590D" w14:textId="77777777" w:rsidR="00C33E12" w:rsidRPr="00062905"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062905">
        <w:rPr>
          <w:rFonts w:eastAsia="Arial" w:cs="Arial"/>
          <w:color w:val="000000"/>
          <w:szCs w:val="20"/>
        </w:rPr>
        <w:t>Regular meetings with Ministers, government agencies, energy planning authorities and industry proponents to provide advice on project governance, community engagement</w:t>
      </w:r>
      <w:r>
        <w:rPr>
          <w:rFonts w:eastAsia="Arial" w:cs="Arial"/>
          <w:color w:val="000000"/>
          <w:szCs w:val="20"/>
        </w:rPr>
        <w:t>, land access protocols and landholder compensation agreements</w:t>
      </w:r>
      <w:r w:rsidRPr="00062905">
        <w:rPr>
          <w:rFonts w:eastAsia="Arial" w:cs="Arial"/>
          <w:color w:val="000000"/>
          <w:szCs w:val="20"/>
        </w:rPr>
        <w:t>.</w:t>
      </w:r>
    </w:p>
    <w:p w14:paraId="651C163F" w14:textId="7C470A77" w:rsidR="00C33E12" w:rsidRPr="008562E1" w:rsidRDefault="00C33E12" w:rsidP="00C33E12">
      <w:pPr>
        <w:pStyle w:val="ListParagraph"/>
        <w:numPr>
          <w:ilvl w:val="0"/>
          <w:numId w:val="33"/>
        </w:numPr>
        <w:tabs>
          <w:tab w:val="left" w:pos="993"/>
        </w:tabs>
        <w:spacing w:line="264" w:lineRule="auto"/>
        <w:ind w:left="709" w:hanging="425"/>
        <w:textAlignment w:val="baseline"/>
        <w:rPr>
          <w:rStyle w:val="gmail-s1"/>
          <w:rFonts w:eastAsia="Arial" w:cs="Arial"/>
          <w:color w:val="000000"/>
          <w:szCs w:val="20"/>
        </w:rPr>
      </w:pPr>
      <w:r>
        <w:rPr>
          <w:rStyle w:val="gmail-s1"/>
          <w:rFonts w:cs="Arial"/>
        </w:rPr>
        <w:t>S</w:t>
      </w:r>
      <w:r w:rsidRPr="008562E1">
        <w:rPr>
          <w:rStyle w:val="gmail-s1"/>
          <w:rFonts w:cs="Arial"/>
        </w:rPr>
        <w:t xml:space="preserve">ite visits in Victoria </w:t>
      </w:r>
      <w:r>
        <w:rPr>
          <w:rStyle w:val="gmail-s1"/>
          <w:rFonts w:cs="Arial"/>
        </w:rPr>
        <w:t xml:space="preserve">and New South Wales </w:t>
      </w:r>
      <w:r w:rsidRPr="008562E1">
        <w:rPr>
          <w:rStyle w:val="gmail-s1"/>
          <w:rFonts w:cs="Arial"/>
        </w:rPr>
        <w:t xml:space="preserve">to inspect </w:t>
      </w:r>
      <w:r>
        <w:rPr>
          <w:rStyle w:val="gmail-s1"/>
          <w:rFonts w:cs="Arial"/>
        </w:rPr>
        <w:t xml:space="preserve">proposed transmission </w:t>
      </w:r>
      <w:r w:rsidRPr="008562E1">
        <w:rPr>
          <w:rStyle w:val="gmail-s1"/>
          <w:rFonts w:cs="Arial"/>
        </w:rPr>
        <w:t>corridor</w:t>
      </w:r>
      <w:r>
        <w:rPr>
          <w:rStyle w:val="gmail-s1"/>
          <w:rFonts w:cs="Arial"/>
        </w:rPr>
        <w:t>s and</w:t>
      </w:r>
      <w:r w:rsidRPr="008562E1">
        <w:rPr>
          <w:rStyle w:val="gmail-s1"/>
          <w:rFonts w:cs="Arial"/>
        </w:rPr>
        <w:t xml:space="preserve"> meet with a range of affected residents to understand t</w:t>
      </w:r>
      <w:r>
        <w:rPr>
          <w:rStyle w:val="gmail-s1"/>
          <w:rFonts w:cs="Arial"/>
        </w:rPr>
        <w:t>heir concerns and perspectives.</w:t>
      </w:r>
    </w:p>
    <w:p w14:paraId="018E5684" w14:textId="77777777" w:rsidR="00C33E12" w:rsidRDefault="00C33E12" w:rsidP="00C33E12">
      <w:pPr>
        <w:pStyle w:val="ListParagraph"/>
        <w:numPr>
          <w:ilvl w:val="0"/>
          <w:numId w:val="33"/>
        </w:numPr>
        <w:tabs>
          <w:tab w:val="left" w:pos="792"/>
        </w:tabs>
        <w:spacing w:line="264" w:lineRule="auto"/>
        <w:ind w:left="709" w:hanging="425"/>
        <w:textAlignment w:val="baseline"/>
        <w:rPr>
          <w:rFonts w:eastAsia="Arial" w:cs="Arial"/>
          <w:color w:val="000000"/>
          <w:spacing w:val="-2"/>
        </w:rPr>
      </w:pPr>
      <w:r w:rsidRPr="00A2608F">
        <w:rPr>
          <w:rFonts w:eastAsia="Arial" w:cs="Arial"/>
          <w:color w:val="000000"/>
          <w:spacing w:val="-2"/>
        </w:rPr>
        <w:t>Advocat</w:t>
      </w:r>
      <w:r>
        <w:rPr>
          <w:rFonts w:eastAsia="Arial" w:cs="Arial"/>
          <w:color w:val="000000"/>
          <w:spacing w:val="-2"/>
        </w:rPr>
        <w:t>ed</w:t>
      </w:r>
      <w:r w:rsidRPr="00A2608F">
        <w:rPr>
          <w:rFonts w:eastAsia="Arial" w:cs="Arial"/>
          <w:color w:val="000000"/>
          <w:spacing w:val="-2"/>
        </w:rPr>
        <w:t xml:space="preserve"> for new, </w:t>
      </w:r>
      <w:r>
        <w:rPr>
          <w:rFonts w:eastAsia="Arial" w:cs="Arial"/>
          <w:color w:val="000000"/>
          <w:spacing w:val="-2"/>
        </w:rPr>
        <w:t xml:space="preserve">national </w:t>
      </w:r>
      <w:r w:rsidRPr="00A2608F">
        <w:rPr>
          <w:rFonts w:eastAsia="Arial" w:cs="Arial"/>
          <w:color w:val="000000"/>
          <w:spacing w:val="-2"/>
        </w:rPr>
        <w:t>guidelines relating to topics such as farming practices in transmission easements</w:t>
      </w:r>
      <w:r>
        <w:rPr>
          <w:rFonts w:eastAsia="Arial" w:cs="Arial"/>
          <w:color w:val="000000"/>
          <w:spacing w:val="-2"/>
        </w:rPr>
        <w:t xml:space="preserve"> and bushfire safety and mitigation approaches.</w:t>
      </w:r>
    </w:p>
    <w:p w14:paraId="4C99C172" w14:textId="77777777" w:rsidR="00C33E12"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zCs w:val="20"/>
        </w:rPr>
        <w:t>Consultation with transmission network service providers on route alignment planning, including development of transmission route options.</w:t>
      </w:r>
    </w:p>
    <w:p w14:paraId="419F14CC" w14:textId="77777777" w:rsidR="00C33E12" w:rsidRPr="004068B9"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pacing w:val="-1"/>
        </w:rPr>
        <w:t xml:space="preserve">Assisted both proponents and regulators to review and improve guidance </w:t>
      </w:r>
      <w:r w:rsidRPr="003025AF">
        <w:rPr>
          <w:rFonts w:eastAsia="Arial" w:cs="Arial"/>
          <w:color w:val="000000"/>
          <w:spacing w:val="-1"/>
        </w:rPr>
        <w:t>and protocols relating to land access and easement acquisitio</w:t>
      </w:r>
      <w:r>
        <w:rPr>
          <w:rFonts w:eastAsia="Arial" w:cs="Arial"/>
          <w:color w:val="000000"/>
          <w:spacing w:val="-1"/>
        </w:rPr>
        <w:t>n, as well as p</w:t>
      </w:r>
      <w:r w:rsidRPr="00A2608F">
        <w:rPr>
          <w:rFonts w:eastAsia="Arial" w:cs="Arial"/>
          <w:color w:val="000000"/>
          <w:szCs w:val="20"/>
        </w:rPr>
        <w:t xml:space="preserve">roviding feedback to </w:t>
      </w:r>
      <w:r>
        <w:rPr>
          <w:rFonts w:eastAsia="Arial" w:cs="Arial"/>
          <w:color w:val="000000"/>
          <w:szCs w:val="20"/>
        </w:rPr>
        <w:t>proponents</w:t>
      </w:r>
      <w:r w:rsidRPr="00A2608F">
        <w:rPr>
          <w:rFonts w:eastAsia="Arial" w:cs="Arial"/>
          <w:color w:val="000000"/>
          <w:szCs w:val="20"/>
        </w:rPr>
        <w:t xml:space="preserve"> on </w:t>
      </w:r>
      <w:r>
        <w:rPr>
          <w:rFonts w:eastAsia="Arial" w:cs="Arial"/>
          <w:color w:val="000000"/>
          <w:szCs w:val="20"/>
        </w:rPr>
        <w:t>draft</w:t>
      </w:r>
      <w:r w:rsidRPr="00A2608F">
        <w:rPr>
          <w:rFonts w:eastAsia="Arial" w:cs="Arial"/>
          <w:color w:val="000000"/>
          <w:szCs w:val="20"/>
        </w:rPr>
        <w:t xml:space="preserve"> correspondence to landholders and </w:t>
      </w:r>
      <w:r w:rsidRPr="00A2608F">
        <w:rPr>
          <w:rFonts w:eastAsia="Arial" w:cs="Arial"/>
          <w:color w:val="000000"/>
          <w:spacing w:val="-1"/>
        </w:rPr>
        <w:t>communit</w:t>
      </w:r>
      <w:r>
        <w:rPr>
          <w:rFonts w:eastAsia="Arial" w:cs="Arial"/>
          <w:color w:val="000000"/>
          <w:spacing w:val="-1"/>
        </w:rPr>
        <w:t>y members</w:t>
      </w:r>
      <w:r w:rsidRPr="003025AF">
        <w:rPr>
          <w:rFonts w:eastAsia="Arial" w:cs="Arial"/>
          <w:color w:val="000000"/>
          <w:spacing w:val="-1"/>
        </w:rPr>
        <w:t>.</w:t>
      </w:r>
    </w:p>
    <w:p w14:paraId="0EEDA802" w14:textId="77777777" w:rsidR="00C33E12" w:rsidRPr="003025AF"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color w:val="000000"/>
          <w:spacing w:val="-1"/>
        </w:rPr>
        <w:lastRenderedPageBreak/>
        <w:t>Mediation of land access disputes where surveys and investigations were required.</w:t>
      </w:r>
    </w:p>
    <w:p w14:paraId="4E531CA8" w14:textId="5B9C1F55" w:rsidR="00C33E12" w:rsidRPr="003025AF"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3025AF">
        <w:rPr>
          <w:rFonts w:eastAsia="Arial" w:cs="Arial"/>
        </w:rPr>
        <w:t>Provided information and clarity to land</w:t>
      </w:r>
      <w:r>
        <w:rPr>
          <w:rFonts w:eastAsia="Arial" w:cs="Arial"/>
        </w:rPr>
        <w:t>holders</w:t>
      </w:r>
      <w:r w:rsidRPr="003025AF">
        <w:rPr>
          <w:rFonts w:eastAsia="Arial" w:cs="Arial"/>
        </w:rPr>
        <w:t xml:space="preserve"> on matters including planning processes, public exhibition and consultation periods and governance arrangements.</w:t>
      </w:r>
    </w:p>
    <w:p w14:paraId="657F4141" w14:textId="77777777" w:rsidR="00C33E12" w:rsidRPr="003025AF"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eastAsia="Arial" w:cs="Arial"/>
        </w:rPr>
        <w:t>Extensive review of</w:t>
      </w:r>
      <w:r w:rsidRPr="003025AF">
        <w:rPr>
          <w:rFonts w:eastAsia="Arial" w:cs="Arial"/>
        </w:rPr>
        <w:t xml:space="preserve"> land access agreements, land</w:t>
      </w:r>
      <w:r>
        <w:rPr>
          <w:rFonts w:eastAsia="Arial" w:cs="Arial"/>
        </w:rPr>
        <w:t>holder</w:t>
      </w:r>
      <w:r w:rsidRPr="003025AF">
        <w:rPr>
          <w:rFonts w:eastAsia="Arial" w:cs="Arial"/>
        </w:rPr>
        <w:t xml:space="preserve"> communications, guidelines for living and working with </w:t>
      </w:r>
      <w:r>
        <w:rPr>
          <w:rFonts w:eastAsia="Arial" w:cs="Arial"/>
        </w:rPr>
        <w:t xml:space="preserve">transmission </w:t>
      </w:r>
      <w:r w:rsidRPr="003025AF">
        <w:rPr>
          <w:rFonts w:eastAsia="Arial" w:cs="Arial"/>
        </w:rPr>
        <w:t>easements</w:t>
      </w:r>
      <w:r>
        <w:rPr>
          <w:rFonts w:eastAsia="Arial" w:cs="Arial"/>
        </w:rPr>
        <w:t xml:space="preserve"> and other relevant </w:t>
      </w:r>
      <w:r w:rsidRPr="003025AF">
        <w:rPr>
          <w:rFonts w:eastAsia="Arial" w:cs="Arial"/>
        </w:rPr>
        <w:t>fact sheets.</w:t>
      </w:r>
    </w:p>
    <w:p w14:paraId="5DF74DDA" w14:textId="77777777"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cs="Arial"/>
          <w:color w:val="000000"/>
        </w:rPr>
        <w:t>Ongoing consultation as a referral agency for the Clean Energy Regulator’s accreditation process for large-scale renewable energy projects.</w:t>
      </w:r>
    </w:p>
    <w:p w14:paraId="73728BF8" w14:textId="1F6EB258"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3025AF">
        <w:rPr>
          <w:rFonts w:eastAsia="Arial" w:cs="Arial"/>
          <w:color w:val="000000"/>
          <w:spacing w:val="-1"/>
        </w:rPr>
        <w:t xml:space="preserve">Assisted proponents </w:t>
      </w:r>
      <w:r w:rsidR="002713F6">
        <w:rPr>
          <w:rFonts w:eastAsia="Arial" w:cs="Arial"/>
          <w:color w:val="000000"/>
          <w:spacing w:val="-1"/>
        </w:rPr>
        <w:t xml:space="preserve">to </w:t>
      </w:r>
      <w:r>
        <w:rPr>
          <w:rFonts w:eastAsia="Arial" w:cs="Arial"/>
          <w:color w:val="000000"/>
          <w:spacing w:val="-1"/>
        </w:rPr>
        <w:t xml:space="preserve">review and refine their </w:t>
      </w:r>
      <w:r w:rsidRPr="003025AF">
        <w:rPr>
          <w:rFonts w:eastAsia="Arial" w:cs="Arial"/>
          <w:color w:val="000000"/>
          <w:spacing w:val="-1"/>
        </w:rPr>
        <w:t>complaint handling proce</w:t>
      </w:r>
      <w:r w:rsidR="00B8269B">
        <w:rPr>
          <w:rFonts w:eastAsia="Arial" w:cs="Arial"/>
          <w:color w:val="000000"/>
          <w:spacing w:val="-1"/>
        </w:rPr>
        <w:t>dures</w:t>
      </w:r>
      <w:r>
        <w:rPr>
          <w:rFonts w:eastAsia="Arial" w:cs="Arial"/>
          <w:color w:val="000000"/>
          <w:spacing w:val="-1"/>
        </w:rPr>
        <w:t>.</w:t>
      </w:r>
    </w:p>
    <w:p w14:paraId="0C7098E4" w14:textId="77777777"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eastAsia="Times New Roman" w:cs="Arial"/>
        </w:rPr>
        <w:t xml:space="preserve">Ongoing meetings with the </w:t>
      </w:r>
      <w:r w:rsidRPr="004E654D">
        <w:rPr>
          <w:rFonts w:cs="Arial"/>
          <w:bCs/>
          <w:lang w:eastAsia="en-AU"/>
        </w:rPr>
        <w:t>Clean Energy Finance Corporation in relation to renewable project investments, including update briefings on projects and pipelines.</w:t>
      </w:r>
    </w:p>
    <w:p w14:paraId="56A6169A" w14:textId="77777777" w:rsidR="00C33E12" w:rsidRPr="001D6FDB"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cs="Arial"/>
        </w:rPr>
        <w:t>Working closely with industry and government to review and provide advice for best practice internal complaint handling procedures.</w:t>
      </w:r>
    </w:p>
    <w:p w14:paraId="4BE99F55" w14:textId="2CF7198A" w:rsidR="001D6FDB" w:rsidRPr="00C5745D" w:rsidRDefault="001D6FDB"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cs="Arial"/>
        </w:rPr>
        <w:t>Ongoing discussions with</w:t>
      </w:r>
      <w:r w:rsidR="007C4C70">
        <w:rPr>
          <w:rFonts w:cs="Arial"/>
        </w:rPr>
        <w:t xml:space="preserve"> planning authorities and air-safety regulators regarding the necessity </w:t>
      </w:r>
      <w:r w:rsidR="002713F6">
        <w:rPr>
          <w:rFonts w:cs="Arial"/>
        </w:rPr>
        <w:t xml:space="preserve">of </w:t>
      </w:r>
      <w:r w:rsidR="00F3668D">
        <w:rPr>
          <w:rFonts w:cs="Arial"/>
        </w:rPr>
        <w:t>a consistent approach to aviation safety lighting of</w:t>
      </w:r>
      <w:r w:rsidR="0095660A">
        <w:rPr>
          <w:rFonts w:cs="Arial"/>
        </w:rPr>
        <w:t xml:space="preserve"> </w:t>
      </w:r>
      <w:r w:rsidR="00F3668D">
        <w:rPr>
          <w:rFonts w:cs="Arial"/>
        </w:rPr>
        <w:t>wind turbines</w:t>
      </w:r>
      <w:r w:rsidR="0095660A">
        <w:rPr>
          <w:rFonts w:cs="Arial"/>
        </w:rPr>
        <w:t>.</w:t>
      </w:r>
    </w:p>
    <w:p w14:paraId="0A703148" w14:textId="2D1AF3FA" w:rsidR="00C5745D" w:rsidRPr="00E95EEE" w:rsidRDefault="00C5745D"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cs="Arial"/>
        </w:rPr>
        <w:t>Commencing work to collate and identify best practices as they relate to the development and deployment</w:t>
      </w:r>
      <w:r w:rsidR="00211D65">
        <w:rPr>
          <w:rFonts w:cs="Arial"/>
        </w:rPr>
        <w:t xml:space="preserve"> of offshore wind generation projects</w:t>
      </w:r>
      <w:r w:rsidR="00DF657E">
        <w:rPr>
          <w:rFonts w:cs="Arial"/>
        </w:rPr>
        <w:t>, including</w:t>
      </w:r>
      <w:r w:rsidR="00E95EEE">
        <w:rPr>
          <w:rFonts w:cs="Arial"/>
        </w:rPr>
        <w:t xml:space="preserve"> consolidated approaches for grid connections</w:t>
      </w:r>
      <w:r w:rsidR="00211525">
        <w:rPr>
          <w:rFonts w:cs="Arial"/>
        </w:rPr>
        <w:t>.</w:t>
      </w:r>
    </w:p>
    <w:p w14:paraId="0C3415BD" w14:textId="38296E12" w:rsidR="00E95EEE" w:rsidRPr="004E654D" w:rsidRDefault="00221C11"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Pr>
          <w:rFonts w:cs="Arial"/>
        </w:rPr>
        <w:t>Assisted with the completion of wind farm noise assessment and compliance framewo</w:t>
      </w:r>
      <w:r w:rsidR="00254A5F">
        <w:rPr>
          <w:rFonts w:cs="Arial"/>
        </w:rPr>
        <w:t>rks recently introduced into Victoria.</w:t>
      </w:r>
    </w:p>
    <w:p w14:paraId="3CBDFF7E" w14:textId="526DAC86" w:rsidR="00C33E12" w:rsidRPr="004E654D" w:rsidRDefault="00C33E12" w:rsidP="00C33E12">
      <w:pPr>
        <w:pStyle w:val="ListParagraph"/>
        <w:numPr>
          <w:ilvl w:val="0"/>
          <w:numId w:val="33"/>
        </w:numPr>
        <w:tabs>
          <w:tab w:val="left" w:pos="993"/>
        </w:tabs>
        <w:spacing w:line="264" w:lineRule="auto"/>
        <w:ind w:left="709" w:hanging="425"/>
        <w:textAlignment w:val="baseline"/>
        <w:rPr>
          <w:rFonts w:eastAsia="Arial" w:cs="Arial"/>
          <w:color w:val="000000"/>
          <w:szCs w:val="20"/>
        </w:rPr>
      </w:pPr>
      <w:r w:rsidRPr="004E654D">
        <w:rPr>
          <w:rFonts w:cs="Arial"/>
        </w:rPr>
        <w:t xml:space="preserve">Encouraging increased transparency across the </w:t>
      </w:r>
      <w:r w:rsidR="00022423">
        <w:rPr>
          <w:rFonts w:cs="Arial"/>
        </w:rPr>
        <w:t xml:space="preserve">renewable and transmission </w:t>
      </w:r>
      <w:r w:rsidRPr="004E654D">
        <w:rPr>
          <w:rFonts w:cs="Arial"/>
        </w:rPr>
        <w:t>industr</w:t>
      </w:r>
      <w:r w:rsidR="00022423">
        <w:rPr>
          <w:rFonts w:cs="Arial"/>
        </w:rPr>
        <w:t>ies</w:t>
      </w:r>
      <w:r w:rsidRPr="004E654D">
        <w:rPr>
          <w:rFonts w:cs="Arial"/>
        </w:rPr>
        <w:t xml:space="preserve"> by:</w:t>
      </w:r>
    </w:p>
    <w:p w14:paraId="5FFF4DAD" w14:textId="77777777" w:rsidR="00C33E12" w:rsidRPr="0051713D" w:rsidRDefault="00C33E12" w:rsidP="00C33E12">
      <w:pPr>
        <w:pStyle w:val="hps-normal"/>
        <w:numPr>
          <w:ilvl w:val="1"/>
          <w:numId w:val="21"/>
        </w:numPr>
        <w:shd w:val="clear" w:color="auto" w:fill="FFFFFF"/>
        <w:spacing w:before="0" w:after="200" w:line="264" w:lineRule="auto"/>
        <w:ind w:left="1276"/>
        <w:rPr>
          <w:rFonts w:ascii="Arial" w:hAnsi="Arial" w:cs="Arial"/>
          <w:color w:val="auto"/>
          <w:sz w:val="22"/>
          <w:szCs w:val="22"/>
          <w:lang w:val="en-US"/>
        </w:rPr>
      </w:pPr>
      <w:r w:rsidRPr="002A6706">
        <w:rPr>
          <w:rFonts w:ascii="Arial" w:hAnsi="Arial" w:cs="Arial"/>
          <w:color w:val="auto"/>
          <w:sz w:val="22"/>
          <w:szCs w:val="22"/>
        </w:rPr>
        <w:t>advocating for improved transparency of information on planning processes and opportunities for public engagement</w:t>
      </w:r>
    </w:p>
    <w:p w14:paraId="7D7252E4" w14:textId="50D012AC" w:rsidR="0051713D" w:rsidRPr="002A6706" w:rsidRDefault="0051713D" w:rsidP="00C33E12">
      <w:pPr>
        <w:pStyle w:val="hps-normal"/>
        <w:numPr>
          <w:ilvl w:val="1"/>
          <w:numId w:val="21"/>
        </w:numPr>
        <w:shd w:val="clear" w:color="auto" w:fill="FFFFFF"/>
        <w:spacing w:before="0" w:after="200" w:line="264" w:lineRule="auto"/>
        <w:ind w:left="1276"/>
        <w:rPr>
          <w:rFonts w:ascii="Arial" w:hAnsi="Arial" w:cs="Arial"/>
          <w:color w:val="auto"/>
          <w:sz w:val="22"/>
          <w:szCs w:val="22"/>
          <w:lang w:val="en-US"/>
        </w:rPr>
      </w:pPr>
      <w:r>
        <w:rPr>
          <w:rFonts w:ascii="Arial" w:hAnsi="Arial" w:cs="Arial"/>
          <w:color w:val="auto"/>
          <w:sz w:val="22"/>
          <w:szCs w:val="22"/>
        </w:rPr>
        <w:t xml:space="preserve">continuing to focus attention </w:t>
      </w:r>
      <w:r w:rsidR="000711DD">
        <w:rPr>
          <w:rFonts w:ascii="Arial" w:hAnsi="Arial" w:cs="Arial"/>
          <w:color w:val="auto"/>
          <w:sz w:val="22"/>
          <w:szCs w:val="22"/>
        </w:rPr>
        <w:t xml:space="preserve">on the need for </w:t>
      </w:r>
      <w:r>
        <w:rPr>
          <w:rFonts w:ascii="Arial" w:hAnsi="Arial" w:cs="Arial"/>
          <w:color w:val="auto"/>
          <w:sz w:val="22"/>
          <w:szCs w:val="22"/>
        </w:rPr>
        <w:t>transparency</w:t>
      </w:r>
      <w:r w:rsidR="00EB790B">
        <w:rPr>
          <w:rFonts w:ascii="Arial" w:hAnsi="Arial" w:cs="Arial"/>
          <w:color w:val="auto"/>
          <w:sz w:val="22"/>
          <w:szCs w:val="22"/>
        </w:rPr>
        <w:t xml:space="preserve"> o</w:t>
      </w:r>
      <w:r w:rsidR="000711DD">
        <w:rPr>
          <w:rFonts w:ascii="Arial" w:hAnsi="Arial" w:cs="Arial"/>
          <w:color w:val="auto"/>
          <w:sz w:val="22"/>
          <w:szCs w:val="22"/>
        </w:rPr>
        <w:t>f</w:t>
      </w:r>
      <w:r w:rsidR="00EB790B">
        <w:rPr>
          <w:rFonts w:ascii="Arial" w:hAnsi="Arial" w:cs="Arial"/>
          <w:color w:val="auto"/>
          <w:sz w:val="22"/>
          <w:szCs w:val="22"/>
        </w:rPr>
        <w:t xml:space="preserve"> safety </w:t>
      </w:r>
      <w:r w:rsidR="00215376">
        <w:rPr>
          <w:rFonts w:ascii="Arial" w:hAnsi="Arial" w:cs="Arial"/>
          <w:color w:val="auto"/>
          <w:sz w:val="22"/>
          <w:szCs w:val="22"/>
        </w:rPr>
        <w:t xml:space="preserve">related </w:t>
      </w:r>
      <w:r w:rsidR="00EB790B">
        <w:rPr>
          <w:rFonts w:ascii="Arial" w:hAnsi="Arial" w:cs="Arial"/>
          <w:color w:val="auto"/>
          <w:sz w:val="22"/>
          <w:szCs w:val="22"/>
        </w:rPr>
        <w:t>incidents</w:t>
      </w:r>
      <w:r w:rsidR="00215376">
        <w:rPr>
          <w:rFonts w:ascii="Arial" w:hAnsi="Arial" w:cs="Arial"/>
          <w:color w:val="auto"/>
          <w:sz w:val="22"/>
          <w:szCs w:val="22"/>
        </w:rPr>
        <w:t>, th</w:t>
      </w:r>
      <w:r w:rsidR="00C34B49">
        <w:rPr>
          <w:rFonts w:ascii="Arial" w:hAnsi="Arial" w:cs="Arial"/>
          <w:color w:val="auto"/>
          <w:sz w:val="22"/>
          <w:szCs w:val="22"/>
        </w:rPr>
        <w:t>e</w:t>
      </w:r>
      <w:r w:rsidR="00215376">
        <w:rPr>
          <w:rFonts w:ascii="Arial" w:hAnsi="Arial" w:cs="Arial"/>
          <w:color w:val="auto"/>
          <w:sz w:val="22"/>
          <w:szCs w:val="22"/>
        </w:rPr>
        <w:t xml:space="preserve"> root cause of the incident</w:t>
      </w:r>
      <w:r w:rsidR="000711DD">
        <w:rPr>
          <w:rFonts w:ascii="Arial" w:hAnsi="Arial" w:cs="Arial"/>
          <w:color w:val="auto"/>
          <w:sz w:val="22"/>
          <w:szCs w:val="22"/>
        </w:rPr>
        <w:t xml:space="preserve"> </w:t>
      </w:r>
      <w:r w:rsidR="00521ACC">
        <w:rPr>
          <w:rFonts w:ascii="Arial" w:hAnsi="Arial" w:cs="Arial"/>
          <w:color w:val="auto"/>
          <w:sz w:val="22"/>
          <w:szCs w:val="22"/>
        </w:rPr>
        <w:t>and resulting corrective actions (see also Section 9 of Appendix A)</w:t>
      </w:r>
    </w:p>
    <w:p w14:paraId="6053DBEF" w14:textId="37371DD7" w:rsidR="00C33E12" w:rsidRPr="002A6706" w:rsidRDefault="00C33E12" w:rsidP="00C33E12">
      <w:pPr>
        <w:pStyle w:val="hps-normal"/>
        <w:numPr>
          <w:ilvl w:val="1"/>
          <w:numId w:val="21"/>
        </w:numPr>
        <w:shd w:val="clear" w:color="auto" w:fill="FFFFFF"/>
        <w:spacing w:before="0" w:after="200" w:line="264" w:lineRule="auto"/>
        <w:ind w:left="1276"/>
        <w:rPr>
          <w:rFonts w:ascii="Arial" w:hAnsi="Arial" w:cs="Arial"/>
          <w:color w:val="auto"/>
          <w:sz w:val="22"/>
          <w:szCs w:val="22"/>
          <w:lang w:val="en-US"/>
        </w:rPr>
      </w:pPr>
      <w:r w:rsidRPr="002A6706">
        <w:rPr>
          <w:rFonts w:ascii="Arial" w:hAnsi="Arial" w:cs="Arial"/>
          <w:color w:val="auto"/>
          <w:sz w:val="22"/>
          <w:szCs w:val="22"/>
          <w:lang w:val="en-US"/>
        </w:rPr>
        <w:t>regularly updating our observations and recommendations and making these public via our annual reports</w:t>
      </w:r>
      <w:r w:rsidR="00A54324">
        <w:rPr>
          <w:rFonts w:ascii="Arial" w:hAnsi="Arial" w:cs="Arial"/>
          <w:color w:val="auto"/>
          <w:sz w:val="22"/>
          <w:szCs w:val="22"/>
          <w:lang w:val="en-US"/>
        </w:rPr>
        <w:t>, which are available on the Commissioner’s website</w:t>
      </w:r>
    </w:p>
    <w:p w14:paraId="0C2943DB" w14:textId="1E9B9302" w:rsidR="00C33E12" w:rsidRPr="004E654D" w:rsidRDefault="00C33E12" w:rsidP="00C33E12">
      <w:pPr>
        <w:pStyle w:val="hps-normal"/>
        <w:numPr>
          <w:ilvl w:val="1"/>
          <w:numId w:val="21"/>
        </w:numPr>
        <w:shd w:val="clear" w:color="auto" w:fill="FFFFFF"/>
        <w:spacing w:before="0" w:after="200" w:line="264" w:lineRule="auto"/>
        <w:ind w:left="1276"/>
        <w:rPr>
          <w:rFonts w:cs="Arial"/>
        </w:rPr>
      </w:pPr>
      <w:r w:rsidRPr="00AF09BB">
        <w:rPr>
          <w:rFonts w:ascii="Arial" w:hAnsi="Arial" w:cs="Arial"/>
          <w:color w:val="auto"/>
          <w:sz w:val="22"/>
          <w:szCs w:val="22"/>
        </w:rPr>
        <w:t>regularly engaging with media outlets, particularly in rural and regional areas, to provide views and insights on matters of local interest</w:t>
      </w:r>
    </w:p>
    <w:p w14:paraId="261CEED8" w14:textId="77777777" w:rsidR="00C33E12" w:rsidRPr="003329B0" w:rsidRDefault="00C33E12" w:rsidP="003329B0">
      <w:pPr>
        <w:pStyle w:val="Heading2"/>
        <w:rPr>
          <w:i/>
          <w:iCs/>
        </w:rPr>
      </w:pPr>
      <w:bookmarkStart w:id="150" w:name="_Toc135390605"/>
      <w:r w:rsidRPr="003329B0">
        <w:rPr>
          <w:i/>
          <w:iCs/>
        </w:rPr>
        <w:t>Next steps</w:t>
      </w:r>
      <w:bookmarkEnd w:id="150"/>
    </w:p>
    <w:p w14:paraId="3F03967B" w14:textId="606ABC26" w:rsidR="00C33E12" w:rsidRDefault="00C33E12" w:rsidP="00C33E12">
      <w:pPr>
        <w:rPr>
          <w:rFonts w:eastAsia="Cambria" w:cs="Arial"/>
          <w:kern w:val="20"/>
          <w:szCs w:val="24"/>
          <w:lang w:eastAsia="ja-JP"/>
        </w:rPr>
      </w:pPr>
      <w:r>
        <w:t xml:space="preserve">In October 2022, the Commissioner presented to the </w:t>
      </w:r>
      <w:r w:rsidRPr="00672459">
        <w:rPr>
          <w:rFonts w:cs="Arial"/>
          <w:szCs w:val="24"/>
        </w:rPr>
        <w:t>Energy Ministers Meeting</w:t>
      </w:r>
      <w:r w:rsidRPr="00672459">
        <w:rPr>
          <w:rFonts w:eastAsia="Cambria" w:cs="Arial"/>
          <w:kern w:val="20"/>
          <w:szCs w:val="24"/>
          <w:lang w:eastAsia="ja-JP"/>
        </w:rPr>
        <w:t xml:space="preserve"> </w:t>
      </w:r>
      <w:r>
        <w:rPr>
          <w:rFonts w:eastAsia="Cambria" w:cs="Arial"/>
          <w:kern w:val="20"/>
          <w:szCs w:val="24"/>
          <w:lang w:eastAsia="ja-JP"/>
        </w:rPr>
        <w:t xml:space="preserve">in Melbourne, </w:t>
      </w:r>
      <w:r w:rsidRPr="00672459">
        <w:rPr>
          <w:rFonts w:eastAsia="Cambria" w:cs="Arial"/>
          <w:kern w:val="20"/>
          <w:szCs w:val="24"/>
          <w:lang w:eastAsia="ja-JP"/>
        </w:rPr>
        <w:t>provid</w:t>
      </w:r>
      <w:r>
        <w:rPr>
          <w:rFonts w:eastAsia="Cambria" w:cs="Arial"/>
          <w:kern w:val="20"/>
          <w:szCs w:val="24"/>
          <w:lang w:eastAsia="ja-JP"/>
        </w:rPr>
        <w:t>ing</w:t>
      </w:r>
      <w:r w:rsidRPr="00672459">
        <w:rPr>
          <w:rFonts w:eastAsia="Cambria" w:cs="Arial"/>
          <w:kern w:val="20"/>
          <w:szCs w:val="24"/>
          <w:lang w:eastAsia="ja-JP"/>
        </w:rPr>
        <w:t xml:space="preserve"> a summary of key issues to be solved to enable the timely and effective deployment of major transmission projects</w:t>
      </w:r>
      <w:r>
        <w:rPr>
          <w:rFonts w:eastAsia="Cambria" w:cs="Arial"/>
          <w:kern w:val="20"/>
          <w:szCs w:val="24"/>
          <w:lang w:eastAsia="ja-JP"/>
        </w:rPr>
        <w:t xml:space="preserve"> as well as recommendations for</w:t>
      </w:r>
      <w:r w:rsidRPr="00672459">
        <w:rPr>
          <w:rFonts w:eastAsia="Cambria" w:cs="Arial"/>
          <w:kern w:val="20"/>
          <w:szCs w:val="24"/>
          <w:lang w:eastAsia="ja-JP"/>
        </w:rPr>
        <w:t xml:space="preserve"> next steps to implement solutions</w:t>
      </w:r>
      <w:r>
        <w:rPr>
          <w:rFonts w:eastAsia="Cambria" w:cs="Arial"/>
          <w:kern w:val="20"/>
          <w:szCs w:val="24"/>
          <w:lang w:eastAsia="ja-JP"/>
        </w:rPr>
        <w:t>. These recommendations include assigning the following focus areas to various government and industry stakeholders for further investigation and development:</w:t>
      </w:r>
    </w:p>
    <w:p w14:paraId="07B0C780" w14:textId="77777777" w:rsidR="00C33E12" w:rsidRPr="008B6069" w:rsidRDefault="00C33E12" w:rsidP="00C33E12">
      <w:pPr>
        <w:pStyle w:val="ListParagraph"/>
        <w:numPr>
          <w:ilvl w:val="0"/>
          <w:numId w:val="40"/>
        </w:numPr>
      </w:pPr>
      <w:r w:rsidRPr="008B6069">
        <w:rPr>
          <w:lang w:val="en-US"/>
        </w:rPr>
        <w:t>Landholder liaison officer training and skills</w:t>
      </w:r>
    </w:p>
    <w:p w14:paraId="23E232AC" w14:textId="6476249D" w:rsidR="00C33E12" w:rsidRPr="008B6069" w:rsidRDefault="00C33E12" w:rsidP="00C33E12">
      <w:pPr>
        <w:pStyle w:val="ListParagraph"/>
        <w:numPr>
          <w:ilvl w:val="0"/>
          <w:numId w:val="40"/>
        </w:numPr>
      </w:pPr>
      <w:r w:rsidRPr="008B6069">
        <w:rPr>
          <w:lang w:val="en-US"/>
        </w:rPr>
        <w:t>Special Benefit Payment</w:t>
      </w:r>
      <w:r>
        <w:rPr>
          <w:lang w:val="en-US"/>
        </w:rPr>
        <w:t xml:space="preserve">s </w:t>
      </w:r>
      <w:r w:rsidR="00D9391B">
        <w:rPr>
          <w:lang w:val="en-US"/>
        </w:rPr>
        <w:t xml:space="preserve">for </w:t>
      </w:r>
      <w:r w:rsidR="0072178C">
        <w:rPr>
          <w:lang w:val="en-US"/>
        </w:rPr>
        <w:t xml:space="preserve">transmission hosts </w:t>
      </w:r>
      <w:r>
        <w:rPr>
          <w:lang w:val="en-US"/>
        </w:rPr>
        <w:t>(introduced by the NSW Government in 2022)</w:t>
      </w:r>
    </w:p>
    <w:p w14:paraId="37BEBAAA" w14:textId="77777777" w:rsidR="00C33E12" w:rsidRPr="008B6069" w:rsidRDefault="00C33E12" w:rsidP="00C33E12">
      <w:pPr>
        <w:pStyle w:val="ListParagraph"/>
        <w:numPr>
          <w:ilvl w:val="0"/>
          <w:numId w:val="40"/>
        </w:numPr>
      </w:pPr>
      <w:r w:rsidRPr="008B6069">
        <w:rPr>
          <w:lang w:val="en-US"/>
        </w:rPr>
        <w:t>Universal fact sheets</w:t>
      </w:r>
      <w:r>
        <w:rPr>
          <w:lang w:val="en-US"/>
        </w:rPr>
        <w:t>, including</w:t>
      </w:r>
      <w:r w:rsidRPr="008B6069">
        <w:rPr>
          <w:lang w:val="en-US"/>
        </w:rPr>
        <w:t xml:space="preserve"> bushfire</w:t>
      </w:r>
      <w:r>
        <w:rPr>
          <w:lang w:val="en-US"/>
        </w:rPr>
        <w:t xml:space="preserve"> mitigation</w:t>
      </w:r>
      <w:r w:rsidRPr="008B6069">
        <w:rPr>
          <w:lang w:val="en-US"/>
        </w:rPr>
        <w:t xml:space="preserve"> </w:t>
      </w:r>
      <w:r>
        <w:rPr>
          <w:lang w:val="en-US"/>
        </w:rPr>
        <w:t>and</w:t>
      </w:r>
      <w:r w:rsidRPr="008B6069">
        <w:rPr>
          <w:lang w:val="en-US"/>
        </w:rPr>
        <w:t xml:space="preserve"> farming impacts</w:t>
      </w:r>
    </w:p>
    <w:p w14:paraId="2B0BDEDB" w14:textId="77777777" w:rsidR="00C33E12" w:rsidRPr="008B6069" w:rsidRDefault="00C33E12" w:rsidP="00C33E12">
      <w:pPr>
        <w:pStyle w:val="ListParagraph"/>
        <w:numPr>
          <w:ilvl w:val="0"/>
          <w:numId w:val="40"/>
        </w:numPr>
      </w:pPr>
      <w:r>
        <w:rPr>
          <w:lang w:val="en-US"/>
        </w:rPr>
        <w:t>Implementation of</w:t>
      </w:r>
      <w:r w:rsidRPr="008B6069">
        <w:rPr>
          <w:lang w:val="en-US"/>
        </w:rPr>
        <w:t xml:space="preserve"> planning regulations </w:t>
      </w:r>
      <w:r>
        <w:rPr>
          <w:lang w:val="en-US"/>
        </w:rPr>
        <w:t>for new transmission line developments</w:t>
      </w:r>
    </w:p>
    <w:p w14:paraId="01713BE6" w14:textId="77777777" w:rsidR="00C33E12" w:rsidRPr="008B6069" w:rsidRDefault="00C33E12" w:rsidP="00C33E12">
      <w:pPr>
        <w:pStyle w:val="ListParagraph"/>
        <w:numPr>
          <w:ilvl w:val="0"/>
          <w:numId w:val="40"/>
        </w:numPr>
      </w:pPr>
      <w:r w:rsidRPr="008B6069">
        <w:rPr>
          <w:lang w:val="en-US"/>
        </w:rPr>
        <w:lastRenderedPageBreak/>
        <w:t>Joint executive governance of projects</w:t>
      </w:r>
    </w:p>
    <w:p w14:paraId="70138CD7" w14:textId="7E2D5A60" w:rsidR="00C33E12" w:rsidRPr="008B6069" w:rsidRDefault="00C33E12" w:rsidP="00C33E12">
      <w:pPr>
        <w:pStyle w:val="ListParagraph"/>
        <w:numPr>
          <w:ilvl w:val="0"/>
          <w:numId w:val="40"/>
        </w:numPr>
      </w:pPr>
      <w:r>
        <w:rPr>
          <w:lang w:val="en-US"/>
        </w:rPr>
        <w:t xml:space="preserve">Approaches in development </w:t>
      </w:r>
      <w:r w:rsidR="006C7CDC">
        <w:rPr>
          <w:lang w:val="en-US"/>
        </w:rPr>
        <w:t>o</w:t>
      </w:r>
      <w:r w:rsidR="006C7CDC">
        <w:rPr>
          <w:rFonts w:eastAsia="Times New Roman" w:cs="Arial"/>
        </w:rPr>
        <w:t xml:space="preserve">f </w:t>
      </w:r>
      <w:r>
        <w:rPr>
          <w:lang w:val="en-US"/>
        </w:rPr>
        <w:t>transmission route options and finalising routes</w:t>
      </w:r>
    </w:p>
    <w:p w14:paraId="390F0D57" w14:textId="77777777" w:rsidR="00C33E12" w:rsidRPr="008B6069" w:rsidRDefault="00C33E12" w:rsidP="00C33E12">
      <w:pPr>
        <w:pStyle w:val="ListParagraph"/>
        <w:numPr>
          <w:ilvl w:val="0"/>
          <w:numId w:val="40"/>
        </w:numPr>
      </w:pPr>
      <w:r w:rsidRPr="008B6069">
        <w:rPr>
          <w:lang w:val="en-US"/>
        </w:rPr>
        <w:t>Re</w:t>
      </w:r>
      <w:r>
        <w:rPr>
          <w:lang w:val="en-US"/>
        </w:rPr>
        <w:t xml:space="preserve">view of </w:t>
      </w:r>
      <w:r>
        <w:rPr>
          <w:rFonts w:cs="Arial"/>
          <w:color w:val="202124"/>
          <w:shd w:val="clear" w:color="auto" w:fill="FFFFFF"/>
        </w:rPr>
        <w:t>Regulatory Investment Test for Transmission</w:t>
      </w:r>
      <w:r w:rsidRPr="008B6069">
        <w:rPr>
          <w:lang w:val="en-US"/>
        </w:rPr>
        <w:t xml:space="preserve"> </w:t>
      </w:r>
      <w:r>
        <w:rPr>
          <w:lang w:val="en-US"/>
        </w:rPr>
        <w:t>(</w:t>
      </w:r>
      <w:r w:rsidRPr="008B6069">
        <w:rPr>
          <w:lang w:val="en-US"/>
        </w:rPr>
        <w:t>RIT-T</w:t>
      </w:r>
      <w:r>
        <w:rPr>
          <w:lang w:val="en-US"/>
        </w:rPr>
        <w:t>)</w:t>
      </w:r>
      <w:r w:rsidRPr="008B6069">
        <w:rPr>
          <w:lang w:val="en-US"/>
        </w:rPr>
        <w:t xml:space="preserve"> process</w:t>
      </w:r>
    </w:p>
    <w:p w14:paraId="117FA3F1" w14:textId="77777777" w:rsidR="00C33E12" w:rsidRPr="008B6069" w:rsidRDefault="00C33E12" w:rsidP="00C33E12">
      <w:pPr>
        <w:pStyle w:val="ListParagraph"/>
        <w:numPr>
          <w:ilvl w:val="0"/>
          <w:numId w:val="40"/>
        </w:numPr>
      </w:pPr>
      <w:r>
        <w:rPr>
          <w:lang w:val="en-US"/>
        </w:rPr>
        <w:t>Investigation of suitability for e</w:t>
      </w:r>
      <w:r w:rsidRPr="008B6069">
        <w:rPr>
          <w:lang w:val="en-US"/>
        </w:rPr>
        <w:t>xpedited environmental assessments</w:t>
      </w:r>
    </w:p>
    <w:p w14:paraId="68C10627" w14:textId="51637F54" w:rsidR="00C33E12" w:rsidRPr="009A0ACE" w:rsidRDefault="00C33E12" w:rsidP="00C33E12">
      <w:pPr>
        <w:pStyle w:val="ListParagraph"/>
        <w:numPr>
          <w:ilvl w:val="0"/>
          <w:numId w:val="40"/>
        </w:numPr>
      </w:pPr>
      <w:r w:rsidRPr="008B6069">
        <w:rPr>
          <w:lang w:val="en-US"/>
        </w:rPr>
        <w:t xml:space="preserve">Codes of Practice </w:t>
      </w:r>
      <w:r w:rsidRPr="009A0ACE">
        <w:rPr>
          <w:lang w:val="en-US"/>
        </w:rPr>
        <w:t>and</w:t>
      </w:r>
      <w:r w:rsidRPr="008B6069">
        <w:rPr>
          <w:lang w:val="en-US"/>
        </w:rPr>
        <w:t xml:space="preserve"> Statements of Expectations </w:t>
      </w:r>
      <w:r w:rsidRPr="009A0ACE">
        <w:rPr>
          <w:lang w:val="en-US"/>
        </w:rPr>
        <w:t>for TNSPs developing new projects</w:t>
      </w:r>
    </w:p>
    <w:p w14:paraId="5015E973" w14:textId="71189DEB" w:rsidR="00C33E12" w:rsidRDefault="00C33E12" w:rsidP="00C33E12">
      <w:pPr>
        <w:spacing w:line="264" w:lineRule="auto"/>
        <w:rPr>
          <w:rFonts w:cs="Arial"/>
          <w:color w:val="333132"/>
          <w:shd w:val="clear" w:color="auto" w:fill="FFFFFF"/>
        </w:rPr>
      </w:pPr>
      <w:r w:rsidRPr="004E654D">
        <w:rPr>
          <w:rFonts w:cs="Arial"/>
          <w:color w:val="000000"/>
        </w:rPr>
        <w:t>On 27 October 2022, t</w:t>
      </w:r>
      <w:r w:rsidRPr="004E654D">
        <w:rPr>
          <w:rFonts w:cs="Arial"/>
          <w:color w:val="333132"/>
          <w:shd w:val="clear" w:color="auto" w:fill="FFFFFF"/>
        </w:rPr>
        <w:t>he Clean Energy Finance Corporation (CEFC) announced an $8.6 billion capital injection for investments relating to Rewiring the Nation (RTN), as part of the broader $20 billion RTN policy initiative</w:t>
      </w:r>
      <w:r>
        <w:rPr>
          <w:rFonts w:cs="Arial"/>
          <w:color w:val="333132"/>
          <w:shd w:val="clear" w:color="auto" w:fill="FFFFFF"/>
        </w:rPr>
        <w:t xml:space="preserve">s. </w:t>
      </w:r>
      <w:r w:rsidRPr="004E654D">
        <w:rPr>
          <w:rFonts w:cs="Arial"/>
          <w:color w:val="333132"/>
          <w:shd w:val="clear" w:color="auto" w:fill="FFFFFF"/>
        </w:rPr>
        <w:t>The CEFC will lead the financial and investment aspects of RTN-related investments</w:t>
      </w:r>
      <w:r>
        <w:rPr>
          <w:rFonts w:cs="Arial"/>
          <w:color w:val="333132"/>
          <w:shd w:val="clear" w:color="auto" w:fill="FFFFFF"/>
        </w:rPr>
        <w:t>.</w:t>
      </w:r>
    </w:p>
    <w:p w14:paraId="73A9AE1A" w14:textId="1EF4B2B6" w:rsidR="00C33E12" w:rsidRPr="004E654D" w:rsidRDefault="00C33E12" w:rsidP="00C33E12">
      <w:pPr>
        <w:spacing w:line="264" w:lineRule="auto"/>
        <w:rPr>
          <w:rFonts w:cs="Arial"/>
          <w:color w:val="333132"/>
          <w:shd w:val="clear" w:color="auto" w:fill="FFFFFF"/>
        </w:rPr>
      </w:pPr>
      <w:r w:rsidRPr="004E654D">
        <w:rPr>
          <w:rFonts w:cs="Arial"/>
          <w:color w:val="333132"/>
          <w:shd w:val="clear" w:color="auto" w:fill="FFFFFF"/>
        </w:rPr>
        <w:t xml:space="preserve">The Commissioner will play a </w:t>
      </w:r>
      <w:r w:rsidR="001C30B7">
        <w:rPr>
          <w:rFonts w:cs="Arial"/>
          <w:color w:val="333132"/>
          <w:shd w:val="clear" w:color="auto" w:fill="FFFFFF"/>
        </w:rPr>
        <w:t xml:space="preserve">key </w:t>
      </w:r>
      <w:r w:rsidRPr="004E654D">
        <w:rPr>
          <w:rFonts w:cs="Arial"/>
          <w:color w:val="333132"/>
          <w:shd w:val="clear" w:color="auto" w:fill="FFFFFF"/>
        </w:rPr>
        <w:t xml:space="preserve">role as part of the Advisory Committee on RTN-related investments (along with </w:t>
      </w:r>
      <w:r w:rsidR="00051653">
        <w:rPr>
          <w:rFonts w:cs="Arial"/>
          <w:color w:val="333132"/>
          <w:shd w:val="clear" w:color="auto" w:fill="FFFFFF"/>
        </w:rPr>
        <w:t xml:space="preserve">executives from the </w:t>
      </w:r>
      <w:r w:rsidR="001D3000">
        <w:rPr>
          <w:rFonts w:cs="Arial"/>
          <w:color w:val="333132"/>
          <w:shd w:val="clear" w:color="auto" w:fill="FFFFFF"/>
        </w:rPr>
        <w:t xml:space="preserve">Department, CEFC and </w:t>
      </w:r>
      <w:r w:rsidRPr="004E654D">
        <w:rPr>
          <w:rFonts w:cs="Arial"/>
          <w:color w:val="333132"/>
          <w:shd w:val="clear" w:color="auto" w:fill="FFFFFF"/>
        </w:rPr>
        <w:t xml:space="preserve">AEMO) to provide </w:t>
      </w:r>
      <w:r w:rsidR="007032F2">
        <w:rPr>
          <w:rFonts w:cs="Arial"/>
          <w:color w:val="333132"/>
          <w:shd w:val="clear" w:color="auto" w:fill="FFFFFF"/>
        </w:rPr>
        <w:t>guidance</w:t>
      </w:r>
      <w:r w:rsidRPr="004E654D">
        <w:rPr>
          <w:rFonts w:cs="Arial"/>
          <w:color w:val="333132"/>
          <w:shd w:val="clear" w:color="auto" w:fill="FFFFFF"/>
        </w:rPr>
        <w:t xml:space="preserve"> on non-financial related aspects of investments, such as social licence and community benefit matters.</w:t>
      </w:r>
    </w:p>
    <w:p w14:paraId="17B9DDF5" w14:textId="3B97C0FB" w:rsidR="00A47C53" w:rsidRDefault="00FA4B6A" w:rsidP="00C33E12">
      <w:pPr>
        <w:spacing w:line="264" w:lineRule="auto"/>
        <w:rPr>
          <w:rFonts w:eastAsia="Arial" w:cs="Arial"/>
        </w:rPr>
      </w:pPr>
      <w:r>
        <w:rPr>
          <w:rFonts w:eastAsia="Arial" w:cs="Arial"/>
        </w:rPr>
        <w:t xml:space="preserve">During 2022, the Commissioner commenced initial discussions </w:t>
      </w:r>
      <w:r w:rsidR="001670E0">
        <w:rPr>
          <w:rFonts w:eastAsia="Arial" w:cs="Arial"/>
        </w:rPr>
        <w:t>that will</w:t>
      </w:r>
      <w:r w:rsidR="009505D9">
        <w:rPr>
          <w:rFonts w:eastAsia="Arial" w:cs="Arial"/>
        </w:rPr>
        <w:t xml:space="preserve"> </w:t>
      </w:r>
      <w:r w:rsidR="00CF158D">
        <w:rPr>
          <w:rFonts w:eastAsia="Arial" w:cs="Arial"/>
        </w:rPr>
        <w:t>help facilitate</w:t>
      </w:r>
      <w:r w:rsidR="00AF6BDB">
        <w:rPr>
          <w:rFonts w:eastAsia="Arial" w:cs="Arial"/>
        </w:rPr>
        <w:t xml:space="preserve"> </w:t>
      </w:r>
      <w:r w:rsidR="00A36BD1">
        <w:rPr>
          <w:rFonts w:eastAsia="Arial" w:cs="Arial"/>
        </w:rPr>
        <w:t xml:space="preserve">building an effective stakeholder </w:t>
      </w:r>
      <w:r w:rsidR="00AF6BDB">
        <w:rPr>
          <w:rFonts w:eastAsia="Arial" w:cs="Arial"/>
        </w:rPr>
        <w:t>relationship with Traditional Owners</w:t>
      </w:r>
      <w:r w:rsidR="008B1FB3">
        <w:rPr>
          <w:rFonts w:eastAsia="Arial" w:cs="Arial"/>
        </w:rPr>
        <w:t xml:space="preserve">, </w:t>
      </w:r>
      <w:r w:rsidR="009B6439">
        <w:rPr>
          <w:rFonts w:eastAsia="Arial" w:cs="Arial"/>
        </w:rPr>
        <w:t>particularly</w:t>
      </w:r>
      <w:r w:rsidR="008B1FB3">
        <w:rPr>
          <w:rFonts w:eastAsia="Arial" w:cs="Arial"/>
        </w:rPr>
        <w:t xml:space="preserve"> in regard to</w:t>
      </w:r>
      <w:r w:rsidR="009B6439">
        <w:rPr>
          <w:rFonts w:eastAsia="Arial" w:cs="Arial"/>
        </w:rPr>
        <w:t xml:space="preserve"> the roll-out of large</w:t>
      </w:r>
      <w:r w:rsidR="00B32AD7">
        <w:rPr>
          <w:rFonts w:eastAsia="Arial" w:cs="Arial"/>
        </w:rPr>
        <w:t>-</w:t>
      </w:r>
      <w:r w:rsidR="009B6439">
        <w:rPr>
          <w:rFonts w:eastAsia="Arial" w:cs="Arial"/>
        </w:rPr>
        <w:t>scale transmission projects</w:t>
      </w:r>
      <w:r w:rsidR="009C2CB5">
        <w:rPr>
          <w:rFonts w:eastAsia="Arial" w:cs="Arial"/>
        </w:rPr>
        <w:t xml:space="preserve"> as well as offshore wind</w:t>
      </w:r>
      <w:r w:rsidR="009B6439">
        <w:rPr>
          <w:rFonts w:eastAsia="Arial" w:cs="Arial"/>
        </w:rPr>
        <w:t xml:space="preserve">. </w:t>
      </w:r>
      <w:r w:rsidR="00B009CD">
        <w:rPr>
          <w:rFonts w:eastAsia="Arial" w:cs="Arial"/>
        </w:rPr>
        <w:t>Early discussions have revealed close alignment</w:t>
      </w:r>
      <w:r w:rsidR="00B32AD7">
        <w:rPr>
          <w:rFonts w:eastAsia="Arial" w:cs="Arial"/>
        </w:rPr>
        <w:t xml:space="preserve"> in the respective</w:t>
      </w:r>
      <w:r w:rsidR="008348B0">
        <w:rPr>
          <w:rFonts w:eastAsia="Arial" w:cs="Arial"/>
        </w:rPr>
        <w:t xml:space="preserve"> objectives of the </w:t>
      </w:r>
      <w:r w:rsidR="008D6E30">
        <w:rPr>
          <w:rFonts w:eastAsia="Arial" w:cs="Arial"/>
        </w:rPr>
        <w:t>stakeholders</w:t>
      </w:r>
      <w:r w:rsidR="00607556">
        <w:rPr>
          <w:rFonts w:eastAsia="Arial" w:cs="Arial"/>
        </w:rPr>
        <w:t xml:space="preserve">. It is pleasing to note that Traditional Owner groups bring to the table an array of </w:t>
      </w:r>
      <w:r w:rsidR="001B5600">
        <w:rPr>
          <w:rFonts w:eastAsia="Arial" w:cs="Arial"/>
        </w:rPr>
        <w:t xml:space="preserve">skills and capabilities that </w:t>
      </w:r>
      <w:r w:rsidR="00BC42BE">
        <w:rPr>
          <w:rFonts w:eastAsia="Arial" w:cs="Arial"/>
        </w:rPr>
        <w:t>are materially beneficial to</w:t>
      </w:r>
      <w:r w:rsidR="0008610A">
        <w:rPr>
          <w:rFonts w:eastAsia="Arial" w:cs="Arial"/>
        </w:rPr>
        <w:t xml:space="preserve"> development, cons</w:t>
      </w:r>
      <w:r w:rsidR="00AE164C">
        <w:rPr>
          <w:rFonts w:eastAsia="Arial" w:cs="Arial"/>
        </w:rPr>
        <w:t>truction and operation of new energy infrastructure</w:t>
      </w:r>
      <w:r w:rsidR="001670E0">
        <w:rPr>
          <w:rFonts w:eastAsia="Arial" w:cs="Arial"/>
        </w:rPr>
        <w:t>.</w:t>
      </w:r>
    </w:p>
    <w:p w14:paraId="4F8906AB" w14:textId="4A4D6F76" w:rsidR="00C33E12" w:rsidRDefault="00C33E12" w:rsidP="00C33E12">
      <w:pPr>
        <w:spacing w:line="264" w:lineRule="auto"/>
        <w:rPr>
          <w:rFonts w:eastAsia="Arial" w:cs="Arial"/>
        </w:rPr>
      </w:pPr>
      <w:r>
        <w:rPr>
          <w:rFonts w:eastAsia="Arial" w:cs="Arial"/>
        </w:rPr>
        <w:t xml:space="preserve">Our Office </w:t>
      </w:r>
      <w:r w:rsidRPr="009A0ACE">
        <w:rPr>
          <w:rFonts w:eastAsia="Arial" w:cs="Arial"/>
        </w:rPr>
        <w:t>look</w:t>
      </w:r>
      <w:r>
        <w:rPr>
          <w:rFonts w:eastAsia="Arial" w:cs="Arial"/>
        </w:rPr>
        <w:t>s</w:t>
      </w:r>
      <w:r w:rsidRPr="009A0ACE">
        <w:rPr>
          <w:rFonts w:eastAsia="Arial" w:cs="Arial"/>
        </w:rPr>
        <w:t xml:space="preserve"> forward to providing further updates in relation to the important matters</w:t>
      </w:r>
      <w:r>
        <w:rPr>
          <w:rFonts w:eastAsia="Arial" w:cs="Arial"/>
        </w:rPr>
        <w:t xml:space="preserve"> </w:t>
      </w:r>
      <w:r w:rsidR="005400CC">
        <w:rPr>
          <w:rFonts w:eastAsia="Arial" w:cs="Arial"/>
        </w:rPr>
        <w:t xml:space="preserve">discussed </w:t>
      </w:r>
      <w:r>
        <w:rPr>
          <w:rFonts w:eastAsia="Arial" w:cs="Arial"/>
        </w:rPr>
        <w:t>in this section</w:t>
      </w:r>
      <w:r w:rsidRPr="009A0ACE">
        <w:rPr>
          <w:rFonts w:eastAsia="Arial" w:cs="Arial"/>
        </w:rPr>
        <w:t>.</w:t>
      </w:r>
    </w:p>
    <w:p w14:paraId="6D7FB890" w14:textId="77777777" w:rsidR="00304241" w:rsidRDefault="00304241" w:rsidP="004F09A3">
      <w:pPr>
        <w:pStyle w:val="Heading1"/>
      </w:pPr>
    </w:p>
    <w:p w14:paraId="15759E50" w14:textId="5E57E882" w:rsidR="000F0188" w:rsidRPr="000F0188" w:rsidRDefault="000F0188" w:rsidP="000F0188">
      <w:pPr>
        <w:sectPr w:rsidR="000F0188" w:rsidRPr="000F0188" w:rsidSect="00A67D71">
          <w:headerReference w:type="even" r:id="rId70"/>
          <w:headerReference w:type="default" r:id="rId71"/>
          <w:pgSz w:w="11906" w:h="16838" w:code="9"/>
          <w:pgMar w:top="720" w:right="720" w:bottom="720" w:left="720" w:header="425" w:footer="425" w:gutter="0"/>
          <w:cols w:space="708"/>
          <w:docGrid w:linePitch="360"/>
        </w:sectPr>
      </w:pPr>
    </w:p>
    <w:p w14:paraId="3763A85F" w14:textId="2A778A77" w:rsidR="00CE4A08" w:rsidRPr="003329B0" w:rsidRDefault="00CE4A08" w:rsidP="003329B0">
      <w:pPr>
        <w:pStyle w:val="Heading1"/>
      </w:pPr>
      <w:bookmarkStart w:id="151" w:name="_Toc98781018"/>
      <w:bookmarkStart w:id="152" w:name="_Toc135390606"/>
      <w:bookmarkEnd w:id="0"/>
      <w:r w:rsidRPr="003329B0">
        <w:lastRenderedPageBreak/>
        <w:t>appendix A: UPDATED Observations and recommendations – 2022</w:t>
      </w:r>
      <w:bookmarkEnd w:id="151"/>
      <w:bookmarkEnd w:id="152"/>
    </w:p>
    <w:p w14:paraId="07C1AD41" w14:textId="3311E99A" w:rsidR="00CE4A08" w:rsidRPr="00FC45E9" w:rsidRDefault="002B214E" w:rsidP="00CE4A08">
      <w:pPr>
        <w:spacing w:line="264" w:lineRule="auto"/>
        <w:rPr>
          <w:rFonts w:cs="Arial"/>
        </w:rPr>
      </w:pPr>
      <w:r>
        <w:rPr>
          <w:rFonts w:cs="Arial"/>
        </w:rPr>
        <w:t xml:space="preserve">The Commissioner’s observations and recommendations for the large-scale renewable energy industry have been published in our previous Annual Reports. </w:t>
      </w:r>
      <w:r w:rsidR="00CE4A08">
        <w:rPr>
          <w:rFonts w:cs="Arial"/>
        </w:rPr>
        <w:t xml:space="preserve">These </w:t>
      </w:r>
      <w:r>
        <w:rPr>
          <w:rFonts w:cs="Arial"/>
        </w:rPr>
        <w:t xml:space="preserve">observations and recommendations </w:t>
      </w:r>
      <w:r w:rsidR="00CE4A08">
        <w:rPr>
          <w:rFonts w:cs="Arial"/>
        </w:rPr>
        <w:t xml:space="preserve">derived </w:t>
      </w:r>
      <w:r w:rsidR="00736554">
        <w:rPr>
          <w:rFonts w:cs="Arial"/>
        </w:rPr>
        <w:t>from</w:t>
      </w:r>
      <w:r w:rsidR="00CE4A08" w:rsidRPr="00FC45E9">
        <w:rPr>
          <w:rFonts w:cs="Arial"/>
        </w:rPr>
        <w:t xml:space="preserve"> </w:t>
      </w:r>
      <w:r>
        <w:rPr>
          <w:rFonts w:cs="Arial"/>
        </w:rPr>
        <w:t xml:space="preserve">the Commissioner’s </w:t>
      </w:r>
      <w:r w:rsidR="00CE4A08">
        <w:rPr>
          <w:rFonts w:cs="Arial"/>
        </w:rPr>
        <w:t xml:space="preserve">direct </w:t>
      </w:r>
      <w:r w:rsidR="00CE4A08" w:rsidRPr="00FC45E9">
        <w:rPr>
          <w:rFonts w:cs="Arial"/>
        </w:rPr>
        <w:t xml:space="preserve">experience </w:t>
      </w:r>
      <w:r w:rsidR="00736554">
        <w:rPr>
          <w:rFonts w:cs="Arial"/>
        </w:rPr>
        <w:t>of</w:t>
      </w:r>
      <w:r w:rsidR="00736554" w:rsidRPr="00FC45E9">
        <w:rPr>
          <w:rFonts w:cs="Arial"/>
        </w:rPr>
        <w:t xml:space="preserve"> </w:t>
      </w:r>
      <w:r w:rsidR="00CE4A08" w:rsidRPr="00FC45E9">
        <w:rPr>
          <w:rFonts w:cs="Arial"/>
        </w:rPr>
        <w:t>complaint</w:t>
      </w:r>
      <w:r>
        <w:rPr>
          <w:rFonts w:cs="Arial"/>
        </w:rPr>
        <w:t xml:space="preserve"> handling</w:t>
      </w:r>
      <w:r w:rsidR="00CE4A08">
        <w:rPr>
          <w:rFonts w:cs="Arial"/>
        </w:rPr>
        <w:t>, site visits,</w:t>
      </w:r>
      <w:r>
        <w:rPr>
          <w:rFonts w:cs="Arial"/>
        </w:rPr>
        <w:t xml:space="preserve"> engagement with </w:t>
      </w:r>
      <w:r w:rsidR="00CE4A08" w:rsidRPr="00FC45E9">
        <w:rPr>
          <w:rFonts w:cs="Arial"/>
        </w:rPr>
        <w:t>stakeholders</w:t>
      </w:r>
      <w:r w:rsidR="00CE4A08">
        <w:rPr>
          <w:rFonts w:cs="Arial"/>
        </w:rPr>
        <w:t xml:space="preserve"> and </w:t>
      </w:r>
      <w:r>
        <w:rPr>
          <w:rFonts w:cs="Arial"/>
        </w:rPr>
        <w:t xml:space="preserve">the identification of </w:t>
      </w:r>
      <w:r w:rsidR="00CE4A08">
        <w:rPr>
          <w:rFonts w:cs="Arial"/>
        </w:rPr>
        <w:t>systemic issues</w:t>
      </w:r>
      <w:r w:rsidR="00CE4A08" w:rsidRPr="00FC45E9">
        <w:rPr>
          <w:rFonts w:cs="Arial"/>
        </w:rPr>
        <w:t xml:space="preserve">. </w:t>
      </w:r>
      <w:r>
        <w:rPr>
          <w:rFonts w:cs="Arial"/>
        </w:rPr>
        <w:t>They covered</w:t>
      </w:r>
      <w:r w:rsidR="00CE4A08">
        <w:rPr>
          <w:rFonts w:cs="Arial"/>
        </w:rPr>
        <w:t xml:space="preserve"> </w:t>
      </w:r>
      <w:r w:rsidR="00CE4A08" w:rsidRPr="00FC45E9">
        <w:rPr>
          <w:rFonts w:cs="Arial"/>
        </w:rPr>
        <w:t xml:space="preserve">topics including areas for potential improvement in </w:t>
      </w:r>
      <w:r w:rsidR="00CE4A08">
        <w:rPr>
          <w:rFonts w:cs="Arial"/>
        </w:rPr>
        <w:t xml:space="preserve">project development, </w:t>
      </w:r>
      <w:r w:rsidR="00CE4A08" w:rsidRPr="00FC45E9">
        <w:rPr>
          <w:rFonts w:cs="Arial"/>
        </w:rPr>
        <w:t>planning</w:t>
      </w:r>
      <w:r w:rsidR="00CE4A08">
        <w:rPr>
          <w:rFonts w:cs="Arial"/>
        </w:rPr>
        <w:t xml:space="preserve"> processes</w:t>
      </w:r>
      <w:r w:rsidR="00CE4A08" w:rsidRPr="00FC45E9">
        <w:rPr>
          <w:rFonts w:cs="Arial"/>
        </w:rPr>
        <w:t xml:space="preserve">, </w:t>
      </w:r>
      <w:r w:rsidR="00CE4A08">
        <w:rPr>
          <w:rFonts w:cs="Arial"/>
        </w:rPr>
        <w:t xml:space="preserve">construction, asset operations, as well as </w:t>
      </w:r>
      <w:r w:rsidR="00CE4A08" w:rsidRPr="00FC45E9">
        <w:rPr>
          <w:rFonts w:cs="Arial"/>
        </w:rPr>
        <w:t xml:space="preserve">governance </w:t>
      </w:r>
      <w:r w:rsidR="00CE4A08">
        <w:rPr>
          <w:rFonts w:cs="Arial"/>
        </w:rPr>
        <w:t xml:space="preserve">of </w:t>
      </w:r>
      <w:r w:rsidR="00CE4A08" w:rsidRPr="00FC45E9">
        <w:rPr>
          <w:rFonts w:cs="Arial"/>
        </w:rPr>
        <w:t xml:space="preserve">and operation of the </w:t>
      </w:r>
      <w:r w:rsidR="00CE4A08">
        <w:rPr>
          <w:rFonts w:cs="Arial"/>
        </w:rPr>
        <w:t>industry.</w:t>
      </w:r>
    </w:p>
    <w:p w14:paraId="2C2041B3" w14:textId="0690EC6D" w:rsidR="00CE4A08" w:rsidRDefault="00CE4A08" w:rsidP="00CE4A08">
      <w:pPr>
        <w:spacing w:line="264" w:lineRule="auto"/>
        <w:rPr>
          <w:rFonts w:cs="Arial"/>
        </w:rPr>
      </w:pPr>
      <w:r>
        <w:rPr>
          <w:rFonts w:cs="Arial"/>
        </w:rPr>
        <w:t>Our</w:t>
      </w:r>
      <w:r w:rsidRPr="00FC45E9">
        <w:rPr>
          <w:rFonts w:cs="Arial"/>
        </w:rPr>
        <w:t xml:space="preserve"> </w:t>
      </w:r>
      <w:r>
        <w:rPr>
          <w:rFonts w:cs="Arial"/>
        </w:rPr>
        <w:t>Office continues to</w:t>
      </w:r>
      <w:r w:rsidRPr="00FC45E9">
        <w:rPr>
          <w:rFonts w:cs="Arial"/>
        </w:rPr>
        <w:t xml:space="preserve"> receive feedback from </w:t>
      </w:r>
      <w:r>
        <w:rPr>
          <w:rFonts w:cs="Arial"/>
        </w:rPr>
        <w:t xml:space="preserve">a wide range of </w:t>
      </w:r>
      <w:r w:rsidRPr="00FC45E9">
        <w:rPr>
          <w:rFonts w:cs="Arial"/>
        </w:rPr>
        <w:t xml:space="preserve">stakeholders </w:t>
      </w:r>
      <w:r>
        <w:rPr>
          <w:rFonts w:cs="Arial"/>
        </w:rPr>
        <w:t xml:space="preserve">on the </w:t>
      </w:r>
      <w:r w:rsidR="002B214E">
        <w:rPr>
          <w:rFonts w:cs="Arial"/>
        </w:rPr>
        <w:t xml:space="preserve">Commissioner’s </w:t>
      </w:r>
      <w:r w:rsidRPr="00FC45E9">
        <w:rPr>
          <w:rFonts w:cs="Arial"/>
        </w:rPr>
        <w:t xml:space="preserve">observations and recommendations. Much of the feedback </w:t>
      </w:r>
      <w:r>
        <w:rPr>
          <w:rFonts w:cs="Arial"/>
        </w:rPr>
        <w:t xml:space="preserve">is </w:t>
      </w:r>
      <w:r w:rsidRPr="00FC45E9">
        <w:rPr>
          <w:rFonts w:cs="Arial"/>
        </w:rPr>
        <w:t>supportive and aligned with the recommendations</w:t>
      </w:r>
      <w:r>
        <w:rPr>
          <w:rFonts w:cs="Arial"/>
        </w:rPr>
        <w:t>.</w:t>
      </w:r>
      <w:r w:rsidRPr="00FC45E9">
        <w:rPr>
          <w:rFonts w:cs="Arial"/>
        </w:rPr>
        <w:t xml:space="preserve"> </w:t>
      </w:r>
      <w:r w:rsidR="002B214E">
        <w:rPr>
          <w:rFonts w:cs="Arial"/>
        </w:rPr>
        <w:t>M</w:t>
      </w:r>
      <w:r w:rsidR="002B214E" w:rsidRPr="00FC45E9">
        <w:rPr>
          <w:rFonts w:cs="Arial"/>
        </w:rPr>
        <w:t xml:space="preserve">any </w:t>
      </w:r>
      <w:r w:rsidR="002B214E">
        <w:rPr>
          <w:rFonts w:cs="Arial"/>
        </w:rPr>
        <w:t xml:space="preserve">of the </w:t>
      </w:r>
      <w:r w:rsidR="002B214E" w:rsidRPr="00FC45E9">
        <w:rPr>
          <w:rFonts w:cs="Arial"/>
        </w:rPr>
        <w:t>recommendations have been considered and implemented</w:t>
      </w:r>
      <w:r w:rsidR="002B214E">
        <w:rPr>
          <w:rFonts w:cs="Arial"/>
        </w:rPr>
        <w:t xml:space="preserve"> by stakeholders. We also receive c</w:t>
      </w:r>
      <w:r w:rsidRPr="00FC45E9">
        <w:rPr>
          <w:rFonts w:cs="Arial"/>
        </w:rPr>
        <w:t>onstructive feedback</w:t>
      </w:r>
      <w:r w:rsidR="002B214E">
        <w:rPr>
          <w:rFonts w:cs="Arial"/>
        </w:rPr>
        <w:t>,</w:t>
      </w:r>
      <w:r w:rsidRPr="00FC45E9">
        <w:rPr>
          <w:rFonts w:cs="Arial"/>
        </w:rPr>
        <w:t xml:space="preserve"> </w:t>
      </w:r>
      <w:r>
        <w:rPr>
          <w:rFonts w:cs="Arial"/>
        </w:rPr>
        <w:t xml:space="preserve">typically </w:t>
      </w:r>
      <w:r w:rsidRPr="00FC45E9">
        <w:rPr>
          <w:rFonts w:cs="Arial"/>
        </w:rPr>
        <w:t>suggest</w:t>
      </w:r>
      <w:r>
        <w:rPr>
          <w:rFonts w:cs="Arial"/>
        </w:rPr>
        <w:t>ing</w:t>
      </w:r>
      <w:r w:rsidRPr="00FC45E9">
        <w:rPr>
          <w:rFonts w:cs="Arial"/>
        </w:rPr>
        <w:t xml:space="preserve"> further refinements and clarifications</w:t>
      </w:r>
      <w:r w:rsidR="002B214E">
        <w:rPr>
          <w:rFonts w:cs="Arial"/>
        </w:rPr>
        <w:t xml:space="preserve"> to the recommendations.</w:t>
      </w:r>
    </w:p>
    <w:p w14:paraId="6C853482" w14:textId="709335CB" w:rsidR="00CE4A08" w:rsidRDefault="00CE4A08" w:rsidP="00CE4A08">
      <w:pPr>
        <w:spacing w:line="264" w:lineRule="auto"/>
        <w:rPr>
          <w:rFonts w:cs="Arial"/>
        </w:rPr>
      </w:pPr>
      <w:r w:rsidRPr="00FC45E9">
        <w:rPr>
          <w:rFonts w:cs="Arial"/>
        </w:rPr>
        <w:t xml:space="preserve">The following sections are </w:t>
      </w:r>
      <w:r>
        <w:rPr>
          <w:rFonts w:cs="Arial"/>
        </w:rPr>
        <w:t>updates to our</w:t>
      </w:r>
      <w:r w:rsidRPr="00FC45E9">
        <w:rPr>
          <w:rFonts w:cs="Arial"/>
        </w:rPr>
        <w:t xml:space="preserve"> 20</w:t>
      </w:r>
      <w:r>
        <w:rPr>
          <w:rFonts w:cs="Arial"/>
        </w:rPr>
        <w:t>21 observations and recommendations</w:t>
      </w:r>
      <w:r w:rsidR="0060090A">
        <w:rPr>
          <w:rFonts w:cs="Arial"/>
        </w:rPr>
        <w:t>,</w:t>
      </w:r>
      <w:r w:rsidRPr="00FC45E9">
        <w:rPr>
          <w:rFonts w:cs="Arial"/>
        </w:rPr>
        <w:t xml:space="preserve"> includ</w:t>
      </w:r>
      <w:r>
        <w:rPr>
          <w:rFonts w:cs="Arial"/>
        </w:rPr>
        <w:t>ing</w:t>
      </w:r>
      <w:r w:rsidRPr="00FC45E9">
        <w:rPr>
          <w:rFonts w:cs="Arial"/>
        </w:rPr>
        <w:t xml:space="preserve"> additional observations </w:t>
      </w:r>
      <w:r>
        <w:rPr>
          <w:rFonts w:cs="Arial"/>
        </w:rPr>
        <w:t xml:space="preserve">since that report was published in July 2022. These updates are based on our experience </w:t>
      </w:r>
      <w:r w:rsidR="0060090A">
        <w:rPr>
          <w:rFonts w:cs="Arial"/>
        </w:rPr>
        <w:t>of complaint handling</w:t>
      </w:r>
      <w:r>
        <w:rPr>
          <w:rFonts w:cs="Arial"/>
        </w:rPr>
        <w:t xml:space="preserve">, further site visits, </w:t>
      </w:r>
      <w:r w:rsidRPr="00FC45E9">
        <w:rPr>
          <w:rFonts w:cs="Arial"/>
        </w:rPr>
        <w:t xml:space="preserve">stakeholder </w:t>
      </w:r>
      <w:r>
        <w:rPr>
          <w:rFonts w:cs="Arial"/>
        </w:rPr>
        <w:t xml:space="preserve">and governance </w:t>
      </w:r>
      <w:r w:rsidRPr="00FC45E9">
        <w:rPr>
          <w:rFonts w:cs="Arial"/>
        </w:rPr>
        <w:t>meetings</w:t>
      </w:r>
      <w:r w:rsidR="0060090A">
        <w:rPr>
          <w:rFonts w:cs="Arial"/>
        </w:rPr>
        <w:t xml:space="preserve"> and</w:t>
      </w:r>
      <w:r w:rsidRPr="00FC45E9">
        <w:rPr>
          <w:rFonts w:cs="Arial"/>
        </w:rPr>
        <w:t xml:space="preserve"> feedback received on </w:t>
      </w:r>
      <w:r>
        <w:rPr>
          <w:rFonts w:cs="Arial"/>
        </w:rPr>
        <w:t>our</w:t>
      </w:r>
      <w:r w:rsidRPr="00FC45E9">
        <w:rPr>
          <w:rFonts w:cs="Arial"/>
        </w:rPr>
        <w:t xml:space="preserve"> 20</w:t>
      </w:r>
      <w:r>
        <w:rPr>
          <w:rFonts w:cs="Arial"/>
        </w:rPr>
        <w:t>21</w:t>
      </w:r>
      <w:r w:rsidRPr="00FC45E9">
        <w:rPr>
          <w:rFonts w:cs="Arial"/>
        </w:rPr>
        <w:t xml:space="preserve"> report.</w:t>
      </w:r>
      <w:r>
        <w:rPr>
          <w:rFonts w:cs="Arial"/>
        </w:rPr>
        <w:t xml:space="preserve"> Further, as our role was expanded in 2021 to include new, large-scale high voltage transmission projects for the first time, we have expanded our specific observations and recommendations on this critical segment of our role. </w:t>
      </w:r>
      <w:r w:rsidRPr="00FC45E9">
        <w:rPr>
          <w:rFonts w:cs="Arial"/>
        </w:rPr>
        <w:t xml:space="preserve"> </w:t>
      </w:r>
      <w:r>
        <w:rPr>
          <w:rFonts w:cs="Arial"/>
        </w:rPr>
        <w:t xml:space="preserve"> </w:t>
      </w:r>
    </w:p>
    <w:p w14:paraId="4D3C602D" w14:textId="6D91C37C" w:rsidR="00CE4A08" w:rsidRPr="00FC45E9" w:rsidRDefault="00CE4A08" w:rsidP="00CE4A08">
      <w:pPr>
        <w:spacing w:line="264" w:lineRule="auto"/>
        <w:rPr>
          <w:rFonts w:cs="Arial"/>
        </w:rPr>
      </w:pPr>
      <w:r w:rsidRPr="00FC45E9">
        <w:rPr>
          <w:rFonts w:cs="Arial"/>
        </w:rPr>
        <w:t>For consistency</w:t>
      </w:r>
      <w:r w:rsidR="0060090A">
        <w:rPr>
          <w:rFonts w:cs="Arial"/>
        </w:rPr>
        <w:t xml:space="preserve"> and ease o</w:t>
      </w:r>
      <w:r w:rsidR="00E3107F">
        <w:rPr>
          <w:rFonts w:cs="Arial"/>
        </w:rPr>
        <w:t>f</w:t>
      </w:r>
      <w:r w:rsidR="0060090A">
        <w:rPr>
          <w:rFonts w:cs="Arial"/>
        </w:rPr>
        <w:t xml:space="preserve"> reference</w:t>
      </w:r>
      <w:r w:rsidRPr="00FC45E9">
        <w:rPr>
          <w:rFonts w:cs="Arial"/>
        </w:rPr>
        <w:t xml:space="preserve">, the </w:t>
      </w:r>
      <w:r>
        <w:rPr>
          <w:rFonts w:cs="Arial"/>
        </w:rPr>
        <w:t>following sections</w:t>
      </w:r>
      <w:r w:rsidRPr="00FC45E9">
        <w:rPr>
          <w:rFonts w:cs="Arial"/>
        </w:rPr>
        <w:t xml:space="preserve"> utilise the same topic areas and numbering system employed in the 20</w:t>
      </w:r>
      <w:r>
        <w:rPr>
          <w:rFonts w:cs="Arial"/>
        </w:rPr>
        <w:t xml:space="preserve">21 </w:t>
      </w:r>
      <w:r w:rsidRPr="00FC45E9">
        <w:rPr>
          <w:rFonts w:cs="Arial"/>
        </w:rPr>
        <w:t>report</w:t>
      </w:r>
      <w:r w:rsidR="0060090A">
        <w:rPr>
          <w:rFonts w:cs="Arial"/>
        </w:rPr>
        <w:t>.</w:t>
      </w:r>
    </w:p>
    <w:p w14:paraId="20428F6B" w14:textId="4755E227" w:rsidR="00CE4A08" w:rsidRPr="00FC45E9" w:rsidRDefault="00CE4A08" w:rsidP="00CE4A08">
      <w:pPr>
        <w:spacing w:line="264" w:lineRule="auto"/>
        <w:rPr>
          <w:rFonts w:cs="Arial"/>
        </w:rPr>
      </w:pPr>
      <w:r w:rsidRPr="00FC45E9">
        <w:rPr>
          <w:rFonts w:cs="Arial"/>
        </w:rPr>
        <w:t xml:space="preserve">The recommendations </w:t>
      </w:r>
      <w:r>
        <w:rPr>
          <w:rFonts w:cs="Arial"/>
        </w:rPr>
        <w:t xml:space="preserve">detailed </w:t>
      </w:r>
      <w:r w:rsidRPr="00FC45E9">
        <w:rPr>
          <w:rFonts w:cs="Arial"/>
        </w:rPr>
        <w:t xml:space="preserve">below are </w:t>
      </w:r>
      <w:r>
        <w:rPr>
          <w:rFonts w:cs="Arial"/>
        </w:rPr>
        <w:t xml:space="preserve">intended </w:t>
      </w:r>
      <w:r w:rsidRPr="00FC45E9">
        <w:rPr>
          <w:rFonts w:cs="Arial"/>
        </w:rPr>
        <w:t xml:space="preserve">for consideration by the relevant stakeholders. The Commissioner has no formal powers to mandate the implementation of these recommendations. </w:t>
      </w:r>
      <w:r>
        <w:rPr>
          <w:rFonts w:cs="Arial"/>
        </w:rPr>
        <w:t>However</w:t>
      </w:r>
      <w:r w:rsidRPr="00FC45E9">
        <w:rPr>
          <w:rFonts w:cs="Arial"/>
        </w:rPr>
        <w:t xml:space="preserve">, the Commissioner looks forward to the ongoing </w:t>
      </w:r>
      <w:r>
        <w:rPr>
          <w:rFonts w:cs="Arial"/>
        </w:rPr>
        <w:t>assessment, acceptance and a</w:t>
      </w:r>
      <w:r w:rsidRPr="00FC45E9">
        <w:rPr>
          <w:rFonts w:cs="Arial"/>
        </w:rPr>
        <w:t>doption of the recommendations</w:t>
      </w:r>
      <w:r w:rsidR="0060090A">
        <w:rPr>
          <w:rFonts w:cs="Arial"/>
        </w:rPr>
        <w:t>,</w:t>
      </w:r>
      <w:r>
        <w:rPr>
          <w:rFonts w:cs="Arial"/>
        </w:rPr>
        <w:t xml:space="preserve"> in the spirit of ongoing </w:t>
      </w:r>
      <w:r w:rsidRPr="00FC45E9">
        <w:rPr>
          <w:rFonts w:cs="Arial"/>
        </w:rPr>
        <w:t xml:space="preserve">continuous improvement within the </w:t>
      </w:r>
      <w:r>
        <w:rPr>
          <w:rFonts w:cs="Arial"/>
        </w:rPr>
        <w:t xml:space="preserve">large-scale transmission and renewable energy </w:t>
      </w:r>
      <w:r w:rsidRPr="00FC45E9">
        <w:rPr>
          <w:rFonts w:cs="Arial"/>
        </w:rPr>
        <w:t>industr</w:t>
      </w:r>
      <w:r>
        <w:rPr>
          <w:rFonts w:cs="Arial"/>
        </w:rPr>
        <w:t>ies.</w:t>
      </w:r>
    </w:p>
    <w:p w14:paraId="3484B305" w14:textId="1A2A937A" w:rsidR="00CE4A08" w:rsidRDefault="0060090A" w:rsidP="00CE4A08">
      <w:pPr>
        <w:spacing w:line="264" w:lineRule="auto"/>
        <w:rPr>
          <w:rFonts w:cs="Arial"/>
        </w:rPr>
      </w:pPr>
      <w:r>
        <w:rPr>
          <w:rFonts w:cs="Arial"/>
        </w:rPr>
        <w:t>T</w:t>
      </w:r>
      <w:r w:rsidR="00CE4A08" w:rsidRPr="00FC45E9">
        <w:rPr>
          <w:rFonts w:cs="Arial"/>
        </w:rPr>
        <w:t xml:space="preserve">he large-scale </w:t>
      </w:r>
      <w:r w:rsidR="00CE4A08">
        <w:rPr>
          <w:rFonts w:cs="Arial"/>
        </w:rPr>
        <w:t xml:space="preserve">renewable </w:t>
      </w:r>
      <w:r w:rsidR="00CE4A08" w:rsidRPr="00FC45E9">
        <w:rPr>
          <w:rFonts w:cs="Arial"/>
        </w:rPr>
        <w:t xml:space="preserve">energy industry is still relatively new in Australia, with the first major wind farm developments commencing in the early </w:t>
      </w:r>
      <w:r w:rsidR="00CE4A08">
        <w:rPr>
          <w:rFonts w:cs="Arial"/>
        </w:rPr>
        <w:t>2000’s and large-scale solar projects commencing in the last decade.</w:t>
      </w:r>
      <w:r w:rsidR="00CE4A08" w:rsidRPr="00FC45E9">
        <w:rPr>
          <w:rFonts w:cs="Arial"/>
        </w:rPr>
        <w:t xml:space="preserve"> </w:t>
      </w:r>
      <w:r w:rsidR="00CE4A08">
        <w:t xml:space="preserve">However, these industries </w:t>
      </w:r>
      <w:r>
        <w:t>are developing</w:t>
      </w:r>
      <w:r w:rsidR="00CE4A08">
        <w:t xml:space="preserve"> </w:t>
      </w:r>
      <w:r w:rsidR="006E499A">
        <w:t>rapidly,</w:t>
      </w:r>
      <w:r w:rsidR="004B1D4B">
        <w:t xml:space="preserve"> and our Office has observed the </w:t>
      </w:r>
      <w:r w:rsidR="00CE4A08">
        <w:t>acceleration of new project permit requests and approvals in the past few years</w:t>
      </w:r>
      <w:r w:rsidR="00CE4A08">
        <w:rPr>
          <w:rFonts w:cs="Arial"/>
        </w:rPr>
        <w:t>.</w:t>
      </w:r>
      <w:r w:rsidR="00CE4A08" w:rsidRPr="00FC45E9">
        <w:rPr>
          <w:rFonts w:cs="Arial"/>
        </w:rPr>
        <w:t xml:space="preserve"> </w:t>
      </w:r>
    </w:p>
    <w:p w14:paraId="61D494AA" w14:textId="1AE114A0" w:rsidR="00CE4A08" w:rsidRDefault="004B1D4B" w:rsidP="00CE4A08">
      <w:pPr>
        <w:spacing w:line="264" w:lineRule="auto"/>
        <w:rPr>
          <w:rFonts w:cs="Arial"/>
        </w:rPr>
      </w:pPr>
      <w:r>
        <w:rPr>
          <w:rFonts w:cs="Arial"/>
        </w:rPr>
        <w:t>While</w:t>
      </w:r>
      <w:r w:rsidR="00CE4A08">
        <w:rPr>
          <w:rFonts w:cs="Arial"/>
        </w:rPr>
        <w:t xml:space="preserve"> the planning, development and deployment of large-scale transmission projects</w:t>
      </w:r>
      <w:r>
        <w:rPr>
          <w:rFonts w:cs="Arial"/>
        </w:rPr>
        <w:t xml:space="preserve"> is not a new industry, it </w:t>
      </w:r>
      <w:r w:rsidR="00CE4A08">
        <w:rPr>
          <w:rFonts w:cs="Arial"/>
        </w:rPr>
        <w:t>h</w:t>
      </w:r>
      <w:r>
        <w:rPr>
          <w:rFonts w:cs="Arial"/>
        </w:rPr>
        <w:t>as</w:t>
      </w:r>
      <w:r w:rsidR="00CE4A08">
        <w:rPr>
          <w:rFonts w:cs="Arial"/>
        </w:rPr>
        <w:t xml:space="preserve"> not been undertaken</w:t>
      </w:r>
      <w:r>
        <w:rPr>
          <w:rFonts w:cs="Arial"/>
        </w:rPr>
        <w:t xml:space="preserve"> on this scale</w:t>
      </w:r>
      <w:r w:rsidR="00CE4A08">
        <w:rPr>
          <w:rFonts w:cs="Arial"/>
        </w:rPr>
        <w:t xml:space="preserve"> in Australia for </w:t>
      </w:r>
      <w:r>
        <w:rPr>
          <w:rFonts w:cs="Arial"/>
        </w:rPr>
        <w:t xml:space="preserve">about </w:t>
      </w:r>
      <w:r w:rsidR="00CE4A08">
        <w:rPr>
          <w:rFonts w:cs="Arial"/>
        </w:rPr>
        <w:t xml:space="preserve">40 years. The institutional memory on how to roll out such infrastructure has largely dissipated over </w:t>
      </w:r>
      <w:r w:rsidR="006E499A">
        <w:rPr>
          <w:rFonts w:cs="Arial"/>
        </w:rPr>
        <w:t>time,</w:t>
      </w:r>
      <w:r>
        <w:rPr>
          <w:rFonts w:cs="Arial"/>
        </w:rPr>
        <w:t xml:space="preserve"> and</w:t>
      </w:r>
      <w:r w:rsidR="00CE4A08">
        <w:rPr>
          <w:rFonts w:cs="Arial"/>
        </w:rPr>
        <w:t xml:space="preserve"> we are </w:t>
      </w:r>
      <w:r>
        <w:rPr>
          <w:rFonts w:cs="Arial"/>
        </w:rPr>
        <w:t xml:space="preserve">essentially </w:t>
      </w:r>
      <w:r w:rsidR="00CE4A08">
        <w:rPr>
          <w:rFonts w:cs="Arial"/>
        </w:rPr>
        <w:t>dealing with a rebuild of that industry and expertise.</w:t>
      </w:r>
    </w:p>
    <w:p w14:paraId="33583365" w14:textId="4BB4CF78" w:rsidR="00CE4A08" w:rsidRDefault="00CE4A08" w:rsidP="00CE4A08">
      <w:pPr>
        <w:spacing w:line="264" w:lineRule="auto"/>
        <w:rPr>
          <w:rFonts w:cs="Arial"/>
        </w:rPr>
      </w:pPr>
      <w:r>
        <w:rPr>
          <w:rFonts w:cs="Arial"/>
        </w:rPr>
        <w:t>Therefore, o</w:t>
      </w:r>
      <w:r w:rsidRPr="00FC45E9">
        <w:rPr>
          <w:rFonts w:cs="Arial"/>
        </w:rPr>
        <w:t xml:space="preserve">pportunities </w:t>
      </w:r>
      <w:r>
        <w:rPr>
          <w:rFonts w:cs="Arial"/>
        </w:rPr>
        <w:t xml:space="preserve">will </w:t>
      </w:r>
      <w:r w:rsidRPr="00FC45E9">
        <w:rPr>
          <w:rFonts w:cs="Arial"/>
        </w:rPr>
        <w:t>continue</w:t>
      </w:r>
      <w:r>
        <w:rPr>
          <w:rFonts w:cs="Arial"/>
        </w:rPr>
        <w:t xml:space="preserve"> to </w:t>
      </w:r>
      <w:r w:rsidRPr="00FC45E9">
        <w:rPr>
          <w:rFonts w:cs="Arial"/>
        </w:rPr>
        <w:t>exist for</w:t>
      </w:r>
      <w:r>
        <w:rPr>
          <w:rFonts w:cs="Arial"/>
        </w:rPr>
        <w:t xml:space="preserve"> further</w:t>
      </w:r>
      <w:r w:rsidRPr="00FC45E9">
        <w:rPr>
          <w:rFonts w:cs="Arial"/>
        </w:rPr>
        <w:t xml:space="preserve"> improvement in the governance and operation of the</w:t>
      </w:r>
      <w:r>
        <w:rPr>
          <w:rFonts w:cs="Arial"/>
        </w:rPr>
        <w:t>se</w:t>
      </w:r>
      <w:r w:rsidRPr="00FC45E9">
        <w:rPr>
          <w:rFonts w:cs="Arial"/>
        </w:rPr>
        <w:t xml:space="preserve"> industr</w:t>
      </w:r>
      <w:r>
        <w:rPr>
          <w:rFonts w:cs="Arial"/>
        </w:rPr>
        <w:t xml:space="preserve">ies, from landholder relations through to work-place safety. Nevertheless, substantial progress has been made against </w:t>
      </w:r>
      <w:r w:rsidR="004B1D4B">
        <w:rPr>
          <w:rFonts w:cs="Arial"/>
        </w:rPr>
        <w:t xml:space="preserve">our </w:t>
      </w:r>
      <w:r>
        <w:rPr>
          <w:rFonts w:cs="Arial"/>
        </w:rPr>
        <w:t>recommendations in recent times</w:t>
      </w:r>
      <w:r w:rsidRPr="00FC45E9">
        <w:rPr>
          <w:rFonts w:cs="Arial"/>
        </w:rPr>
        <w:t>.</w:t>
      </w:r>
    </w:p>
    <w:p w14:paraId="59B88A46" w14:textId="292B3BC6" w:rsidR="00CE4A08" w:rsidRDefault="00CE4A08" w:rsidP="00CE4A08">
      <w:pPr>
        <w:rPr>
          <w:rFonts w:cs="Arial"/>
        </w:rPr>
      </w:pPr>
      <w:r>
        <w:rPr>
          <w:rFonts w:cs="Arial"/>
        </w:rPr>
        <w:t>The updated 2022 observations and recommendations are also available on the Commissioner’s website.</w:t>
      </w:r>
    </w:p>
    <w:p w14:paraId="7AA0DEF6" w14:textId="089680E0" w:rsidR="00AC4DDC" w:rsidRDefault="00AC4DDC" w:rsidP="00CE4A08">
      <w:pPr>
        <w:rPr>
          <w:rFonts w:cs="Arial"/>
        </w:rPr>
      </w:pPr>
    </w:p>
    <w:p w14:paraId="10DACE72" w14:textId="32137DD0" w:rsidR="00AC4DDC" w:rsidRDefault="00AC4DDC" w:rsidP="00CE4A08">
      <w:pPr>
        <w:rPr>
          <w:rFonts w:cs="Arial"/>
        </w:rPr>
      </w:pPr>
    </w:p>
    <w:p w14:paraId="30CE69E8" w14:textId="1D780F86" w:rsidR="00AC4DDC" w:rsidRDefault="00AC4DDC" w:rsidP="00CE4A08">
      <w:pPr>
        <w:rPr>
          <w:rFonts w:cs="Arial"/>
        </w:rPr>
      </w:pPr>
    </w:p>
    <w:p w14:paraId="5F75E33D" w14:textId="77777777" w:rsidR="006F2640" w:rsidRDefault="006F2640" w:rsidP="00CE4A08">
      <w:pPr>
        <w:rPr>
          <w:rFonts w:cs="Arial"/>
        </w:rPr>
      </w:pPr>
    </w:p>
    <w:p w14:paraId="21F84785" w14:textId="77777777" w:rsidR="00AC4DDC" w:rsidRPr="002C70C7" w:rsidRDefault="00AC4DDC" w:rsidP="00CE4A08">
      <w:pPr>
        <w:rPr>
          <w:rFonts w:cs="Arial"/>
        </w:rPr>
      </w:pPr>
    </w:p>
    <w:p w14:paraId="42735C5D" w14:textId="77777777" w:rsidR="00CE4A08" w:rsidRPr="003329B0" w:rsidRDefault="00CE4A08" w:rsidP="00CE4A08">
      <w:pPr>
        <w:pStyle w:val="Heading2"/>
        <w:numPr>
          <w:ilvl w:val="0"/>
          <w:numId w:val="8"/>
        </w:numPr>
      </w:pPr>
      <w:bookmarkStart w:id="153" w:name="_Toc51224048"/>
      <w:bookmarkStart w:id="154" w:name="_Toc84430829"/>
      <w:bookmarkStart w:id="155" w:name="_Toc98781019"/>
      <w:bookmarkStart w:id="156" w:name="_Toc135390607"/>
      <w:r w:rsidRPr="003329B0">
        <w:lastRenderedPageBreak/>
        <w:t xml:space="preserve">Host Landholder </w:t>
      </w:r>
      <w:bookmarkEnd w:id="153"/>
      <w:r w:rsidRPr="003329B0">
        <w:t>Matters</w:t>
      </w:r>
      <w:bookmarkEnd w:id="154"/>
      <w:bookmarkEnd w:id="155"/>
      <w:bookmarkEnd w:id="156"/>
    </w:p>
    <w:p w14:paraId="5EAB35C6" w14:textId="77777777" w:rsidR="00CE4A08" w:rsidRPr="003329B0" w:rsidRDefault="00CE4A08" w:rsidP="00CE4A08">
      <w:pPr>
        <w:pStyle w:val="ListNumber"/>
        <w:numPr>
          <w:ilvl w:val="1"/>
          <w:numId w:val="8"/>
        </w:numPr>
        <w:spacing w:line="264" w:lineRule="auto"/>
        <w:rPr>
          <w:rFonts w:cs="Arial"/>
          <w:b/>
        </w:rPr>
      </w:pPr>
      <w:r w:rsidRPr="003329B0">
        <w:rPr>
          <w:rFonts w:cs="Arial"/>
          <w:b/>
        </w:rPr>
        <w:t>Observations</w:t>
      </w:r>
    </w:p>
    <w:p w14:paraId="693ACC89" w14:textId="77777777" w:rsidR="00CE4A08" w:rsidRPr="003329B0" w:rsidRDefault="00CE4A08" w:rsidP="00CE4A08">
      <w:pPr>
        <w:pStyle w:val="ListNumber"/>
        <w:numPr>
          <w:ilvl w:val="0"/>
          <w:numId w:val="0"/>
        </w:numPr>
        <w:spacing w:line="264" w:lineRule="auto"/>
        <w:ind w:left="360"/>
        <w:rPr>
          <w:rFonts w:cs="Arial"/>
          <w:b/>
        </w:rPr>
      </w:pPr>
      <w:r w:rsidRPr="003329B0">
        <w:rPr>
          <w:rFonts w:cs="Arial"/>
          <w:b/>
        </w:rPr>
        <w:t>1.1.1 On-shore wind and solar projects and related assets</w:t>
      </w:r>
    </w:p>
    <w:p w14:paraId="0FC59B49" w14:textId="77777777" w:rsidR="00CE4A08" w:rsidRPr="00F25864" w:rsidRDefault="00CE4A08" w:rsidP="00F25864">
      <w:pPr>
        <w:pStyle w:val="Heading3"/>
        <w:ind w:firstLine="360"/>
      </w:pPr>
      <w:bookmarkStart w:id="157" w:name="_Toc132641462"/>
      <w:bookmarkStart w:id="158" w:name="_Toc135390608"/>
      <w:r w:rsidRPr="00F25864">
        <w:t>Background</w:t>
      </w:r>
      <w:bookmarkEnd w:id="157"/>
      <w:bookmarkEnd w:id="158"/>
    </w:p>
    <w:p w14:paraId="2AE2E822" w14:textId="1AC9DC52" w:rsidR="00CE4A08" w:rsidRPr="00961674" w:rsidRDefault="00CE4A08" w:rsidP="00CE4A08">
      <w:pPr>
        <w:pStyle w:val="ListNumber"/>
        <w:numPr>
          <w:ilvl w:val="0"/>
          <w:numId w:val="0"/>
        </w:numPr>
        <w:spacing w:line="264" w:lineRule="auto"/>
        <w:ind w:left="360"/>
        <w:rPr>
          <w:rFonts w:cs="Arial"/>
          <w:bCs/>
        </w:rPr>
      </w:pPr>
      <w:r>
        <w:rPr>
          <w:rFonts w:cs="Arial"/>
          <w:bCs/>
        </w:rPr>
        <w:t xml:space="preserve">The following sections largely relate to landholder matters regarding </w:t>
      </w:r>
      <w:r w:rsidR="006E499A">
        <w:rPr>
          <w:rFonts w:cs="Arial"/>
          <w:bCs/>
        </w:rPr>
        <w:t>onshore</w:t>
      </w:r>
      <w:r>
        <w:rPr>
          <w:rFonts w:cs="Arial"/>
          <w:bCs/>
        </w:rPr>
        <w:t xml:space="preserve"> wind and solar projects and their related assets (such as connecting transmission lines, substations etc.)</w:t>
      </w:r>
      <w:r w:rsidR="004B1D4B">
        <w:rPr>
          <w:rFonts w:cs="Arial"/>
          <w:bCs/>
        </w:rPr>
        <w:t xml:space="preserve">. They </w:t>
      </w:r>
      <w:r>
        <w:rPr>
          <w:rFonts w:cs="Arial"/>
          <w:bCs/>
        </w:rPr>
        <w:t xml:space="preserve">may also </w:t>
      </w:r>
      <w:r w:rsidR="004B1D4B">
        <w:rPr>
          <w:rFonts w:cs="Arial"/>
          <w:bCs/>
        </w:rPr>
        <w:t xml:space="preserve">be </w:t>
      </w:r>
      <w:r>
        <w:rPr>
          <w:rFonts w:cs="Arial"/>
          <w:bCs/>
        </w:rPr>
        <w:t>applicab</w:t>
      </w:r>
      <w:r w:rsidR="004B1D4B">
        <w:rPr>
          <w:rFonts w:cs="Arial"/>
          <w:bCs/>
        </w:rPr>
        <w:t>le</w:t>
      </w:r>
      <w:r>
        <w:rPr>
          <w:rFonts w:cs="Arial"/>
          <w:bCs/>
        </w:rPr>
        <w:t xml:space="preserve"> to large-scale transmission and storage projects.</w:t>
      </w:r>
    </w:p>
    <w:p w14:paraId="5DF0250F" w14:textId="6A191100" w:rsidR="00CE4A08" w:rsidRDefault="00CE4A08" w:rsidP="00CE4A08">
      <w:pPr>
        <w:pStyle w:val="ListNumber"/>
        <w:numPr>
          <w:ilvl w:val="0"/>
          <w:numId w:val="0"/>
        </w:numPr>
        <w:spacing w:line="264" w:lineRule="auto"/>
        <w:ind w:left="360"/>
        <w:rPr>
          <w:rFonts w:cs="Arial"/>
        </w:rPr>
      </w:pPr>
      <w:r w:rsidRPr="00FC45E9">
        <w:rPr>
          <w:rFonts w:cs="Arial"/>
        </w:rPr>
        <w:t xml:space="preserve">Wind turbines </w:t>
      </w:r>
      <w:r>
        <w:rPr>
          <w:rFonts w:cs="Arial"/>
        </w:rPr>
        <w:t xml:space="preserve">and solar arrays </w:t>
      </w:r>
      <w:r w:rsidRPr="00FC45E9">
        <w:rPr>
          <w:rFonts w:cs="Arial"/>
        </w:rPr>
        <w:t xml:space="preserve">are </w:t>
      </w:r>
      <w:r w:rsidR="004B1D4B">
        <w:rPr>
          <w:rFonts w:cs="Arial"/>
        </w:rPr>
        <w:t>generally</w:t>
      </w:r>
      <w:r w:rsidR="004B1D4B" w:rsidRPr="00FC45E9">
        <w:rPr>
          <w:rFonts w:cs="Arial"/>
        </w:rPr>
        <w:t xml:space="preserve"> </w:t>
      </w:r>
      <w:r w:rsidRPr="00FC45E9">
        <w:rPr>
          <w:rFonts w:cs="Arial"/>
        </w:rPr>
        <w:t>located on cleared primary production land owned</w:t>
      </w:r>
      <w:r>
        <w:rPr>
          <w:rFonts w:cs="Arial"/>
        </w:rPr>
        <w:t xml:space="preserve"> or leased</w:t>
      </w:r>
      <w:r w:rsidRPr="00FC45E9">
        <w:rPr>
          <w:rFonts w:cs="Arial"/>
        </w:rPr>
        <w:t xml:space="preserve"> by a land</w:t>
      </w:r>
      <w:r>
        <w:rPr>
          <w:rFonts w:cs="Arial"/>
        </w:rPr>
        <w:t>holder</w:t>
      </w:r>
      <w:r w:rsidRPr="00FC45E9">
        <w:rPr>
          <w:rFonts w:cs="Arial"/>
        </w:rPr>
        <w:t>, often referred to as the ‘host’ land</w:t>
      </w:r>
      <w:r>
        <w:rPr>
          <w:rFonts w:cs="Arial"/>
        </w:rPr>
        <w:t>holder</w:t>
      </w:r>
      <w:r w:rsidRPr="00FC45E9">
        <w:rPr>
          <w:rFonts w:cs="Arial"/>
        </w:rPr>
        <w:t xml:space="preserve">. The land’s existing use is </w:t>
      </w:r>
      <w:r w:rsidR="004B1D4B">
        <w:rPr>
          <w:rFonts w:cs="Arial"/>
        </w:rPr>
        <w:t>usually</w:t>
      </w:r>
      <w:r w:rsidR="004B1D4B" w:rsidRPr="00FC45E9">
        <w:rPr>
          <w:rFonts w:cs="Arial"/>
        </w:rPr>
        <w:t xml:space="preserve"> </w:t>
      </w:r>
      <w:r w:rsidRPr="00FC45E9">
        <w:rPr>
          <w:rFonts w:cs="Arial"/>
        </w:rPr>
        <w:t>broad-acre agricultural production (for example, livestock or cropping)</w:t>
      </w:r>
      <w:r>
        <w:rPr>
          <w:rFonts w:cs="Arial"/>
        </w:rPr>
        <w:t>. I</w:t>
      </w:r>
      <w:r w:rsidRPr="00FC45E9">
        <w:rPr>
          <w:rFonts w:cs="Arial"/>
        </w:rPr>
        <w:t xml:space="preserve">n general, a relatively small portion of the productive land is utilised for </w:t>
      </w:r>
      <w:r>
        <w:rPr>
          <w:rFonts w:cs="Arial"/>
        </w:rPr>
        <w:t>a</w:t>
      </w:r>
      <w:r w:rsidRPr="00FC45E9">
        <w:rPr>
          <w:rFonts w:cs="Arial"/>
        </w:rPr>
        <w:t xml:space="preserve"> wind farm’s operation,</w:t>
      </w:r>
      <w:r w:rsidR="004B1D4B">
        <w:rPr>
          <w:rFonts w:cs="Arial"/>
        </w:rPr>
        <w:t xml:space="preserve"> including </w:t>
      </w:r>
      <w:r w:rsidRPr="00FC45E9">
        <w:rPr>
          <w:rFonts w:cs="Arial"/>
        </w:rPr>
        <w:t xml:space="preserve">turbine siting, </w:t>
      </w:r>
      <w:r>
        <w:rPr>
          <w:rFonts w:cs="Arial"/>
        </w:rPr>
        <w:t xml:space="preserve">hard stand, </w:t>
      </w:r>
      <w:r w:rsidRPr="00FC45E9">
        <w:rPr>
          <w:rFonts w:cs="Arial"/>
        </w:rPr>
        <w:t>access roads and related assets such as transmission line easements, electrical substations, transformers and meteorological masts. The land</w:t>
      </w:r>
      <w:r>
        <w:rPr>
          <w:rFonts w:cs="Arial"/>
        </w:rPr>
        <w:t>holder</w:t>
      </w:r>
      <w:r w:rsidRPr="00FC45E9">
        <w:rPr>
          <w:rFonts w:cs="Arial"/>
        </w:rPr>
        <w:t xml:space="preserve"> </w:t>
      </w:r>
      <w:r>
        <w:rPr>
          <w:rFonts w:cs="Arial"/>
        </w:rPr>
        <w:t xml:space="preserve">usually </w:t>
      </w:r>
      <w:r w:rsidRPr="00FC45E9">
        <w:rPr>
          <w:rFonts w:cs="Arial"/>
        </w:rPr>
        <w:t xml:space="preserve">continues to operate the agricultural production activities on the remaining land. </w:t>
      </w:r>
      <w:r>
        <w:rPr>
          <w:rFonts w:cs="Arial"/>
        </w:rPr>
        <w:t xml:space="preserve">By contrast, a solar array consumes most of the land that it resides on, with limited opportunities for co-located farming activities. </w:t>
      </w:r>
    </w:p>
    <w:p w14:paraId="60CA9FF1" w14:textId="56600B3B" w:rsidR="00CE4A08" w:rsidRDefault="00CE4A08" w:rsidP="00CE4A08">
      <w:pPr>
        <w:pStyle w:val="ListNumber"/>
        <w:numPr>
          <w:ilvl w:val="0"/>
          <w:numId w:val="0"/>
        </w:numPr>
        <w:spacing w:line="264" w:lineRule="auto"/>
        <w:ind w:left="360"/>
        <w:rPr>
          <w:rFonts w:cs="Arial"/>
        </w:rPr>
      </w:pPr>
      <w:r w:rsidRPr="00FC45E9">
        <w:rPr>
          <w:rFonts w:cs="Arial"/>
        </w:rPr>
        <w:t xml:space="preserve">There is </w:t>
      </w:r>
      <w:r w:rsidR="004B1D4B">
        <w:rPr>
          <w:rFonts w:cs="Arial"/>
        </w:rPr>
        <w:t>usually</w:t>
      </w:r>
      <w:r w:rsidR="004B1D4B" w:rsidRPr="00FC45E9">
        <w:rPr>
          <w:rFonts w:cs="Arial"/>
        </w:rPr>
        <w:t xml:space="preserve"> </w:t>
      </w:r>
      <w:r w:rsidRPr="00FC45E9">
        <w:rPr>
          <w:rFonts w:cs="Arial"/>
        </w:rPr>
        <w:t>significant disruption</w:t>
      </w:r>
      <w:r w:rsidR="004B1D4B">
        <w:rPr>
          <w:rFonts w:cs="Arial"/>
        </w:rPr>
        <w:t xml:space="preserve"> to the land</w:t>
      </w:r>
      <w:r w:rsidRPr="00FC45E9">
        <w:rPr>
          <w:rFonts w:cs="Arial"/>
        </w:rPr>
        <w:t xml:space="preserve"> during the </w:t>
      </w:r>
      <w:r>
        <w:rPr>
          <w:rFonts w:cs="Arial"/>
        </w:rPr>
        <w:t>c</w:t>
      </w:r>
      <w:r w:rsidRPr="00FC45E9">
        <w:rPr>
          <w:rFonts w:cs="Arial"/>
        </w:rPr>
        <w:t xml:space="preserve">onstruction phase </w:t>
      </w:r>
      <w:r>
        <w:rPr>
          <w:rFonts w:cs="Arial"/>
        </w:rPr>
        <w:t xml:space="preserve">of these renewable energy assets </w:t>
      </w:r>
      <w:r w:rsidRPr="00FC45E9">
        <w:rPr>
          <w:rFonts w:cs="Arial"/>
        </w:rPr>
        <w:t xml:space="preserve">and ongoing access to the assets will be required by the operator </w:t>
      </w:r>
      <w:r>
        <w:rPr>
          <w:rFonts w:cs="Arial"/>
        </w:rPr>
        <w:t>for</w:t>
      </w:r>
      <w:r w:rsidRPr="00FC45E9">
        <w:rPr>
          <w:rFonts w:cs="Arial"/>
        </w:rPr>
        <w:t xml:space="preserve"> normal operations</w:t>
      </w:r>
      <w:r>
        <w:rPr>
          <w:rFonts w:cs="Arial"/>
        </w:rPr>
        <w:t xml:space="preserve"> and maintenance </w:t>
      </w:r>
      <w:r w:rsidR="004B1D4B">
        <w:rPr>
          <w:rFonts w:cs="Arial"/>
        </w:rPr>
        <w:t xml:space="preserve">over </w:t>
      </w:r>
      <w:r>
        <w:rPr>
          <w:rFonts w:cs="Arial"/>
        </w:rPr>
        <w:t>the life of the project</w:t>
      </w:r>
      <w:r w:rsidRPr="00FC45E9">
        <w:rPr>
          <w:rFonts w:cs="Arial"/>
        </w:rPr>
        <w:t>.</w:t>
      </w:r>
    </w:p>
    <w:p w14:paraId="5866C52E" w14:textId="77777777" w:rsidR="00CE4A08" w:rsidRPr="003329B0" w:rsidRDefault="00CE4A08" w:rsidP="00F25864">
      <w:pPr>
        <w:pStyle w:val="Heading3"/>
        <w:ind w:firstLine="360"/>
      </w:pPr>
      <w:bookmarkStart w:id="159" w:name="_Toc135390609"/>
      <w:r w:rsidRPr="003329B0">
        <w:t>Payments to Host Landholders</w:t>
      </w:r>
      <w:bookmarkEnd w:id="159"/>
    </w:p>
    <w:p w14:paraId="79A74D60" w14:textId="70B68A4D" w:rsidR="00CE4A08" w:rsidRDefault="00CE4A08" w:rsidP="00CE4A08">
      <w:pPr>
        <w:spacing w:line="264" w:lineRule="auto"/>
        <w:ind w:left="360"/>
        <w:rPr>
          <w:rFonts w:cs="Arial"/>
        </w:rPr>
      </w:pPr>
      <w:r>
        <w:rPr>
          <w:rFonts w:cs="Arial"/>
        </w:rPr>
        <w:t xml:space="preserve">When developing an </w:t>
      </w:r>
      <w:r w:rsidR="006E499A">
        <w:rPr>
          <w:rFonts w:cs="Arial"/>
        </w:rPr>
        <w:t>onshore</w:t>
      </w:r>
      <w:r>
        <w:rPr>
          <w:rFonts w:cs="Arial"/>
        </w:rPr>
        <w:t xml:space="preserve"> wind or solar farm, or a large-scale storage battery project, </w:t>
      </w:r>
      <w:r w:rsidR="004B1D4B">
        <w:rPr>
          <w:rFonts w:cs="Arial"/>
        </w:rPr>
        <w:t>a crucial initial</w:t>
      </w:r>
      <w:r>
        <w:rPr>
          <w:rFonts w:cs="Arial"/>
        </w:rPr>
        <w:t xml:space="preserve"> step is to secure the land. </w:t>
      </w:r>
      <w:r w:rsidR="004B1D4B">
        <w:rPr>
          <w:rFonts w:cs="Arial"/>
        </w:rPr>
        <w:t>To do this, the</w:t>
      </w:r>
      <w:r>
        <w:rPr>
          <w:rFonts w:cs="Arial"/>
        </w:rPr>
        <w:t xml:space="preserve"> developer typically approaches one or more landholders in the desired location and presents the likely commercial benefits and income from hosting part or all of the project.</w:t>
      </w:r>
    </w:p>
    <w:p w14:paraId="01349F25" w14:textId="7AAC1CED" w:rsidR="002E750D" w:rsidRDefault="00CE4A08" w:rsidP="00CE4A08">
      <w:pPr>
        <w:spacing w:line="264" w:lineRule="auto"/>
        <w:ind w:left="360"/>
        <w:rPr>
          <w:rFonts w:cs="Arial"/>
        </w:rPr>
      </w:pPr>
      <w:r w:rsidRPr="00FC45E9">
        <w:rPr>
          <w:rFonts w:cs="Arial"/>
        </w:rPr>
        <w:t>Host land</w:t>
      </w:r>
      <w:r>
        <w:rPr>
          <w:rFonts w:cs="Arial"/>
        </w:rPr>
        <w:t>holder</w:t>
      </w:r>
      <w:r w:rsidRPr="00FC45E9">
        <w:rPr>
          <w:rFonts w:cs="Arial"/>
        </w:rPr>
        <w:t xml:space="preserve">s </w:t>
      </w:r>
      <w:r>
        <w:rPr>
          <w:rFonts w:cs="Arial"/>
        </w:rPr>
        <w:t xml:space="preserve">for wind farms </w:t>
      </w:r>
      <w:r w:rsidRPr="00FC45E9">
        <w:rPr>
          <w:rFonts w:cs="Arial"/>
        </w:rPr>
        <w:t xml:space="preserve">are </w:t>
      </w:r>
      <w:r w:rsidR="004B1D4B">
        <w:rPr>
          <w:rFonts w:cs="Arial"/>
        </w:rPr>
        <w:t>generally</w:t>
      </w:r>
      <w:r w:rsidR="004B1D4B" w:rsidRPr="00FC45E9">
        <w:rPr>
          <w:rFonts w:cs="Arial"/>
        </w:rPr>
        <w:t xml:space="preserve"> </w:t>
      </w:r>
      <w:r>
        <w:rPr>
          <w:rFonts w:cs="Arial"/>
        </w:rPr>
        <w:t>paid</w:t>
      </w:r>
      <w:r w:rsidRPr="00FC45E9">
        <w:rPr>
          <w:rFonts w:cs="Arial"/>
        </w:rPr>
        <w:t xml:space="preserve"> a fixed amount per turbine per year under a long-term agreement </w:t>
      </w:r>
      <w:r w:rsidR="004B1D4B">
        <w:rPr>
          <w:rFonts w:cs="Arial"/>
        </w:rPr>
        <w:t>for the</w:t>
      </w:r>
      <w:r w:rsidRPr="00FC45E9">
        <w:rPr>
          <w:rFonts w:cs="Arial"/>
        </w:rPr>
        <w:t xml:space="preserve"> life of the wind farm</w:t>
      </w:r>
      <w:r w:rsidR="004B1D4B">
        <w:rPr>
          <w:rFonts w:cs="Arial"/>
        </w:rPr>
        <w:t>. Th</w:t>
      </w:r>
      <w:r w:rsidR="002E750D">
        <w:rPr>
          <w:rFonts w:cs="Arial"/>
        </w:rPr>
        <w:t>is</w:t>
      </w:r>
      <w:r w:rsidR="004B1D4B">
        <w:rPr>
          <w:rFonts w:cs="Arial"/>
        </w:rPr>
        <w:t xml:space="preserve"> agreement is akin to a commercial lease </w:t>
      </w:r>
      <w:r w:rsidR="00A5211D">
        <w:rPr>
          <w:rFonts w:cs="Arial"/>
        </w:rPr>
        <w:t>and a</w:t>
      </w:r>
      <w:r w:rsidRPr="00FC45E9">
        <w:rPr>
          <w:rFonts w:cs="Arial"/>
        </w:rPr>
        <w:t xml:space="preserve"> term of 25 years</w:t>
      </w:r>
      <w:r>
        <w:rPr>
          <w:rFonts w:cs="Arial"/>
        </w:rPr>
        <w:t xml:space="preserve"> with</w:t>
      </w:r>
      <w:r w:rsidR="00A5211D">
        <w:rPr>
          <w:rFonts w:cs="Arial"/>
        </w:rPr>
        <w:t xml:space="preserve"> the</w:t>
      </w:r>
      <w:r>
        <w:rPr>
          <w:rFonts w:cs="Arial"/>
        </w:rPr>
        <w:t xml:space="preserve"> option</w:t>
      </w:r>
      <w:r w:rsidR="00A5211D">
        <w:rPr>
          <w:rFonts w:cs="Arial"/>
        </w:rPr>
        <w:t xml:space="preserve"> for renewal </w:t>
      </w:r>
      <w:r w:rsidRPr="00FC45E9">
        <w:rPr>
          <w:rFonts w:cs="Arial"/>
        </w:rPr>
        <w:t>is common. The fee paid to the land</w:t>
      </w:r>
      <w:r>
        <w:rPr>
          <w:rFonts w:cs="Arial"/>
        </w:rPr>
        <w:t>holder</w:t>
      </w:r>
      <w:r w:rsidRPr="00FC45E9">
        <w:rPr>
          <w:rFonts w:cs="Arial"/>
        </w:rPr>
        <w:t xml:space="preserve"> may be a flat annual fee per turbine, regardless of size or capacity, or a fee based on the generating capacity of the turbine. </w:t>
      </w:r>
    </w:p>
    <w:p w14:paraId="225049A6" w14:textId="6743C48E" w:rsidR="00CE4A08" w:rsidRDefault="002E750D" w:rsidP="002E750D">
      <w:pPr>
        <w:spacing w:line="264" w:lineRule="auto"/>
        <w:ind w:left="360"/>
        <w:rPr>
          <w:rFonts w:cs="Arial"/>
        </w:rPr>
      </w:pPr>
      <w:r>
        <w:rPr>
          <w:rFonts w:cs="Arial"/>
        </w:rPr>
        <w:t xml:space="preserve">Due to rapid advances in technology, the turbines installed on a project are often substantially more efficient than those that were available at the time the landholder entered into the agreement with the developer. Consequently, the landholder often hosts less turbines </w:t>
      </w:r>
      <w:r w:rsidRPr="00FC45E9">
        <w:rPr>
          <w:rFonts w:cs="Arial"/>
        </w:rPr>
        <w:t>than originally envisaged</w:t>
      </w:r>
      <w:r>
        <w:rPr>
          <w:rFonts w:cs="Arial"/>
        </w:rPr>
        <w:t xml:space="preserve">. An agreement for a fee that is based on the generating capacity of the turbine </w:t>
      </w:r>
      <w:r w:rsidR="00CE4A08" w:rsidRPr="00FC45E9">
        <w:rPr>
          <w:rFonts w:cs="Arial"/>
        </w:rPr>
        <w:t xml:space="preserve">reflects the reality that modern </w:t>
      </w:r>
      <w:r w:rsidR="00CE4A08">
        <w:rPr>
          <w:rFonts w:cs="Arial"/>
        </w:rPr>
        <w:t xml:space="preserve">on-shore </w:t>
      </w:r>
      <w:r w:rsidR="00CE4A08" w:rsidRPr="00FC45E9">
        <w:rPr>
          <w:rFonts w:cs="Arial"/>
        </w:rPr>
        <w:t xml:space="preserve">turbines have </w:t>
      </w:r>
      <w:r w:rsidR="00A5211D">
        <w:rPr>
          <w:rFonts w:cs="Arial"/>
        </w:rPr>
        <w:t xml:space="preserve">a </w:t>
      </w:r>
      <w:r w:rsidR="00CE4A08" w:rsidRPr="00FC45E9">
        <w:rPr>
          <w:rFonts w:cs="Arial"/>
        </w:rPr>
        <w:t>much greater capacity (</w:t>
      </w:r>
      <w:r w:rsidR="00CE4A08">
        <w:rPr>
          <w:rFonts w:cs="Arial"/>
        </w:rPr>
        <w:t xml:space="preserve">currently </w:t>
      </w:r>
      <w:r w:rsidR="00CE4A08" w:rsidRPr="00FC45E9">
        <w:rPr>
          <w:rFonts w:cs="Arial"/>
        </w:rPr>
        <w:t xml:space="preserve">in the order of </w:t>
      </w:r>
      <w:r w:rsidR="00CE4A08">
        <w:rPr>
          <w:rFonts w:cs="Arial"/>
        </w:rPr>
        <w:t>5</w:t>
      </w:r>
      <w:r w:rsidR="00CE4A08" w:rsidRPr="00FC45E9">
        <w:rPr>
          <w:rFonts w:cs="Arial"/>
        </w:rPr>
        <w:t xml:space="preserve"> MW</w:t>
      </w:r>
      <w:r w:rsidR="00CE4A08">
        <w:rPr>
          <w:rFonts w:cs="Arial"/>
        </w:rPr>
        <w:t xml:space="preserve"> </w:t>
      </w:r>
      <w:r w:rsidR="00A5211D">
        <w:rPr>
          <w:rFonts w:cs="Arial"/>
        </w:rPr>
        <w:t>–</w:t>
      </w:r>
      <w:r w:rsidR="00CE4A08">
        <w:rPr>
          <w:rFonts w:cs="Arial"/>
        </w:rPr>
        <w:t xml:space="preserve"> 7</w:t>
      </w:r>
      <w:r w:rsidR="00CE4A08" w:rsidRPr="00FC45E9">
        <w:rPr>
          <w:rFonts w:cs="Arial"/>
        </w:rPr>
        <w:t xml:space="preserve"> MW) </w:t>
      </w:r>
      <w:r w:rsidR="00A5211D">
        <w:rPr>
          <w:rFonts w:cs="Arial"/>
        </w:rPr>
        <w:t>than</w:t>
      </w:r>
      <w:r w:rsidR="00CE4A08" w:rsidRPr="00FC45E9">
        <w:rPr>
          <w:rFonts w:cs="Arial"/>
        </w:rPr>
        <w:t xml:space="preserve"> turbines</w:t>
      </w:r>
      <w:r w:rsidR="00CE4A08">
        <w:rPr>
          <w:rFonts w:cs="Arial"/>
        </w:rPr>
        <w:t xml:space="preserve"> available</w:t>
      </w:r>
      <w:r w:rsidR="00A5211D">
        <w:rPr>
          <w:rFonts w:cs="Arial"/>
        </w:rPr>
        <w:t xml:space="preserve"> </w:t>
      </w:r>
      <w:r>
        <w:rPr>
          <w:rFonts w:cs="Arial"/>
        </w:rPr>
        <w:t>in the recent past.</w:t>
      </w:r>
      <w:r w:rsidR="00CE4A08">
        <w:rPr>
          <w:rFonts w:cs="Arial"/>
        </w:rPr>
        <w:t xml:space="preserve"> </w:t>
      </w:r>
    </w:p>
    <w:p w14:paraId="3A2CBB58" w14:textId="12A9FBFF" w:rsidR="00CE4A08" w:rsidRDefault="00CE4A08" w:rsidP="002E750D">
      <w:pPr>
        <w:spacing w:line="264" w:lineRule="auto"/>
        <w:ind w:left="360"/>
        <w:rPr>
          <w:rFonts w:cs="Arial"/>
        </w:rPr>
      </w:pPr>
      <w:r>
        <w:rPr>
          <w:rFonts w:cs="Arial"/>
        </w:rPr>
        <w:t xml:space="preserve">Host landholders for solar farms and batteries are generally compensated </w:t>
      </w:r>
      <w:r w:rsidR="00067355">
        <w:rPr>
          <w:rFonts w:cs="Arial"/>
        </w:rPr>
        <w:t xml:space="preserve">by </w:t>
      </w:r>
      <w:r>
        <w:rPr>
          <w:rFonts w:cs="Arial"/>
        </w:rPr>
        <w:t>a fixed annual amount per hectare</w:t>
      </w:r>
      <w:r w:rsidR="00067355">
        <w:rPr>
          <w:rFonts w:cs="Arial"/>
        </w:rPr>
        <w:t xml:space="preserve"> and the land is</w:t>
      </w:r>
      <w:r>
        <w:rPr>
          <w:rFonts w:cs="Arial"/>
        </w:rPr>
        <w:t xml:space="preserve"> leased to proponent via a long-term </w:t>
      </w:r>
      <w:r w:rsidR="00067355">
        <w:rPr>
          <w:rFonts w:cs="Arial"/>
        </w:rPr>
        <w:t>lease agreement.</w:t>
      </w:r>
    </w:p>
    <w:p w14:paraId="611C0000" w14:textId="78810324" w:rsidR="00CE4A08" w:rsidRDefault="00CE4A08" w:rsidP="00CE4A08">
      <w:pPr>
        <w:spacing w:line="264" w:lineRule="auto"/>
        <w:ind w:left="360"/>
        <w:rPr>
          <w:rFonts w:cs="Arial"/>
        </w:rPr>
      </w:pPr>
      <w:r>
        <w:rPr>
          <w:rFonts w:cs="Arial"/>
        </w:rPr>
        <w:t xml:space="preserve">Landholders that host transmission lines may be paid for the required easement, disturbance to their property and farming practices, an option fee for entering into </w:t>
      </w:r>
      <w:r w:rsidR="00067355">
        <w:rPr>
          <w:rFonts w:cs="Arial"/>
        </w:rPr>
        <w:t xml:space="preserve">an </w:t>
      </w:r>
      <w:r>
        <w:rPr>
          <w:rFonts w:cs="Arial"/>
        </w:rPr>
        <w:t>option agreement and other fees such as the Strategic Payment Benefit Scheme, which was announced by the NSW Government in October 2022.</w:t>
      </w:r>
    </w:p>
    <w:p w14:paraId="0A38E276" w14:textId="6926C4FC" w:rsidR="00CE4A08" w:rsidRPr="00FC45E9" w:rsidRDefault="005754DD" w:rsidP="00CE4A08">
      <w:pPr>
        <w:spacing w:line="264" w:lineRule="auto"/>
        <w:ind w:left="360"/>
        <w:rPr>
          <w:rFonts w:cs="Arial"/>
        </w:rPr>
      </w:pPr>
      <w:r>
        <w:rPr>
          <w:rFonts w:cs="Arial"/>
        </w:rPr>
        <w:t>H</w:t>
      </w:r>
      <w:r w:rsidR="00CE4A08">
        <w:rPr>
          <w:rFonts w:cs="Arial"/>
        </w:rPr>
        <w:t xml:space="preserve">ost landholders may be entitled to have reasonable professional fees reimbursed by the </w:t>
      </w:r>
      <w:r>
        <w:rPr>
          <w:rFonts w:cs="Arial"/>
        </w:rPr>
        <w:t xml:space="preserve">proponent, </w:t>
      </w:r>
      <w:r w:rsidR="00CE4A08">
        <w:rPr>
          <w:rFonts w:cs="Arial"/>
        </w:rPr>
        <w:t>includ</w:t>
      </w:r>
      <w:r>
        <w:rPr>
          <w:rFonts w:cs="Arial"/>
        </w:rPr>
        <w:t>ing</w:t>
      </w:r>
      <w:r w:rsidR="00CE4A08">
        <w:rPr>
          <w:rFonts w:cs="Arial"/>
        </w:rPr>
        <w:t xml:space="preserve"> costs </w:t>
      </w:r>
      <w:r>
        <w:rPr>
          <w:rFonts w:cs="Arial"/>
        </w:rPr>
        <w:t>for</w:t>
      </w:r>
      <w:r w:rsidR="00CE4A08">
        <w:rPr>
          <w:rFonts w:cs="Arial"/>
        </w:rPr>
        <w:t xml:space="preserve"> legal, tax, financial, valuation and insurance advice.   </w:t>
      </w:r>
    </w:p>
    <w:p w14:paraId="138A1208" w14:textId="0F5FD74F" w:rsidR="001A5FDB" w:rsidRDefault="00CE4A08" w:rsidP="00CE4A08">
      <w:pPr>
        <w:spacing w:line="264" w:lineRule="auto"/>
        <w:ind w:left="360"/>
        <w:rPr>
          <w:rFonts w:cs="Arial"/>
        </w:rPr>
      </w:pPr>
      <w:r>
        <w:rPr>
          <w:rFonts w:cs="Arial"/>
        </w:rPr>
        <w:t>Hosting fee</w:t>
      </w:r>
      <w:r w:rsidR="001A5FDB">
        <w:rPr>
          <w:rFonts w:cs="Arial"/>
        </w:rPr>
        <w:t xml:space="preserve">s </w:t>
      </w:r>
      <w:r>
        <w:rPr>
          <w:rFonts w:cs="Arial"/>
        </w:rPr>
        <w:t xml:space="preserve">can become dated, especially if a landholder has entered into a fixed annual fee agreement. </w:t>
      </w:r>
    </w:p>
    <w:p w14:paraId="4FB93293" w14:textId="386FD456" w:rsidR="00DC77A8" w:rsidRDefault="001A5FDB" w:rsidP="00DC77A8">
      <w:pPr>
        <w:spacing w:line="264" w:lineRule="auto"/>
        <w:ind w:left="360"/>
        <w:rPr>
          <w:rFonts w:cs="Arial"/>
        </w:rPr>
      </w:pPr>
      <w:r>
        <w:rPr>
          <w:rFonts w:cs="Arial"/>
        </w:rPr>
        <w:lastRenderedPageBreak/>
        <w:t>Several years ago, wind turbine capacity was in the order of 1.5 MW to 2 MW per turbine. Recently, wind turbine capacity is about 5 MW to 7 MW per turbine. Landholders who entered into wind farm agreements with a fixed annual fee per turbine several years ago</w:t>
      </w:r>
      <w:r w:rsidR="00DC77A8">
        <w:rPr>
          <w:rFonts w:cs="Arial"/>
        </w:rPr>
        <w:t xml:space="preserve"> may find that by the time construction commences, proponents have updated their designs to take advantage of the new, larger scale and more efficient turbines. The updated design often requires fewer turbines to achieve the same energy output as the original design. </w:t>
      </w:r>
    </w:p>
    <w:p w14:paraId="05556D68" w14:textId="05379A0B" w:rsidR="00DC77A8" w:rsidRDefault="00CE4A08" w:rsidP="00CE4A08">
      <w:pPr>
        <w:spacing w:line="264" w:lineRule="auto"/>
        <w:ind w:left="360"/>
        <w:rPr>
          <w:rFonts w:cs="Arial"/>
        </w:rPr>
      </w:pPr>
      <w:r>
        <w:rPr>
          <w:rFonts w:cs="Arial"/>
        </w:rPr>
        <w:t>Similar issues are emerging in the solar industry, where the energy output capacity per hectare is increasing significantly due to ongoing solar technology improvements</w:t>
      </w:r>
      <w:r w:rsidR="00DC77A8">
        <w:rPr>
          <w:rFonts w:cs="Arial"/>
        </w:rPr>
        <w:t>.</w:t>
      </w:r>
    </w:p>
    <w:p w14:paraId="411D48A0" w14:textId="6DFF5D87" w:rsidR="00DC77A8" w:rsidRDefault="00DC77A8" w:rsidP="00DC77A8">
      <w:pPr>
        <w:spacing w:line="264" w:lineRule="auto"/>
        <w:ind w:left="360"/>
        <w:rPr>
          <w:rFonts w:cs="Arial"/>
        </w:rPr>
      </w:pPr>
      <w:r>
        <w:rPr>
          <w:rFonts w:cs="Arial"/>
        </w:rPr>
        <w:t xml:space="preserve">Many existing </w:t>
      </w:r>
      <w:r w:rsidRPr="00FC45E9">
        <w:rPr>
          <w:rFonts w:cs="Arial"/>
        </w:rPr>
        <w:t xml:space="preserve">agreements did not contemplate the significant change in turbine </w:t>
      </w:r>
      <w:r>
        <w:rPr>
          <w:rFonts w:cs="Arial"/>
        </w:rPr>
        <w:t xml:space="preserve">and solar panel </w:t>
      </w:r>
      <w:r w:rsidRPr="00FC45E9">
        <w:rPr>
          <w:rFonts w:cs="Arial"/>
        </w:rPr>
        <w:t xml:space="preserve">capacity that has </w:t>
      </w:r>
      <w:r>
        <w:rPr>
          <w:rFonts w:cs="Arial"/>
        </w:rPr>
        <w:t xml:space="preserve">now </w:t>
      </w:r>
      <w:r w:rsidRPr="00FC45E9">
        <w:rPr>
          <w:rFonts w:cs="Arial"/>
        </w:rPr>
        <w:t xml:space="preserve">occurred. As a result, the agreement fee </w:t>
      </w:r>
      <w:r>
        <w:rPr>
          <w:rFonts w:cs="Arial"/>
        </w:rPr>
        <w:t xml:space="preserve">per turbine or per hectare </w:t>
      </w:r>
      <w:r w:rsidRPr="00FC45E9">
        <w:rPr>
          <w:rFonts w:cs="Arial"/>
        </w:rPr>
        <w:t>payable to the land</w:t>
      </w:r>
      <w:r>
        <w:rPr>
          <w:rFonts w:cs="Arial"/>
        </w:rPr>
        <w:t>holder</w:t>
      </w:r>
      <w:r w:rsidRPr="00FC45E9">
        <w:rPr>
          <w:rFonts w:cs="Arial"/>
        </w:rPr>
        <w:t xml:space="preserve"> (based on </w:t>
      </w:r>
      <w:r>
        <w:rPr>
          <w:rFonts w:cs="Arial"/>
        </w:rPr>
        <w:t xml:space="preserve">the original </w:t>
      </w:r>
      <w:r w:rsidRPr="00FC45E9">
        <w:rPr>
          <w:rFonts w:cs="Arial"/>
        </w:rPr>
        <w:t>smaller capacity t</w:t>
      </w:r>
      <w:r>
        <w:rPr>
          <w:rFonts w:cs="Arial"/>
        </w:rPr>
        <w:t>echnology</w:t>
      </w:r>
      <w:r w:rsidRPr="00FC45E9">
        <w:rPr>
          <w:rFonts w:cs="Arial"/>
        </w:rPr>
        <w:t xml:space="preserve">) may not reflect the </w:t>
      </w:r>
      <w:r>
        <w:rPr>
          <w:rFonts w:cs="Arial"/>
        </w:rPr>
        <w:t xml:space="preserve">contemporary </w:t>
      </w:r>
      <w:r w:rsidRPr="00FC45E9">
        <w:rPr>
          <w:rFonts w:cs="Arial"/>
        </w:rPr>
        <w:t>fee</w:t>
      </w:r>
      <w:r>
        <w:rPr>
          <w:rFonts w:cs="Arial"/>
        </w:rPr>
        <w:t xml:space="preserve"> </w:t>
      </w:r>
      <w:r w:rsidRPr="00FC45E9">
        <w:rPr>
          <w:rFonts w:cs="Arial"/>
        </w:rPr>
        <w:t xml:space="preserve">appropriate for </w:t>
      </w:r>
      <w:r>
        <w:rPr>
          <w:rFonts w:cs="Arial"/>
        </w:rPr>
        <w:t>the much larger</w:t>
      </w:r>
      <w:r w:rsidRPr="00FC45E9">
        <w:rPr>
          <w:rFonts w:cs="Arial"/>
        </w:rPr>
        <w:t xml:space="preserve"> </w:t>
      </w:r>
      <w:r>
        <w:rPr>
          <w:rFonts w:cs="Arial"/>
        </w:rPr>
        <w:t xml:space="preserve">output </w:t>
      </w:r>
      <w:r w:rsidRPr="00FC45E9">
        <w:rPr>
          <w:rFonts w:cs="Arial"/>
        </w:rPr>
        <w:t>capacity</w:t>
      </w:r>
      <w:r>
        <w:rPr>
          <w:rFonts w:cs="Arial"/>
        </w:rPr>
        <w:t xml:space="preserve"> wind </w:t>
      </w:r>
      <w:r w:rsidRPr="00FC45E9">
        <w:rPr>
          <w:rFonts w:cs="Arial"/>
        </w:rPr>
        <w:t>turbine</w:t>
      </w:r>
      <w:r>
        <w:rPr>
          <w:rFonts w:cs="Arial"/>
        </w:rPr>
        <w:t>, solar array or battery</w:t>
      </w:r>
      <w:r w:rsidRPr="00FC45E9">
        <w:rPr>
          <w:rFonts w:cs="Arial"/>
        </w:rPr>
        <w:t xml:space="preserve">. </w:t>
      </w:r>
      <w:r>
        <w:rPr>
          <w:rFonts w:cs="Arial"/>
        </w:rPr>
        <w:t xml:space="preserve">Further, the landholder’s overall fees may be less than expected due to the reduction in the number of turbines or solar array area now required. </w:t>
      </w:r>
    </w:p>
    <w:p w14:paraId="4109934A" w14:textId="6274BC85" w:rsidR="00CE4A08" w:rsidRDefault="00CE4A08" w:rsidP="00DC77A8">
      <w:pPr>
        <w:spacing w:line="264" w:lineRule="auto"/>
        <w:ind w:left="360"/>
        <w:rPr>
          <w:rFonts w:cs="Arial"/>
        </w:rPr>
      </w:pPr>
      <w:r w:rsidRPr="00FC45E9">
        <w:rPr>
          <w:rFonts w:cs="Arial"/>
        </w:rPr>
        <w:t>Land</w:t>
      </w:r>
      <w:r>
        <w:rPr>
          <w:rFonts w:cs="Arial"/>
        </w:rPr>
        <w:t>holders</w:t>
      </w:r>
      <w:r w:rsidRPr="00FC45E9">
        <w:rPr>
          <w:rFonts w:cs="Arial"/>
        </w:rPr>
        <w:t xml:space="preserve"> </w:t>
      </w:r>
      <w:r>
        <w:rPr>
          <w:rFonts w:cs="Arial"/>
        </w:rPr>
        <w:t>should</w:t>
      </w:r>
      <w:r w:rsidRPr="00FC45E9">
        <w:rPr>
          <w:rFonts w:cs="Arial"/>
        </w:rPr>
        <w:t xml:space="preserve"> check their existing agreements </w:t>
      </w:r>
      <w:r>
        <w:rPr>
          <w:rFonts w:cs="Arial"/>
        </w:rPr>
        <w:t xml:space="preserve">and </w:t>
      </w:r>
      <w:r w:rsidRPr="00FC45E9">
        <w:rPr>
          <w:rFonts w:cs="Arial"/>
        </w:rPr>
        <w:t xml:space="preserve">ensure </w:t>
      </w:r>
      <w:r w:rsidR="00DC77A8">
        <w:rPr>
          <w:rFonts w:cs="Arial"/>
        </w:rPr>
        <w:t xml:space="preserve">that </w:t>
      </w:r>
      <w:r>
        <w:rPr>
          <w:rFonts w:cs="Arial"/>
        </w:rPr>
        <w:t xml:space="preserve">any </w:t>
      </w:r>
      <w:r w:rsidRPr="00FC45E9">
        <w:rPr>
          <w:rFonts w:cs="Arial"/>
        </w:rPr>
        <w:t xml:space="preserve">new agreements have provision to adjust the fees in the event of </w:t>
      </w:r>
      <w:r>
        <w:rPr>
          <w:rFonts w:cs="Arial"/>
        </w:rPr>
        <w:t xml:space="preserve">a turbine or solar panel </w:t>
      </w:r>
      <w:r w:rsidRPr="00FC45E9">
        <w:rPr>
          <w:rFonts w:cs="Arial"/>
        </w:rPr>
        <w:t>capacity increase</w:t>
      </w:r>
      <w:r>
        <w:rPr>
          <w:rFonts w:cs="Arial"/>
        </w:rPr>
        <w:t xml:space="preserve"> and/or a reduction in number of hosted assets.</w:t>
      </w:r>
    </w:p>
    <w:p w14:paraId="27645002" w14:textId="337121F1" w:rsidR="00CE4A08" w:rsidRPr="00FC45E9" w:rsidRDefault="00CE4A08" w:rsidP="00CE4A08">
      <w:pPr>
        <w:spacing w:line="264" w:lineRule="auto"/>
        <w:ind w:left="360"/>
        <w:rPr>
          <w:rFonts w:cs="Arial"/>
        </w:rPr>
      </w:pPr>
      <w:r>
        <w:rPr>
          <w:rFonts w:cs="Arial"/>
        </w:rPr>
        <w:t xml:space="preserve">Landholders should also have the ability </w:t>
      </w:r>
      <w:r w:rsidRPr="00FC45E9">
        <w:rPr>
          <w:rFonts w:cs="Arial"/>
        </w:rPr>
        <w:t xml:space="preserve">to </w:t>
      </w:r>
      <w:r>
        <w:rPr>
          <w:rFonts w:cs="Arial"/>
        </w:rPr>
        <w:t xml:space="preserve">negotiate an </w:t>
      </w:r>
      <w:r w:rsidRPr="00FC45E9">
        <w:rPr>
          <w:rFonts w:cs="Arial"/>
        </w:rPr>
        <w:t>escalat</w:t>
      </w:r>
      <w:r>
        <w:rPr>
          <w:rFonts w:cs="Arial"/>
        </w:rPr>
        <w:t>ion</w:t>
      </w:r>
      <w:r w:rsidRPr="00FC45E9">
        <w:rPr>
          <w:rFonts w:cs="Arial"/>
        </w:rPr>
        <w:t xml:space="preserve"> </w:t>
      </w:r>
      <w:r>
        <w:rPr>
          <w:rFonts w:cs="Arial"/>
        </w:rPr>
        <w:t xml:space="preserve">of </w:t>
      </w:r>
      <w:r w:rsidRPr="00FC45E9">
        <w:rPr>
          <w:rFonts w:cs="Arial"/>
        </w:rPr>
        <w:t xml:space="preserve">fees </w:t>
      </w:r>
      <w:r>
        <w:rPr>
          <w:rFonts w:cs="Arial"/>
        </w:rPr>
        <w:t>annually with either a fixed annual increase or an indexed increase based on the consumer price index</w:t>
      </w:r>
      <w:r w:rsidRPr="00FC45E9">
        <w:rPr>
          <w:rFonts w:cs="Arial"/>
        </w:rPr>
        <w:t>.</w:t>
      </w:r>
    </w:p>
    <w:p w14:paraId="4E5E1333" w14:textId="7BC07EE0" w:rsidR="00CE4A08" w:rsidRDefault="00DC77A8" w:rsidP="00DC77A8">
      <w:pPr>
        <w:spacing w:line="264" w:lineRule="auto"/>
        <w:ind w:left="360"/>
        <w:rPr>
          <w:rFonts w:cs="Arial"/>
        </w:rPr>
      </w:pPr>
      <w:r>
        <w:rPr>
          <w:rFonts w:cs="Arial"/>
        </w:rPr>
        <w:t xml:space="preserve">The point at which payment to landholders commences and ceases often varies between agreements. This is </w:t>
      </w:r>
      <w:r w:rsidR="00CE4A08" w:rsidRPr="00FC45E9">
        <w:rPr>
          <w:rFonts w:cs="Arial"/>
        </w:rPr>
        <w:t>a matter for negotiation between the developer and the land</w:t>
      </w:r>
      <w:r w:rsidR="00CE4A08">
        <w:rPr>
          <w:rFonts w:cs="Arial"/>
        </w:rPr>
        <w:t>holder</w:t>
      </w:r>
      <w:r>
        <w:rPr>
          <w:rFonts w:cs="Arial"/>
        </w:rPr>
        <w:t xml:space="preserve">. However, we suggest that </w:t>
      </w:r>
      <w:r w:rsidR="00CE4A08" w:rsidRPr="00FC45E9">
        <w:rPr>
          <w:rFonts w:cs="Arial"/>
        </w:rPr>
        <w:t xml:space="preserve">a fair and reasonable approach would be for payments to commence no later than the start of project construction and cease no earlier that the completion of decommissioning and restoration </w:t>
      </w:r>
      <w:r>
        <w:rPr>
          <w:rFonts w:cs="Arial"/>
        </w:rPr>
        <w:t>of</w:t>
      </w:r>
      <w:r w:rsidRPr="00FC45E9">
        <w:rPr>
          <w:rFonts w:cs="Arial"/>
        </w:rPr>
        <w:t xml:space="preserve"> </w:t>
      </w:r>
      <w:r w:rsidR="00CE4A08" w:rsidRPr="00FC45E9">
        <w:rPr>
          <w:rFonts w:cs="Arial"/>
        </w:rPr>
        <w:t>the land</w:t>
      </w:r>
      <w:r w:rsidR="00CE4A08">
        <w:rPr>
          <w:rFonts w:cs="Arial"/>
        </w:rPr>
        <w:t>holder</w:t>
      </w:r>
      <w:r w:rsidR="00CE4A08" w:rsidRPr="00FC45E9">
        <w:rPr>
          <w:rFonts w:cs="Arial"/>
        </w:rPr>
        <w:t>’s property.</w:t>
      </w:r>
      <w:r w:rsidR="00CE4A08">
        <w:rPr>
          <w:rFonts w:cs="Arial"/>
        </w:rPr>
        <w:t xml:space="preserve"> </w:t>
      </w:r>
    </w:p>
    <w:p w14:paraId="0A136765" w14:textId="25E49C11" w:rsidR="00CE4A08" w:rsidRPr="00FC45E9" w:rsidRDefault="00CE4A08" w:rsidP="00CE4A08">
      <w:pPr>
        <w:spacing w:line="264" w:lineRule="auto"/>
        <w:ind w:left="360"/>
        <w:rPr>
          <w:rFonts w:cs="Arial"/>
        </w:rPr>
      </w:pPr>
      <w:r>
        <w:rPr>
          <w:rFonts w:cs="Arial"/>
        </w:rPr>
        <w:t xml:space="preserve">Fees may also be payable </w:t>
      </w:r>
      <w:r w:rsidR="00B942F8">
        <w:rPr>
          <w:rFonts w:cs="Arial"/>
        </w:rPr>
        <w:t xml:space="preserve">to the landholder </w:t>
      </w:r>
      <w:r>
        <w:rPr>
          <w:rFonts w:cs="Arial"/>
        </w:rPr>
        <w:t xml:space="preserve">during the development phase </w:t>
      </w:r>
      <w:r w:rsidR="00902457">
        <w:rPr>
          <w:rFonts w:cs="Arial"/>
        </w:rPr>
        <w:t xml:space="preserve">of the project </w:t>
      </w:r>
      <w:r>
        <w:rPr>
          <w:rFonts w:cs="Arial"/>
        </w:rPr>
        <w:t xml:space="preserve">in consideration </w:t>
      </w:r>
      <w:r w:rsidR="00902457">
        <w:rPr>
          <w:rFonts w:cs="Arial"/>
        </w:rPr>
        <w:t>of the landholder’s agreement to provide access to land and for the landholder’s agreement to grant the proponent an</w:t>
      </w:r>
      <w:r>
        <w:rPr>
          <w:rFonts w:cs="Arial"/>
        </w:rPr>
        <w:t xml:space="preserve"> option (often exclusive) to use the land</w:t>
      </w:r>
      <w:r w:rsidR="00902457">
        <w:rPr>
          <w:rFonts w:cs="Arial"/>
        </w:rPr>
        <w:t>.</w:t>
      </w:r>
    </w:p>
    <w:p w14:paraId="25723555" w14:textId="3AAD2E96" w:rsidR="00CE4A08" w:rsidRPr="00FC45E9" w:rsidRDefault="00CE4A08" w:rsidP="00CE4A08">
      <w:pPr>
        <w:spacing w:line="264" w:lineRule="auto"/>
        <w:ind w:left="360"/>
        <w:rPr>
          <w:rFonts w:cs="Arial"/>
        </w:rPr>
      </w:pPr>
      <w:r w:rsidRPr="00FC45E9">
        <w:rPr>
          <w:rFonts w:cs="Arial"/>
        </w:rPr>
        <w:t xml:space="preserve">Other fee agreements may be required for </w:t>
      </w:r>
      <w:r>
        <w:rPr>
          <w:rFonts w:cs="Arial"/>
        </w:rPr>
        <w:t xml:space="preserve">hosting electrical substations, batteries, </w:t>
      </w:r>
      <w:r w:rsidRPr="00FC45E9">
        <w:rPr>
          <w:rFonts w:cs="Arial"/>
        </w:rPr>
        <w:t xml:space="preserve">transmission </w:t>
      </w:r>
      <w:r>
        <w:rPr>
          <w:rFonts w:cs="Arial"/>
        </w:rPr>
        <w:t xml:space="preserve">line </w:t>
      </w:r>
      <w:r w:rsidRPr="00FC45E9">
        <w:rPr>
          <w:rFonts w:cs="Arial"/>
        </w:rPr>
        <w:t xml:space="preserve">easements, </w:t>
      </w:r>
      <w:r>
        <w:rPr>
          <w:rFonts w:cs="Arial"/>
        </w:rPr>
        <w:t>access</w:t>
      </w:r>
      <w:r w:rsidRPr="00FC45E9">
        <w:rPr>
          <w:rFonts w:cs="Arial"/>
        </w:rPr>
        <w:t>, transportation of blades and towers across property boundaries, location of project offices and the like. Land</w:t>
      </w:r>
      <w:r>
        <w:rPr>
          <w:rFonts w:cs="Arial"/>
        </w:rPr>
        <w:t>holders</w:t>
      </w:r>
      <w:r w:rsidRPr="00FC45E9">
        <w:rPr>
          <w:rFonts w:cs="Arial"/>
        </w:rPr>
        <w:t xml:space="preserve"> </w:t>
      </w:r>
      <w:r>
        <w:rPr>
          <w:rFonts w:cs="Arial"/>
        </w:rPr>
        <w:t xml:space="preserve">hosting </w:t>
      </w:r>
      <w:r w:rsidRPr="00FC45E9">
        <w:rPr>
          <w:rFonts w:cs="Arial"/>
        </w:rPr>
        <w:t xml:space="preserve">these </w:t>
      </w:r>
      <w:r>
        <w:rPr>
          <w:rFonts w:cs="Arial"/>
        </w:rPr>
        <w:t xml:space="preserve">ancillary </w:t>
      </w:r>
      <w:r w:rsidRPr="00FC45E9">
        <w:rPr>
          <w:rFonts w:cs="Arial"/>
        </w:rPr>
        <w:t>a</w:t>
      </w:r>
      <w:r>
        <w:rPr>
          <w:rFonts w:cs="Arial"/>
        </w:rPr>
        <w:t>ssets</w:t>
      </w:r>
      <w:r w:rsidRPr="00FC45E9">
        <w:rPr>
          <w:rFonts w:cs="Arial"/>
        </w:rPr>
        <w:t xml:space="preserve"> may or may not be </w:t>
      </w:r>
      <w:r>
        <w:rPr>
          <w:rFonts w:cs="Arial"/>
        </w:rPr>
        <w:t xml:space="preserve">wind </w:t>
      </w:r>
      <w:r w:rsidRPr="00FC45E9">
        <w:rPr>
          <w:rFonts w:cs="Arial"/>
        </w:rPr>
        <w:t xml:space="preserve">turbine </w:t>
      </w:r>
      <w:r>
        <w:rPr>
          <w:rFonts w:cs="Arial"/>
        </w:rPr>
        <w:t xml:space="preserve">or solar array </w:t>
      </w:r>
      <w:r w:rsidRPr="00FC45E9">
        <w:rPr>
          <w:rFonts w:cs="Arial"/>
        </w:rPr>
        <w:t>hosts</w:t>
      </w:r>
      <w:r>
        <w:rPr>
          <w:rFonts w:cs="Arial"/>
        </w:rPr>
        <w:t xml:space="preserve"> but are still integral to the project</w:t>
      </w:r>
      <w:r w:rsidRPr="00FC45E9">
        <w:rPr>
          <w:rFonts w:cs="Arial"/>
        </w:rPr>
        <w:t>.</w:t>
      </w:r>
      <w:r>
        <w:rPr>
          <w:rFonts w:cs="Arial"/>
        </w:rPr>
        <w:t xml:space="preserve"> </w:t>
      </w:r>
      <w:r w:rsidRPr="00FC45E9">
        <w:rPr>
          <w:rFonts w:cs="Arial"/>
        </w:rPr>
        <w:t xml:space="preserve"> </w:t>
      </w:r>
    </w:p>
    <w:p w14:paraId="2974B4BA" w14:textId="77777777" w:rsidR="00CE4A08" w:rsidRPr="007A223C" w:rsidRDefault="00CE4A08" w:rsidP="00F25864">
      <w:pPr>
        <w:pStyle w:val="Heading3"/>
        <w:ind w:firstLine="360"/>
      </w:pPr>
      <w:bookmarkStart w:id="160" w:name="_Toc135390610"/>
      <w:r w:rsidRPr="007A223C">
        <w:t>Development Process Phase &amp; Scope Change Effects</w:t>
      </w:r>
      <w:bookmarkEnd w:id="160"/>
    </w:p>
    <w:p w14:paraId="706E88DB" w14:textId="52186777" w:rsidR="00A10CC9" w:rsidRDefault="00CE4A08" w:rsidP="00CE4A08">
      <w:pPr>
        <w:spacing w:line="264" w:lineRule="auto"/>
        <w:ind w:left="360"/>
        <w:rPr>
          <w:rFonts w:cs="Arial"/>
        </w:rPr>
      </w:pPr>
      <w:r>
        <w:rPr>
          <w:rFonts w:cs="Arial"/>
        </w:rPr>
        <w:t>As discussed in the previous section, p</w:t>
      </w:r>
      <w:r w:rsidRPr="00FC45E9">
        <w:rPr>
          <w:rFonts w:cs="Arial"/>
        </w:rPr>
        <w:t>otential host land</w:t>
      </w:r>
      <w:r>
        <w:rPr>
          <w:rFonts w:cs="Arial"/>
        </w:rPr>
        <w:t>holders</w:t>
      </w:r>
      <w:r w:rsidRPr="00FC45E9">
        <w:rPr>
          <w:rFonts w:cs="Arial"/>
        </w:rPr>
        <w:t xml:space="preserve"> are typically approached by a developer very early in the development</w:t>
      </w:r>
      <w:r>
        <w:rPr>
          <w:rFonts w:cs="Arial"/>
        </w:rPr>
        <w:t xml:space="preserve">, or </w:t>
      </w:r>
      <w:r w:rsidR="007D0484">
        <w:rPr>
          <w:rFonts w:cs="Arial"/>
        </w:rPr>
        <w:t>‘</w:t>
      </w:r>
      <w:r>
        <w:rPr>
          <w:rFonts w:cs="Arial"/>
        </w:rPr>
        <w:t>prospecting</w:t>
      </w:r>
      <w:r w:rsidR="007D0484">
        <w:rPr>
          <w:rFonts w:cs="Arial"/>
        </w:rPr>
        <w:t>’</w:t>
      </w:r>
      <w:r w:rsidRPr="00FC45E9">
        <w:rPr>
          <w:rFonts w:cs="Arial"/>
        </w:rPr>
        <w:t xml:space="preserve"> phase of a </w:t>
      </w:r>
      <w:r>
        <w:rPr>
          <w:rFonts w:cs="Arial"/>
        </w:rPr>
        <w:t xml:space="preserve">potential </w:t>
      </w:r>
      <w:r w:rsidRPr="00FC45E9">
        <w:rPr>
          <w:rFonts w:cs="Arial"/>
        </w:rPr>
        <w:t>project</w:t>
      </w:r>
      <w:r>
        <w:rPr>
          <w:rFonts w:cs="Arial"/>
        </w:rPr>
        <w:t>.</w:t>
      </w:r>
      <w:r w:rsidRPr="00FC45E9">
        <w:rPr>
          <w:rFonts w:cs="Arial"/>
        </w:rPr>
        <w:t xml:space="preserve"> </w:t>
      </w:r>
      <w:r>
        <w:rPr>
          <w:rFonts w:cs="Arial"/>
        </w:rPr>
        <w:t>The primary objective is to</w:t>
      </w:r>
      <w:r w:rsidRPr="00FC45E9">
        <w:rPr>
          <w:rFonts w:cs="Arial"/>
        </w:rPr>
        <w:t xml:space="preserve"> obtain the</w:t>
      </w:r>
      <w:r>
        <w:rPr>
          <w:rFonts w:cs="Arial"/>
        </w:rPr>
        <w:t xml:space="preserve"> landholder’s</w:t>
      </w:r>
      <w:r w:rsidRPr="00FC45E9">
        <w:rPr>
          <w:rFonts w:cs="Arial"/>
        </w:rPr>
        <w:t xml:space="preserve"> agreement to host </w:t>
      </w:r>
      <w:r>
        <w:rPr>
          <w:rFonts w:cs="Arial"/>
        </w:rPr>
        <w:t xml:space="preserve">assets in the event </w:t>
      </w:r>
      <w:r w:rsidRPr="00FC45E9">
        <w:rPr>
          <w:rFonts w:cs="Arial"/>
        </w:rPr>
        <w:t xml:space="preserve">the project </w:t>
      </w:r>
      <w:r>
        <w:rPr>
          <w:rFonts w:cs="Arial"/>
        </w:rPr>
        <w:t>is developed, approved and proceeds</w:t>
      </w:r>
      <w:r w:rsidRPr="00FC45E9">
        <w:rPr>
          <w:rFonts w:cs="Arial"/>
        </w:rPr>
        <w:t xml:space="preserve">. </w:t>
      </w:r>
    </w:p>
    <w:p w14:paraId="7D461BE8" w14:textId="6E6E30F3" w:rsidR="00CE4A08" w:rsidRDefault="00CE4A08" w:rsidP="00CE4A08">
      <w:pPr>
        <w:spacing w:line="264" w:lineRule="auto"/>
        <w:ind w:left="360"/>
        <w:rPr>
          <w:rFonts w:cs="Arial"/>
        </w:rPr>
      </w:pPr>
      <w:r w:rsidRPr="00FC45E9">
        <w:rPr>
          <w:rFonts w:cs="Arial"/>
        </w:rPr>
        <w:t>Land</w:t>
      </w:r>
      <w:r>
        <w:rPr>
          <w:rFonts w:cs="Arial"/>
        </w:rPr>
        <w:t>holders</w:t>
      </w:r>
      <w:r w:rsidRPr="00FC45E9">
        <w:rPr>
          <w:rFonts w:cs="Arial"/>
        </w:rPr>
        <w:t xml:space="preserve"> will typically enter into an initial agreement </w:t>
      </w:r>
      <w:r w:rsidR="00A10CC9">
        <w:rPr>
          <w:rFonts w:cs="Arial"/>
        </w:rPr>
        <w:t xml:space="preserve">such as </w:t>
      </w:r>
      <w:r w:rsidRPr="00FC45E9">
        <w:rPr>
          <w:rFonts w:cs="Arial"/>
        </w:rPr>
        <w:t>a ‘License Agreement’</w:t>
      </w:r>
      <w:r w:rsidR="00A10CC9">
        <w:rPr>
          <w:rFonts w:cs="Arial"/>
        </w:rPr>
        <w:t xml:space="preserve">, </w:t>
      </w:r>
      <w:r>
        <w:rPr>
          <w:rFonts w:cs="Arial"/>
        </w:rPr>
        <w:t xml:space="preserve">‘Access Agreement’ or ‘Option for Easement Agreement’. These agreements </w:t>
      </w:r>
      <w:r w:rsidR="00A10CC9">
        <w:rPr>
          <w:rFonts w:cs="Arial"/>
        </w:rPr>
        <w:t xml:space="preserve">may </w:t>
      </w:r>
      <w:r w:rsidRPr="00FC45E9">
        <w:rPr>
          <w:rFonts w:cs="Arial"/>
        </w:rPr>
        <w:t>document the</w:t>
      </w:r>
      <w:r>
        <w:rPr>
          <w:rFonts w:cs="Arial"/>
        </w:rPr>
        <w:t xml:space="preserve"> landholder’s consent</w:t>
      </w:r>
      <w:r w:rsidRPr="00FC45E9">
        <w:rPr>
          <w:rFonts w:cs="Arial"/>
        </w:rPr>
        <w:t xml:space="preserve"> to host </w:t>
      </w:r>
      <w:r>
        <w:rPr>
          <w:rFonts w:cs="Arial"/>
        </w:rPr>
        <w:t>the assets, provide access to their property</w:t>
      </w:r>
      <w:r w:rsidRPr="00FC45E9">
        <w:rPr>
          <w:rFonts w:cs="Arial"/>
        </w:rPr>
        <w:t xml:space="preserve"> and</w:t>
      </w:r>
      <w:r w:rsidR="00A10CC9">
        <w:rPr>
          <w:rFonts w:cs="Arial"/>
        </w:rPr>
        <w:t>/or</w:t>
      </w:r>
      <w:r w:rsidRPr="00FC45E9">
        <w:rPr>
          <w:rFonts w:cs="Arial"/>
        </w:rPr>
        <w:t xml:space="preserve"> </w:t>
      </w:r>
      <w:r>
        <w:rPr>
          <w:rFonts w:cs="Arial"/>
        </w:rPr>
        <w:t xml:space="preserve">enter into </w:t>
      </w:r>
      <w:r w:rsidRPr="00FC45E9">
        <w:rPr>
          <w:rFonts w:cs="Arial"/>
        </w:rPr>
        <w:t xml:space="preserve">the commercial arrangements that </w:t>
      </w:r>
      <w:r>
        <w:rPr>
          <w:rFonts w:cs="Arial"/>
        </w:rPr>
        <w:t>must be in place i</w:t>
      </w:r>
      <w:r w:rsidRPr="00FC45E9">
        <w:rPr>
          <w:rFonts w:cs="Arial"/>
        </w:rPr>
        <w:t>f the development proceeds</w:t>
      </w:r>
      <w:r>
        <w:rPr>
          <w:rFonts w:cs="Arial"/>
        </w:rPr>
        <w:t xml:space="preserve"> to the permit application stage</w:t>
      </w:r>
      <w:r w:rsidRPr="00FC45E9">
        <w:rPr>
          <w:rFonts w:cs="Arial"/>
        </w:rPr>
        <w:t xml:space="preserve">. </w:t>
      </w:r>
    </w:p>
    <w:p w14:paraId="049325B5" w14:textId="78089883" w:rsidR="00A10CC9" w:rsidRDefault="00CE4A08" w:rsidP="00CE4A08">
      <w:pPr>
        <w:spacing w:line="264" w:lineRule="auto"/>
        <w:ind w:left="360"/>
        <w:rPr>
          <w:rFonts w:cs="Arial"/>
        </w:rPr>
      </w:pPr>
      <w:r>
        <w:rPr>
          <w:rFonts w:cs="Arial"/>
        </w:rPr>
        <w:t>T</w:t>
      </w:r>
      <w:r w:rsidRPr="00FC45E9">
        <w:rPr>
          <w:rFonts w:cs="Arial"/>
        </w:rPr>
        <w:t>he</w:t>
      </w:r>
      <w:r>
        <w:rPr>
          <w:rFonts w:cs="Arial"/>
        </w:rPr>
        <w:t xml:space="preserve"> </w:t>
      </w:r>
      <w:r w:rsidRPr="00FC45E9">
        <w:rPr>
          <w:rFonts w:cs="Arial"/>
        </w:rPr>
        <w:t xml:space="preserve">initial </w:t>
      </w:r>
      <w:r>
        <w:rPr>
          <w:rFonts w:cs="Arial"/>
        </w:rPr>
        <w:t xml:space="preserve">licence or access </w:t>
      </w:r>
      <w:r w:rsidRPr="00FC45E9">
        <w:rPr>
          <w:rFonts w:cs="Arial"/>
        </w:rPr>
        <w:t xml:space="preserve">agreement </w:t>
      </w:r>
      <w:r>
        <w:rPr>
          <w:rFonts w:cs="Arial"/>
        </w:rPr>
        <w:t xml:space="preserve">typically </w:t>
      </w:r>
      <w:r w:rsidRPr="00FC45E9">
        <w:rPr>
          <w:rFonts w:cs="Arial"/>
        </w:rPr>
        <w:t>provide</w:t>
      </w:r>
      <w:r w:rsidR="00A10CC9">
        <w:rPr>
          <w:rFonts w:cs="Arial"/>
        </w:rPr>
        <w:t>s</w:t>
      </w:r>
      <w:r w:rsidRPr="00FC45E9">
        <w:rPr>
          <w:rFonts w:cs="Arial"/>
        </w:rPr>
        <w:t xml:space="preserve"> the developer with </w:t>
      </w:r>
      <w:r>
        <w:rPr>
          <w:rFonts w:cs="Arial"/>
        </w:rPr>
        <w:t>access to the landholder’s property for the purpose of surveys</w:t>
      </w:r>
      <w:r w:rsidR="00A10CC9">
        <w:rPr>
          <w:rFonts w:cs="Arial"/>
        </w:rPr>
        <w:t xml:space="preserve"> and </w:t>
      </w:r>
      <w:r>
        <w:rPr>
          <w:rFonts w:cs="Arial"/>
        </w:rPr>
        <w:t>investigations</w:t>
      </w:r>
      <w:r w:rsidR="00A10CC9">
        <w:rPr>
          <w:rFonts w:cs="Arial"/>
        </w:rPr>
        <w:t>.</w:t>
      </w:r>
      <w:r>
        <w:rPr>
          <w:rFonts w:cs="Arial"/>
        </w:rPr>
        <w:t xml:space="preserve"> </w:t>
      </w:r>
      <w:r w:rsidR="00A10CC9">
        <w:rPr>
          <w:rFonts w:cs="Arial"/>
        </w:rPr>
        <w:t xml:space="preserve">It generally also provides the developer with </w:t>
      </w:r>
      <w:r w:rsidRPr="00FC45E9">
        <w:rPr>
          <w:rFonts w:cs="Arial"/>
        </w:rPr>
        <w:t xml:space="preserve">exclusive rights over the property for a defined or undefined </w:t>
      </w:r>
      <w:r w:rsidR="006E499A" w:rsidRPr="00FC45E9">
        <w:rPr>
          <w:rFonts w:cs="Arial"/>
        </w:rPr>
        <w:t>period</w:t>
      </w:r>
      <w:r w:rsidRPr="00FC45E9">
        <w:rPr>
          <w:rFonts w:cs="Arial"/>
        </w:rPr>
        <w:t>.</w:t>
      </w:r>
      <w:r>
        <w:rPr>
          <w:rFonts w:cs="Arial"/>
        </w:rPr>
        <w:t xml:space="preserve"> In most cases, the license agreement will need to be replaced with a long-term lease agreement (or </w:t>
      </w:r>
      <w:r w:rsidR="00C614C4">
        <w:rPr>
          <w:rFonts w:cs="Arial"/>
        </w:rPr>
        <w:t>‘</w:t>
      </w:r>
      <w:r>
        <w:rPr>
          <w:rFonts w:cs="Arial"/>
        </w:rPr>
        <w:t>creation of easement agreement</w:t>
      </w:r>
      <w:r w:rsidR="00C614C4">
        <w:rPr>
          <w:rFonts w:cs="Arial"/>
        </w:rPr>
        <w:t>’</w:t>
      </w:r>
      <w:r>
        <w:rPr>
          <w:rFonts w:cs="Arial"/>
        </w:rPr>
        <w:t xml:space="preserve"> in the case of a transmission line) before any construction occurs.</w:t>
      </w:r>
      <w:r w:rsidR="00A10CC9">
        <w:rPr>
          <w:rFonts w:cs="Arial"/>
        </w:rPr>
        <w:t xml:space="preserve"> </w:t>
      </w:r>
    </w:p>
    <w:p w14:paraId="566EE3A7" w14:textId="37D3723F" w:rsidR="00CE4A08" w:rsidRDefault="00A10CC9" w:rsidP="00A10CC9">
      <w:pPr>
        <w:spacing w:line="264" w:lineRule="auto"/>
        <w:ind w:left="360"/>
        <w:rPr>
          <w:rFonts w:cs="Arial"/>
        </w:rPr>
      </w:pPr>
      <w:r>
        <w:rPr>
          <w:rFonts w:cs="Arial"/>
        </w:rPr>
        <w:lastRenderedPageBreak/>
        <w:t xml:space="preserve">The terms of the initial agreement may bind the </w:t>
      </w:r>
      <w:r w:rsidR="00CE4A08">
        <w:rPr>
          <w:rFonts w:cs="Arial"/>
        </w:rPr>
        <w:t>landholder to accept the</w:t>
      </w:r>
      <w:r>
        <w:rPr>
          <w:rFonts w:cs="Arial"/>
        </w:rPr>
        <w:t xml:space="preserve"> terms of a later</w:t>
      </w:r>
      <w:r w:rsidR="00CE4A08">
        <w:rPr>
          <w:rFonts w:cs="Arial"/>
        </w:rPr>
        <w:t xml:space="preserve"> lease or easement agreement</w:t>
      </w:r>
      <w:r>
        <w:rPr>
          <w:rFonts w:cs="Arial"/>
        </w:rPr>
        <w:t>. Therefore, c</w:t>
      </w:r>
      <w:r w:rsidR="00CE4A08">
        <w:rPr>
          <w:rFonts w:cs="Arial"/>
        </w:rPr>
        <w:t>are should be taken when reviewing any license, access or option for easement agreements to identify any terms and conditions that are binding upon the landholder and incorporated into the subsequent lease or easement agreements.</w:t>
      </w:r>
    </w:p>
    <w:p w14:paraId="77205255" w14:textId="3FD39096" w:rsidR="00CE4A08" w:rsidRDefault="00CE4A08" w:rsidP="00CE4A08">
      <w:pPr>
        <w:spacing w:line="264" w:lineRule="auto"/>
        <w:ind w:left="360"/>
        <w:rPr>
          <w:rFonts w:cs="Arial"/>
        </w:rPr>
      </w:pPr>
      <w:r>
        <w:rPr>
          <w:rFonts w:cs="Arial"/>
        </w:rPr>
        <w:t xml:space="preserve">It is essential that landholders obtain sound legal, financial and other professional advice before signing any agreement with the proponent. Agreements may contain terms and conditions unacceptable to the landholder and the landholder should be provided with the opportunity to identify, negotiate or strike out such clauses. </w:t>
      </w:r>
    </w:p>
    <w:p w14:paraId="2E0390D3" w14:textId="4E4407D3" w:rsidR="00CE4A08" w:rsidRDefault="00CE4A08" w:rsidP="00CE4A08">
      <w:pPr>
        <w:spacing w:line="264" w:lineRule="auto"/>
        <w:ind w:left="360"/>
        <w:rPr>
          <w:rFonts w:cs="Arial"/>
        </w:rPr>
      </w:pPr>
      <w:r>
        <w:rPr>
          <w:rFonts w:cs="Arial"/>
        </w:rPr>
        <w:t xml:space="preserve">In July 2021, our Office released a guideline for landholders entitled </w:t>
      </w:r>
      <w:r w:rsidRPr="009416D0">
        <w:rPr>
          <w:rFonts w:cs="Arial"/>
          <w:b/>
          <w:bCs/>
          <w:i/>
          <w:iCs/>
        </w:rPr>
        <w:t>‘Considerations for Landholders before entering into Commercial Agreements’</w:t>
      </w:r>
      <w:r>
        <w:rPr>
          <w:rFonts w:cs="Arial"/>
        </w:rPr>
        <w:t xml:space="preserve">, which is available on </w:t>
      </w:r>
      <w:r w:rsidR="00A10CC9">
        <w:rPr>
          <w:rFonts w:cs="Arial"/>
        </w:rPr>
        <w:t xml:space="preserve">our </w:t>
      </w:r>
      <w:r>
        <w:rPr>
          <w:rFonts w:cs="Arial"/>
        </w:rPr>
        <w:t xml:space="preserve">website. The guideline has been widely utilised and is recommended reading for landholders (and their legal advisors) </w:t>
      </w:r>
      <w:r w:rsidR="00A10CC9">
        <w:rPr>
          <w:rFonts w:cs="Arial"/>
        </w:rPr>
        <w:t xml:space="preserve">who are </w:t>
      </w:r>
      <w:r>
        <w:rPr>
          <w:rFonts w:cs="Arial"/>
        </w:rPr>
        <w:t>potentially entering into host or related agreements.</w:t>
      </w:r>
      <w:r w:rsidR="00141A83">
        <w:rPr>
          <w:rFonts w:cs="Arial"/>
        </w:rPr>
        <w:t xml:space="preserve"> </w:t>
      </w:r>
      <w:r>
        <w:rPr>
          <w:rFonts w:cs="Arial"/>
        </w:rPr>
        <w:t>The guideline was most recently updated in January 2023.</w:t>
      </w:r>
    </w:p>
    <w:p w14:paraId="180DA106" w14:textId="22ED06B7" w:rsidR="00100678" w:rsidRDefault="00CE4A08" w:rsidP="00CE4A08">
      <w:pPr>
        <w:spacing w:line="264" w:lineRule="auto"/>
        <w:ind w:left="360"/>
        <w:rPr>
          <w:rFonts w:cs="Arial"/>
        </w:rPr>
      </w:pPr>
      <w:r w:rsidRPr="00FC45E9">
        <w:rPr>
          <w:rFonts w:cs="Arial"/>
        </w:rPr>
        <w:t xml:space="preserve">There is a </w:t>
      </w:r>
      <w:r>
        <w:rPr>
          <w:rFonts w:cs="Arial"/>
        </w:rPr>
        <w:t>spectrum</w:t>
      </w:r>
      <w:r w:rsidRPr="00FC45E9">
        <w:rPr>
          <w:rFonts w:cs="Arial"/>
        </w:rPr>
        <w:t xml:space="preserve"> of developers active in the industry, with a variety of skills, resources, experience and business models.</w:t>
      </w:r>
      <w:r w:rsidR="00100678">
        <w:rPr>
          <w:rFonts w:cs="Arial"/>
        </w:rPr>
        <w:t xml:space="preserve"> Some developers intend to develop an asset that they will own throughout its life. Others </w:t>
      </w:r>
      <w:r w:rsidR="00100678" w:rsidRPr="00FC45E9">
        <w:rPr>
          <w:rFonts w:cs="Arial"/>
        </w:rPr>
        <w:t xml:space="preserve">will </w:t>
      </w:r>
      <w:r w:rsidR="00100678">
        <w:rPr>
          <w:rFonts w:cs="Arial"/>
        </w:rPr>
        <w:t xml:space="preserve">progress </w:t>
      </w:r>
      <w:r w:rsidR="00100678" w:rsidRPr="00FC45E9">
        <w:rPr>
          <w:rFonts w:cs="Arial"/>
        </w:rPr>
        <w:t>the project to a stage where it is eligible to secure (or has secured) a planning permit</w:t>
      </w:r>
      <w:r w:rsidR="00100678">
        <w:rPr>
          <w:rFonts w:cs="Arial"/>
        </w:rPr>
        <w:t xml:space="preserve"> and then</w:t>
      </w:r>
      <w:r w:rsidR="00100678" w:rsidRPr="00FC45E9">
        <w:rPr>
          <w:rFonts w:cs="Arial"/>
        </w:rPr>
        <w:t xml:space="preserve"> sell </w:t>
      </w:r>
      <w:r w:rsidR="00100678">
        <w:rPr>
          <w:rFonts w:cs="Arial"/>
        </w:rPr>
        <w:t xml:space="preserve">part or </w:t>
      </w:r>
      <w:r w:rsidR="006E499A">
        <w:rPr>
          <w:rFonts w:cs="Arial"/>
        </w:rPr>
        <w:t>all</w:t>
      </w:r>
      <w:r w:rsidR="00100678">
        <w:rPr>
          <w:rFonts w:cs="Arial"/>
        </w:rPr>
        <w:t xml:space="preserve"> the </w:t>
      </w:r>
      <w:r w:rsidR="00100678" w:rsidRPr="00FC45E9">
        <w:rPr>
          <w:rFonts w:cs="Arial"/>
        </w:rPr>
        <w:t xml:space="preserve">project to another entity </w:t>
      </w:r>
      <w:r w:rsidR="00100678">
        <w:rPr>
          <w:rFonts w:cs="Arial"/>
        </w:rPr>
        <w:t xml:space="preserve">that will endeavour to </w:t>
      </w:r>
      <w:r w:rsidR="00100678" w:rsidRPr="00FC45E9">
        <w:rPr>
          <w:rFonts w:cs="Arial"/>
        </w:rPr>
        <w:t xml:space="preserve">take the project </w:t>
      </w:r>
      <w:r w:rsidR="00100678">
        <w:rPr>
          <w:rFonts w:cs="Arial"/>
        </w:rPr>
        <w:t>through the construction and operation stages</w:t>
      </w:r>
      <w:r w:rsidR="00100678" w:rsidRPr="00FC45E9">
        <w:rPr>
          <w:rFonts w:cs="Arial"/>
        </w:rPr>
        <w:t xml:space="preserve">. </w:t>
      </w:r>
      <w:r w:rsidR="00100678">
        <w:rPr>
          <w:rFonts w:cs="Arial"/>
        </w:rPr>
        <w:t xml:space="preserve"> </w:t>
      </w:r>
      <w:r w:rsidR="00A10CC9">
        <w:rPr>
          <w:rFonts w:cs="Arial"/>
        </w:rPr>
        <w:t xml:space="preserve">  </w:t>
      </w:r>
    </w:p>
    <w:p w14:paraId="1AA2B771" w14:textId="7A2764E2" w:rsidR="00CB659A" w:rsidRPr="00FC45E9" w:rsidRDefault="00CB659A" w:rsidP="00CB659A">
      <w:pPr>
        <w:spacing w:line="264" w:lineRule="auto"/>
        <w:ind w:left="360"/>
        <w:rPr>
          <w:rFonts w:cs="Arial"/>
        </w:rPr>
      </w:pPr>
      <w:r w:rsidRPr="00FC45E9">
        <w:rPr>
          <w:rFonts w:cs="Arial"/>
        </w:rPr>
        <w:t xml:space="preserve">Currently, </w:t>
      </w:r>
      <w:r>
        <w:rPr>
          <w:rFonts w:cs="Arial"/>
        </w:rPr>
        <w:t xml:space="preserve">wind, solar and battery </w:t>
      </w:r>
      <w:r w:rsidRPr="00FC45E9">
        <w:rPr>
          <w:rFonts w:cs="Arial"/>
        </w:rPr>
        <w:t xml:space="preserve">developers </w:t>
      </w:r>
      <w:r>
        <w:rPr>
          <w:rFonts w:cs="Arial"/>
        </w:rPr>
        <w:t>do not require licences</w:t>
      </w:r>
      <w:r w:rsidRPr="00FC45E9">
        <w:rPr>
          <w:rFonts w:cs="Arial"/>
        </w:rPr>
        <w:t xml:space="preserve"> to prospect </w:t>
      </w:r>
      <w:r w:rsidR="006E499A">
        <w:rPr>
          <w:rFonts w:cs="Arial"/>
        </w:rPr>
        <w:t>onshore</w:t>
      </w:r>
      <w:r>
        <w:rPr>
          <w:rFonts w:cs="Arial"/>
        </w:rPr>
        <w:t xml:space="preserve"> </w:t>
      </w:r>
      <w:r w:rsidRPr="00FC45E9">
        <w:rPr>
          <w:rFonts w:cs="Arial"/>
        </w:rPr>
        <w:t>projects</w:t>
      </w:r>
      <w:r>
        <w:rPr>
          <w:rFonts w:cs="Arial"/>
        </w:rPr>
        <w:t>,</w:t>
      </w:r>
      <w:r w:rsidRPr="00FC45E9">
        <w:rPr>
          <w:rFonts w:cs="Arial"/>
        </w:rPr>
        <w:t xml:space="preserve"> nor do they require approval to prospect </w:t>
      </w:r>
      <w:r>
        <w:rPr>
          <w:rFonts w:cs="Arial"/>
        </w:rPr>
        <w:t xml:space="preserve">in </w:t>
      </w:r>
      <w:r w:rsidRPr="00FC45E9">
        <w:rPr>
          <w:rFonts w:cs="Arial"/>
        </w:rPr>
        <w:t xml:space="preserve">a </w:t>
      </w:r>
      <w:r>
        <w:rPr>
          <w:rFonts w:cs="Arial"/>
        </w:rPr>
        <w:t xml:space="preserve">specific </w:t>
      </w:r>
      <w:r w:rsidRPr="00FC45E9">
        <w:rPr>
          <w:rFonts w:cs="Arial"/>
        </w:rPr>
        <w:t xml:space="preserve">location for a potential </w:t>
      </w:r>
      <w:r>
        <w:rPr>
          <w:rFonts w:cs="Arial"/>
        </w:rPr>
        <w:t xml:space="preserve">project </w:t>
      </w:r>
      <w:r w:rsidRPr="00FC45E9">
        <w:rPr>
          <w:rFonts w:cs="Arial"/>
        </w:rPr>
        <w:t>site.</w:t>
      </w:r>
      <w:r>
        <w:rPr>
          <w:rFonts w:cs="Arial"/>
        </w:rPr>
        <w:t xml:space="preserve"> Therefore, any person can approach a landholder to prospect a potential site and, via agreement, gain exclusive rights over the landholder’s property to pursue development of a proposed project.</w:t>
      </w:r>
    </w:p>
    <w:p w14:paraId="59D7B190" w14:textId="25CBAEE2" w:rsidR="00CE4A08" w:rsidRDefault="00100678" w:rsidP="00CB659A">
      <w:pPr>
        <w:spacing w:line="264" w:lineRule="auto"/>
        <w:ind w:left="360"/>
        <w:rPr>
          <w:rFonts w:cs="Arial"/>
        </w:rPr>
      </w:pPr>
      <w:r>
        <w:rPr>
          <w:rFonts w:cs="Arial"/>
        </w:rPr>
        <w:t>I</w:t>
      </w:r>
      <w:r w:rsidR="00A10CC9">
        <w:rPr>
          <w:rFonts w:cs="Arial"/>
        </w:rPr>
        <w:t>t is important that landholder</w:t>
      </w:r>
      <w:r>
        <w:rPr>
          <w:rFonts w:cs="Arial"/>
        </w:rPr>
        <w:t>s</w:t>
      </w:r>
      <w:r w:rsidR="00A10CC9">
        <w:rPr>
          <w:rFonts w:cs="Arial"/>
        </w:rPr>
        <w:t xml:space="preserve"> inform themselves about the reputation of the developer that has approached them and consider whether that developer will meet their expectations </w:t>
      </w:r>
      <w:r>
        <w:rPr>
          <w:rFonts w:cs="Arial"/>
        </w:rPr>
        <w:t xml:space="preserve">throughout </w:t>
      </w:r>
      <w:r w:rsidR="00CB659A">
        <w:rPr>
          <w:rFonts w:cs="Arial"/>
        </w:rPr>
        <w:t>the life of the</w:t>
      </w:r>
      <w:r>
        <w:rPr>
          <w:rFonts w:cs="Arial"/>
        </w:rPr>
        <w:t xml:space="preserve"> commercial relationship. Landholders who engage with multiple developers prior to entering into an agreement may find that they have more opportunity to select a developer and negotiate an agreement that will suit their needs.</w:t>
      </w:r>
    </w:p>
    <w:p w14:paraId="6B1D6B42" w14:textId="707C30CE" w:rsidR="00CE4A08" w:rsidRPr="00FC45E9" w:rsidRDefault="00CE4A08" w:rsidP="00CE4A08">
      <w:pPr>
        <w:spacing w:line="264" w:lineRule="auto"/>
        <w:ind w:left="360"/>
        <w:rPr>
          <w:rFonts w:cs="Arial"/>
        </w:rPr>
      </w:pPr>
      <w:r w:rsidRPr="00FC45E9">
        <w:rPr>
          <w:rFonts w:cs="Arial"/>
        </w:rPr>
        <w:t>A</w:t>
      </w:r>
      <w:r>
        <w:rPr>
          <w:rFonts w:cs="Arial"/>
        </w:rPr>
        <w:t>t</w:t>
      </w:r>
      <w:r w:rsidRPr="00FC45E9">
        <w:rPr>
          <w:rFonts w:cs="Arial"/>
        </w:rPr>
        <w:t xml:space="preserve"> the </w:t>
      </w:r>
      <w:r>
        <w:rPr>
          <w:rFonts w:cs="Arial"/>
        </w:rPr>
        <w:t xml:space="preserve">initial stage of the </w:t>
      </w:r>
      <w:r w:rsidRPr="00FC45E9">
        <w:rPr>
          <w:rFonts w:cs="Arial"/>
        </w:rPr>
        <w:t xml:space="preserve">development process, it is not uncommon for a developer to propose more </w:t>
      </w:r>
      <w:r>
        <w:rPr>
          <w:rFonts w:cs="Arial"/>
        </w:rPr>
        <w:t xml:space="preserve">wind </w:t>
      </w:r>
      <w:r w:rsidRPr="00FC45E9">
        <w:rPr>
          <w:rFonts w:cs="Arial"/>
        </w:rPr>
        <w:t xml:space="preserve">turbines </w:t>
      </w:r>
      <w:r>
        <w:rPr>
          <w:rFonts w:cs="Arial"/>
        </w:rPr>
        <w:t xml:space="preserve">or solar arrays </w:t>
      </w:r>
      <w:r w:rsidRPr="00FC45E9">
        <w:rPr>
          <w:rFonts w:cs="Arial"/>
        </w:rPr>
        <w:t>than will be finally approved or installed. As a result, the developer often</w:t>
      </w:r>
      <w:r>
        <w:rPr>
          <w:rFonts w:cs="Arial"/>
        </w:rPr>
        <w:t xml:space="preserve"> </w:t>
      </w:r>
      <w:r w:rsidRPr="00FC45E9">
        <w:rPr>
          <w:rFonts w:cs="Arial"/>
        </w:rPr>
        <w:t>enters into preliminary agreements with land</w:t>
      </w:r>
      <w:r>
        <w:rPr>
          <w:rFonts w:cs="Arial"/>
        </w:rPr>
        <w:t>holders, some of which</w:t>
      </w:r>
      <w:r w:rsidRPr="00FC45E9">
        <w:rPr>
          <w:rFonts w:cs="Arial"/>
        </w:rPr>
        <w:t xml:space="preserve"> may ultimately ‘miss out’ on hosting </w:t>
      </w:r>
      <w:r>
        <w:rPr>
          <w:rFonts w:cs="Arial"/>
        </w:rPr>
        <w:t xml:space="preserve">assets </w:t>
      </w:r>
      <w:r w:rsidRPr="00FC45E9">
        <w:rPr>
          <w:rFonts w:cs="Arial"/>
        </w:rPr>
        <w:t xml:space="preserve">or host a reduced number of </w:t>
      </w:r>
      <w:r>
        <w:rPr>
          <w:rFonts w:cs="Arial"/>
        </w:rPr>
        <w:t>assets</w:t>
      </w:r>
      <w:r w:rsidRPr="00FC45E9">
        <w:rPr>
          <w:rFonts w:cs="Arial"/>
        </w:rPr>
        <w:t xml:space="preserve">. </w:t>
      </w:r>
      <w:r>
        <w:rPr>
          <w:rFonts w:cs="Arial"/>
        </w:rPr>
        <w:t>E</w:t>
      </w:r>
      <w:r w:rsidRPr="00FC45E9">
        <w:rPr>
          <w:rFonts w:cs="Arial"/>
        </w:rPr>
        <w:t xml:space="preserve">ven </w:t>
      </w:r>
      <w:r>
        <w:rPr>
          <w:rFonts w:cs="Arial"/>
        </w:rPr>
        <w:t xml:space="preserve">when </w:t>
      </w:r>
      <w:r w:rsidRPr="00FC45E9">
        <w:rPr>
          <w:rFonts w:cs="Arial"/>
        </w:rPr>
        <w:t xml:space="preserve">the final number </w:t>
      </w:r>
      <w:r>
        <w:rPr>
          <w:rFonts w:cs="Arial"/>
        </w:rPr>
        <w:t xml:space="preserve">and type </w:t>
      </w:r>
      <w:r w:rsidRPr="00FC45E9">
        <w:rPr>
          <w:rFonts w:cs="Arial"/>
        </w:rPr>
        <w:t xml:space="preserve">of </w:t>
      </w:r>
      <w:r>
        <w:rPr>
          <w:rFonts w:cs="Arial"/>
        </w:rPr>
        <w:t xml:space="preserve">assets </w:t>
      </w:r>
      <w:r w:rsidRPr="00FC45E9">
        <w:rPr>
          <w:rFonts w:cs="Arial"/>
        </w:rPr>
        <w:t xml:space="preserve">is confirmed, the planned location of </w:t>
      </w:r>
      <w:r>
        <w:rPr>
          <w:rFonts w:cs="Arial"/>
        </w:rPr>
        <w:t>these assets</w:t>
      </w:r>
      <w:r w:rsidRPr="00FC45E9">
        <w:rPr>
          <w:rFonts w:cs="Arial"/>
        </w:rPr>
        <w:t xml:space="preserve"> may be </w:t>
      </w:r>
      <w:r>
        <w:rPr>
          <w:rFonts w:cs="Arial"/>
        </w:rPr>
        <w:t>further revised,</w:t>
      </w:r>
      <w:r w:rsidRPr="00FC45E9">
        <w:rPr>
          <w:rFonts w:cs="Arial"/>
        </w:rPr>
        <w:t xml:space="preserve"> which can also result in land</w:t>
      </w:r>
      <w:r>
        <w:rPr>
          <w:rFonts w:cs="Arial"/>
        </w:rPr>
        <w:t>holders</w:t>
      </w:r>
      <w:r w:rsidRPr="00FC45E9">
        <w:rPr>
          <w:rFonts w:cs="Arial"/>
        </w:rPr>
        <w:t xml:space="preserve"> hosting less </w:t>
      </w:r>
      <w:r>
        <w:rPr>
          <w:rFonts w:cs="Arial"/>
        </w:rPr>
        <w:t xml:space="preserve">assets, potentially earning </w:t>
      </w:r>
      <w:r w:rsidR="000B16A2">
        <w:rPr>
          <w:rFonts w:cs="Arial"/>
        </w:rPr>
        <w:t xml:space="preserve">significantly </w:t>
      </w:r>
      <w:r>
        <w:rPr>
          <w:rFonts w:cs="Arial"/>
        </w:rPr>
        <w:t>less fees</w:t>
      </w:r>
      <w:r w:rsidRPr="00FC45E9">
        <w:rPr>
          <w:rFonts w:cs="Arial"/>
        </w:rPr>
        <w:t xml:space="preserve"> than </w:t>
      </w:r>
      <w:r w:rsidR="000B16A2">
        <w:rPr>
          <w:rFonts w:cs="Arial"/>
        </w:rPr>
        <w:t>expected</w:t>
      </w:r>
      <w:r>
        <w:rPr>
          <w:rFonts w:cs="Arial"/>
        </w:rPr>
        <w:t>.</w:t>
      </w:r>
    </w:p>
    <w:p w14:paraId="7DA840CC" w14:textId="49B4764D" w:rsidR="00CE4A08" w:rsidRPr="00FC45E9" w:rsidRDefault="00CE4A08" w:rsidP="000B16A2">
      <w:pPr>
        <w:spacing w:line="264" w:lineRule="auto"/>
        <w:ind w:left="360"/>
        <w:rPr>
          <w:rFonts w:cs="Arial"/>
        </w:rPr>
      </w:pPr>
      <w:r w:rsidRPr="00FC45E9">
        <w:rPr>
          <w:rFonts w:cs="Arial"/>
        </w:rPr>
        <w:t xml:space="preserve">There are many reasons why a proposed </w:t>
      </w:r>
      <w:r>
        <w:rPr>
          <w:rFonts w:cs="Arial"/>
        </w:rPr>
        <w:t xml:space="preserve">project </w:t>
      </w:r>
      <w:r w:rsidRPr="00FC45E9">
        <w:rPr>
          <w:rFonts w:cs="Arial"/>
        </w:rPr>
        <w:t xml:space="preserve">may reduce the number of </w:t>
      </w:r>
      <w:r>
        <w:rPr>
          <w:rFonts w:cs="Arial"/>
        </w:rPr>
        <w:t xml:space="preserve">generation and storage assets </w:t>
      </w:r>
      <w:r w:rsidRPr="00FC45E9">
        <w:rPr>
          <w:rFonts w:cs="Arial"/>
        </w:rPr>
        <w:t>during the development phase. These may include increase</w:t>
      </w:r>
      <w:r>
        <w:rPr>
          <w:rFonts w:cs="Arial"/>
        </w:rPr>
        <w:t>s</w:t>
      </w:r>
      <w:r w:rsidRPr="00FC45E9">
        <w:rPr>
          <w:rFonts w:cs="Arial"/>
        </w:rPr>
        <w:t xml:space="preserve"> in turbine </w:t>
      </w:r>
      <w:r>
        <w:rPr>
          <w:rFonts w:cs="Arial"/>
        </w:rPr>
        <w:t xml:space="preserve">or solar panel generation </w:t>
      </w:r>
      <w:r w:rsidRPr="00FC45E9">
        <w:rPr>
          <w:rFonts w:cs="Arial"/>
        </w:rPr>
        <w:t>capacity</w:t>
      </w:r>
      <w:r>
        <w:rPr>
          <w:rFonts w:cs="Arial"/>
        </w:rPr>
        <w:t xml:space="preserve"> and efficiency</w:t>
      </w:r>
      <w:r w:rsidRPr="00FC45E9">
        <w:rPr>
          <w:rFonts w:cs="Arial"/>
        </w:rPr>
        <w:t xml:space="preserve">, transmission constraints, </w:t>
      </w:r>
      <w:r>
        <w:rPr>
          <w:rFonts w:cs="Arial"/>
        </w:rPr>
        <w:t xml:space="preserve">noise compliance setbacks, aviation safety, </w:t>
      </w:r>
      <w:r w:rsidRPr="00FC45E9">
        <w:rPr>
          <w:rFonts w:cs="Arial"/>
        </w:rPr>
        <w:t xml:space="preserve">environmental </w:t>
      </w:r>
      <w:r>
        <w:rPr>
          <w:rFonts w:cs="Arial"/>
        </w:rPr>
        <w:t xml:space="preserve">impact </w:t>
      </w:r>
      <w:r w:rsidRPr="00FC45E9">
        <w:rPr>
          <w:rFonts w:cs="Arial"/>
        </w:rPr>
        <w:t xml:space="preserve">and </w:t>
      </w:r>
      <w:r>
        <w:rPr>
          <w:rFonts w:cs="Arial"/>
        </w:rPr>
        <w:t xml:space="preserve">other </w:t>
      </w:r>
      <w:r w:rsidRPr="00FC45E9">
        <w:rPr>
          <w:rFonts w:cs="Arial"/>
        </w:rPr>
        <w:t>planning requirements, financial constraints</w:t>
      </w:r>
      <w:r>
        <w:rPr>
          <w:rFonts w:cs="Arial"/>
        </w:rPr>
        <w:t>, community or neighbour concerns</w:t>
      </w:r>
      <w:r w:rsidRPr="00FC45E9">
        <w:rPr>
          <w:rFonts w:cs="Arial"/>
        </w:rPr>
        <w:t xml:space="preserve"> along with changes to policy, legislation or planning guidelines.</w:t>
      </w:r>
      <w:r w:rsidR="000B16A2">
        <w:rPr>
          <w:rFonts w:cs="Arial"/>
        </w:rPr>
        <w:t xml:space="preserve"> </w:t>
      </w:r>
      <w:r>
        <w:rPr>
          <w:rFonts w:cs="Arial"/>
        </w:rPr>
        <w:t xml:space="preserve">Similar reasons also apply to changes in transmission route and </w:t>
      </w:r>
      <w:r w:rsidR="000B16A2">
        <w:rPr>
          <w:rFonts w:cs="Arial"/>
        </w:rPr>
        <w:t xml:space="preserve">the </w:t>
      </w:r>
      <w:r>
        <w:rPr>
          <w:rFonts w:cs="Arial"/>
        </w:rPr>
        <w:t>location of transmission towers.</w:t>
      </w:r>
    </w:p>
    <w:p w14:paraId="3ACAE006" w14:textId="057A3D3E" w:rsidR="00CE4A08" w:rsidRPr="00FC45E9" w:rsidRDefault="00CE4A08" w:rsidP="00CE4A08">
      <w:pPr>
        <w:spacing w:line="264" w:lineRule="auto"/>
        <w:ind w:left="360"/>
        <w:rPr>
          <w:rFonts w:cs="Arial"/>
        </w:rPr>
      </w:pPr>
      <w:r w:rsidRPr="00FC45E9">
        <w:rPr>
          <w:rFonts w:cs="Arial"/>
        </w:rPr>
        <w:t>These scenarios can create a ‘winners and losers’ situation for land</w:t>
      </w:r>
      <w:r>
        <w:rPr>
          <w:rFonts w:cs="Arial"/>
        </w:rPr>
        <w:t>holders, particularly those</w:t>
      </w:r>
      <w:r w:rsidRPr="00FC45E9">
        <w:rPr>
          <w:rFonts w:cs="Arial"/>
        </w:rPr>
        <w:t xml:space="preserve"> that may have </w:t>
      </w:r>
      <w:r w:rsidR="000B16A2">
        <w:rPr>
          <w:rFonts w:cs="Arial"/>
        </w:rPr>
        <w:t xml:space="preserve">disappointed </w:t>
      </w:r>
      <w:r w:rsidRPr="00FC45E9">
        <w:rPr>
          <w:rFonts w:cs="Arial"/>
        </w:rPr>
        <w:t xml:space="preserve">expectations of hosting </w:t>
      </w:r>
      <w:r>
        <w:rPr>
          <w:rFonts w:cs="Arial"/>
        </w:rPr>
        <w:t>assets</w:t>
      </w:r>
      <w:r w:rsidRPr="00FC45E9">
        <w:rPr>
          <w:rFonts w:cs="Arial"/>
        </w:rPr>
        <w:t xml:space="preserve">. </w:t>
      </w:r>
      <w:r w:rsidR="000B16A2">
        <w:rPr>
          <w:rFonts w:cs="Arial"/>
        </w:rPr>
        <w:t>A</w:t>
      </w:r>
      <w:r w:rsidRPr="00FC45E9">
        <w:rPr>
          <w:rFonts w:cs="Arial"/>
        </w:rPr>
        <w:t xml:space="preserve"> land</w:t>
      </w:r>
      <w:r>
        <w:rPr>
          <w:rFonts w:cs="Arial"/>
        </w:rPr>
        <w:t>holder</w:t>
      </w:r>
      <w:r w:rsidRPr="00FC45E9">
        <w:rPr>
          <w:rFonts w:cs="Arial"/>
        </w:rPr>
        <w:t xml:space="preserve"> expecting to host </w:t>
      </w:r>
      <w:r>
        <w:rPr>
          <w:rFonts w:cs="Arial"/>
        </w:rPr>
        <w:t>ten</w:t>
      </w:r>
      <w:r w:rsidRPr="00FC45E9">
        <w:rPr>
          <w:rFonts w:cs="Arial"/>
        </w:rPr>
        <w:t xml:space="preserve"> </w:t>
      </w:r>
      <w:r>
        <w:rPr>
          <w:rFonts w:cs="Arial"/>
        </w:rPr>
        <w:t xml:space="preserve">wind </w:t>
      </w:r>
      <w:r w:rsidRPr="00FC45E9">
        <w:rPr>
          <w:rFonts w:cs="Arial"/>
        </w:rPr>
        <w:t>turbines (</w:t>
      </w:r>
      <w:r w:rsidR="000B16A2">
        <w:rPr>
          <w:rFonts w:cs="Arial"/>
        </w:rPr>
        <w:t>and</w:t>
      </w:r>
      <w:r w:rsidR="000B16A2" w:rsidRPr="00FC45E9">
        <w:rPr>
          <w:rFonts w:cs="Arial"/>
        </w:rPr>
        <w:t xml:space="preserve"> </w:t>
      </w:r>
      <w:r w:rsidRPr="00FC45E9">
        <w:rPr>
          <w:rFonts w:cs="Arial"/>
        </w:rPr>
        <w:t xml:space="preserve">expecting to receive </w:t>
      </w:r>
      <w:r>
        <w:rPr>
          <w:rFonts w:cs="Arial"/>
        </w:rPr>
        <w:t xml:space="preserve">payment for </w:t>
      </w:r>
      <w:r w:rsidRPr="00FC45E9">
        <w:rPr>
          <w:rFonts w:cs="Arial"/>
        </w:rPr>
        <w:t>hosting</w:t>
      </w:r>
      <w:r>
        <w:rPr>
          <w:rFonts w:cs="Arial"/>
        </w:rPr>
        <w:t xml:space="preserve"> ten turbines</w:t>
      </w:r>
      <w:r w:rsidRPr="00FC45E9">
        <w:rPr>
          <w:rFonts w:cs="Arial"/>
        </w:rPr>
        <w:t xml:space="preserve">) may become aggrieved if the final approved wind farm has reduced or eliminated the </w:t>
      </w:r>
      <w:r>
        <w:rPr>
          <w:rFonts w:cs="Arial"/>
        </w:rPr>
        <w:t>assets</w:t>
      </w:r>
      <w:r w:rsidRPr="00FC45E9">
        <w:rPr>
          <w:rFonts w:cs="Arial"/>
        </w:rPr>
        <w:t xml:space="preserve"> to be hosted</w:t>
      </w:r>
      <w:r>
        <w:rPr>
          <w:rFonts w:cs="Arial"/>
        </w:rPr>
        <w:t xml:space="preserve"> by the landholder</w:t>
      </w:r>
      <w:r w:rsidR="000B16A2">
        <w:rPr>
          <w:rFonts w:cs="Arial"/>
        </w:rPr>
        <w:t xml:space="preserve"> as this will </w:t>
      </w:r>
      <w:r>
        <w:rPr>
          <w:rFonts w:cs="Arial"/>
        </w:rPr>
        <w:t xml:space="preserve">materially </w:t>
      </w:r>
      <w:r w:rsidR="000B16A2">
        <w:rPr>
          <w:rFonts w:cs="Arial"/>
        </w:rPr>
        <w:t>reduce</w:t>
      </w:r>
      <w:r w:rsidR="000B16A2" w:rsidRPr="00FC45E9">
        <w:rPr>
          <w:rFonts w:cs="Arial"/>
        </w:rPr>
        <w:t xml:space="preserve"> </w:t>
      </w:r>
      <w:r w:rsidRPr="00FC45E9">
        <w:rPr>
          <w:rFonts w:cs="Arial"/>
        </w:rPr>
        <w:t>or eliminat</w:t>
      </w:r>
      <w:r w:rsidR="000B16A2">
        <w:rPr>
          <w:rFonts w:cs="Arial"/>
        </w:rPr>
        <w:t>e</w:t>
      </w:r>
      <w:r w:rsidRPr="00FC45E9">
        <w:rPr>
          <w:rFonts w:cs="Arial"/>
        </w:rPr>
        <w:t xml:space="preserve"> the</w:t>
      </w:r>
      <w:r w:rsidR="000B16A2">
        <w:rPr>
          <w:rFonts w:cs="Arial"/>
        </w:rPr>
        <w:t xml:space="preserve"> landholder’s</w:t>
      </w:r>
      <w:r w:rsidRPr="00FC45E9">
        <w:rPr>
          <w:rFonts w:cs="Arial"/>
        </w:rPr>
        <w:t xml:space="preserve"> </w:t>
      </w:r>
      <w:r w:rsidR="000B16A2">
        <w:rPr>
          <w:rFonts w:cs="Arial"/>
        </w:rPr>
        <w:t>anticipated</w:t>
      </w:r>
      <w:r w:rsidR="000B16A2" w:rsidRPr="00FC45E9">
        <w:rPr>
          <w:rFonts w:cs="Arial"/>
        </w:rPr>
        <w:t xml:space="preserve"> </w:t>
      </w:r>
      <w:r w:rsidRPr="00FC45E9">
        <w:rPr>
          <w:rFonts w:cs="Arial"/>
        </w:rPr>
        <w:t>income strea</w:t>
      </w:r>
      <w:r w:rsidR="000B16A2">
        <w:rPr>
          <w:rFonts w:cs="Arial"/>
        </w:rPr>
        <w:t>m.</w:t>
      </w:r>
    </w:p>
    <w:p w14:paraId="14012138" w14:textId="45D7CF7B" w:rsidR="00CE4A08" w:rsidRPr="00FC45E9" w:rsidRDefault="00CE4A08" w:rsidP="00CE4A08">
      <w:pPr>
        <w:spacing w:line="264" w:lineRule="auto"/>
        <w:ind w:left="360"/>
        <w:rPr>
          <w:rFonts w:cs="Arial"/>
        </w:rPr>
      </w:pPr>
      <w:r w:rsidRPr="00FC45E9">
        <w:rPr>
          <w:rFonts w:cs="Arial"/>
        </w:rPr>
        <w:t>The land</w:t>
      </w:r>
      <w:r>
        <w:rPr>
          <w:rFonts w:cs="Arial"/>
        </w:rPr>
        <w:t>holder</w:t>
      </w:r>
      <w:r w:rsidRPr="00FC45E9">
        <w:rPr>
          <w:rFonts w:cs="Arial"/>
        </w:rPr>
        <w:t xml:space="preserve"> </w:t>
      </w:r>
      <w:r>
        <w:rPr>
          <w:rFonts w:cs="Arial"/>
        </w:rPr>
        <w:t xml:space="preserve">may </w:t>
      </w:r>
      <w:r w:rsidRPr="00FC45E9">
        <w:rPr>
          <w:rFonts w:cs="Arial"/>
        </w:rPr>
        <w:t xml:space="preserve">not only </w:t>
      </w:r>
      <w:r>
        <w:rPr>
          <w:rFonts w:cs="Arial"/>
        </w:rPr>
        <w:t>perceive that they have ‘m</w:t>
      </w:r>
      <w:r w:rsidRPr="00FC45E9">
        <w:rPr>
          <w:rFonts w:cs="Arial"/>
        </w:rPr>
        <w:t>iss</w:t>
      </w:r>
      <w:r>
        <w:rPr>
          <w:rFonts w:cs="Arial"/>
        </w:rPr>
        <w:t>ed</w:t>
      </w:r>
      <w:r w:rsidRPr="00FC45E9">
        <w:rPr>
          <w:rFonts w:cs="Arial"/>
        </w:rPr>
        <w:t xml:space="preserve"> out</w:t>
      </w:r>
      <w:r>
        <w:rPr>
          <w:rFonts w:cs="Arial"/>
        </w:rPr>
        <w:t>’</w:t>
      </w:r>
      <w:r w:rsidRPr="00FC45E9">
        <w:rPr>
          <w:rFonts w:cs="Arial"/>
        </w:rPr>
        <w:t xml:space="preserve"> on a</w:t>
      </w:r>
      <w:r w:rsidR="0042057A">
        <w:rPr>
          <w:rFonts w:cs="Arial"/>
        </w:rPr>
        <w:t xml:space="preserve">n </w:t>
      </w:r>
      <w:r w:rsidRPr="00FC45E9">
        <w:rPr>
          <w:rFonts w:cs="Arial"/>
        </w:rPr>
        <w:t xml:space="preserve">expected income stream but may </w:t>
      </w:r>
      <w:r w:rsidR="0042057A">
        <w:rPr>
          <w:rFonts w:cs="Arial"/>
        </w:rPr>
        <w:t xml:space="preserve">then </w:t>
      </w:r>
      <w:r w:rsidRPr="00FC45E9">
        <w:rPr>
          <w:rFonts w:cs="Arial"/>
        </w:rPr>
        <w:t xml:space="preserve">also </w:t>
      </w:r>
      <w:r>
        <w:rPr>
          <w:rFonts w:cs="Arial"/>
        </w:rPr>
        <w:t>raise concerns about</w:t>
      </w:r>
      <w:r w:rsidRPr="00FC45E9">
        <w:rPr>
          <w:rFonts w:cs="Arial"/>
        </w:rPr>
        <w:t xml:space="preserve"> the </w:t>
      </w:r>
      <w:r>
        <w:rPr>
          <w:rFonts w:cs="Arial"/>
        </w:rPr>
        <w:t xml:space="preserve">potential impact </w:t>
      </w:r>
      <w:r w:rsidRPr="00FC45E9">
        <w:rPr>
          <w:rFonts w:cs="Arial"/>
        </w:rPr>
        <w:t>of turbines located on neighbouring properties, including changes in amenity, audible noise, construction disruption</w:t>
      </w:r>
      <w:r w:rsidR="0042057A">
        <w:rPr>
          <w:rFonts w:cs="Arial"/>
        </w:rPr>
        <w:t xml:space="preserve"> and </w:t>
      </w:r>
      <w:r>
        <w:rPr>
          <w:rFonts w:cs="Arial"/>
        </w:rPr>
        <w:t>loss of property value</w:t>
      </w:r>
      <w:r w:rsidRPr="00FC45E9">
        <w:rPr>
          <w:rFonts w:cs="Arial"/>
        </w:rPr>
        <w:t xml:space="preserve">. The fact </w:t>
      </w:r>
      <w:r w:rsidRPr="00FC45E9">
        <w:rPr>
          <w:rFonts w:cs="Arial"/>
        </w:rPr>
        <w:lastRenderedPageBreak/>
        <w:t>that the land</w:t>
      </w:r>
      <w:r>
        <w:rPr>
          <w:rFonts w:cs="Arial"/>
        </w:rPr>
        <w:t>holder</w:t>
      </w:r>
      <w:r w:rsidRPr="00FC45E9">
        <w:rPr>
          <w:rFonts w:cs="Arial"/>
        </w:rPr>
        <w:t xml:space="preserve">’s neighbours </w:t>
      </w:r>
      <w:r>
        <w:rPr>
          <w:rFonts w:cs="Arial"/>
        </w:rPr>
        <w:t xml:space="preserve">are </w:t>
      </w:r>
      <w:r w:rsidRPr="00FC45E9">
        <w:rPr>
          <w:rFonts w:cs="Arial"/>
        </w:rPr>
        <w:t xml:space="preserve">hosting turbines </w:t>
      </w:r>
      <w:r>
        <w:rPr>
          <w:rFonts w:cs="Arial"/>
        </w:rPr>
        <w:t xml:space="preserve">or arrays </w:t>
      </w:r>
      <w:r w:rsidRPr="00FC45E9">
        <w:rPr>
          <w:rFonts w:cs="Arial"/>
        </w:rPr>
        <w:t xml:space="preserve">and receiving </w:t>
      </w:r>
      <w:r>
        <w:rPr>
          <w:rFonts w:cs="Arial"/>
        </w:rPr>
        <w:t xml:space="preserve">payments </w:t>
      </w:r>
      <w:r w:rsidRPr="00FC45E9">
        <w:rPr>
          <w:rFonts w:cs="Arial"/>
        </w:rPr>
        <w:t>can further aggravate the situation for the land</w:t>
      </w:r>
      <w:r>
        <w:rPr>
          <w:rFonts w:cs="Arial"/>
        </w:rPr>
        <w:t>holder</w:t>
      </w:r>
      <w:r w:rsidRPr="00FC45E9">
        <w:rPr>
          <w:rFonts w:cs="Arial"/>
        </w:rPr>
        <w:t xml:space="preserve"> that </w:t>
      </w:r>
      <w:r>
        <w:rPr>
          <w:rFonts w:cs="Arial"/>
        </w:rPr>
        <w:t>‘</w:t>
      </w:r>
      <w:r w:rsidRPr="00FC45E9">
        <w:rPr>
          <w:rFonts w:cs="Arial"/>
        </w:rPr>
        <w:t>missed out</w:t>
      </w:r>
      <w:r>
        <w:rPr>
          <w:rFonts w:cs="Arial"/>
        </w:rPr>
        <w:t>’</w:t>
      </w:r>
      <w:r w:rsidRPr="00FC45E9">
        <w:rPr>
          <w:rFonts w:cs="Arial"/>
        </w:rPr>
        <w:t>.</w:t>
      </w:r>
    </w:p>
    <w:p w14:paraId="0A642F6C" w14:textId="705C1AD7" w:rsidR="00CE4A08" w:rsidRPr="00FC45E9" w:rsidRDefault="00CE4A08" w:rsidP="00CE4A08">
      <w:pPr>
        <w:spacing w:line="264" w:lineRule="auto"/>
        <w:ind w:left="360"/>
        <w:rPr>
          <w:rFonts w:cs="Arial"/>
        </w:rPr>
      </w:pPr>
      <w:r w:rsidRPr="00FC45E9">
        <w:rPr>
          <w:rFonts w:cs="Arial"/>
        </w:rPr>
        <w:t xml:space="preserve">This situation </w:t>
      </w:r>
      <w:r w:rsidR="0042057A">
        <w:rPr>
          <w:rFonts w:cs="Arial"/>
        </w:rPr>
        <w:t xml:space="preserve">may </w:t>
      </w:r>
      <w:r w:rsidRPr="00FC45E9">
        <w:rPr>
          <w:rFonts w:cs="Arial"/>
        </w:rPr>
        <w:t>be exacerbated by developers conducting confidential, individual discussions and negotiations with specific landowners</w:t>
      </w:r>
      <w:r w:rsidR="0042057A">
        <w:rPr>
          <w:rFonts w:cs="Arial"/>
        </w:rPr>
        <w:t xml:space="preserve"> as this can </w:t>
      </w:r>
      <w:r w:rsidRPr="00FC45E9">
        <w:rPr>
          <w:rFonts w:cs="Arial"/>
        </w:rPr>
        <w:t>creat</w:t>
      </w:r>
      <w:r w:rsidR="0042057A">
        <w:rPr>
          <w:rFonts w:cs="Arial"/>
        </w:rPr>
        <w:t>e</w:t>
      </w:r>
      <w:r w:rsidRPr="00FC45E9">
        <w:rPr>
          <w:rFonts w:cs="Arial"/>
        </w:rPr>
        <w:t xml:space="preserve"> a level of distrust </w:t>
      </w:r>
      <w:r w:rsidR="0042057A">
        <w:rPr>
          <w:rFonts w:cs="Arial"/>
        </w:rPr>
        <w:t>between</w:t>
      </w:r>
      <w:r w:rsidR="0042057A" w:rsidRPr="00FC45E9">
        <w:rPr>
          <w:rFonts w:cs="Arial"/>
        </w:rPr>
        <w:t xml:space="preserve"> </w:t>
      </w:r>
      <w:r w:rsidRPr="00FC45E9">
        <w:rPr>
          <w:rFonts w:cs="Arial"/>
        </w:rPr>
        <w:t>neighbour</w:t>
      </w:r>
      <w:r w:rsidR="0042057A">
        <w:rPr>
          <w:rFonts w:cs="Arial"/>
        </w:rPr>
        <w:t xml:space="preserve">s </w:t>
      </w:r>
      <w:r w:rsidRPr="00FC45E9">
        <w:rPr>
          <w:rFonts w:cs="Arial"/>
        </w:rPr>
        <w:t xml:space="preserve">and the developer. </w:t>
      </w:r>
    </w:p>
    <w:p w14:paraId="407C000D" w14:textId="235ADBCF" w:rsidR="00CE4A08" w:rsidRPr="00FC45E9" w:rsidRDefault="00CE4A08" w:rsidP="00CE4A08">
      <w:pPr>
        <w:spacing w:line="264" w:lineRule="auto"/>
        <w:ind w:left="360"/>
        <w:rPr>
          <w:rFonts w:cs="Arial"/>
        </w:rPr>
      </w:pPr>
      <w:r w:rsidRPr="00FC45E9">
        <w:rPr>
          <w:rFonts w:cs="Arial"/>
        </w:rPr>
        <w:t xml:space="preserve">The consequences of these </w:t>
      </w:r>
      <w:r w:rsidR="00E32AB7">
        <w:rPr>
          <w:rFonts w:cs="Arial"/>
        </w:rPr>
        <w:t xml:space="preserve">scope change </w:t>
      </w:r>
      <w:r w:rsidRPr="00FC45E9">
        <w:rPr>
          <w:rFonts w:cs="Arial"/>
        </w:rPr>
        <w:t>scenarios can be severe</w:t>
      </w:r>
      <w:r w:rsidR="00E32AB7">
        <w:rPr>
          <w:rFonts w:cs="Arial"/>
        </w:rPr>
        <w:t>. They can</w:t>
      </w:r>
      <w:r w:rsidRPr="00FC45E9">
        <w:rPr>
          <w:rFonts w:cs="Arial"/>
        </w:rPr>
        <w:t xml:space="preserve"> </w:t>
      </w:r>
      <w:r w:rsidR="006E499A" w:rsidRPr="00FC45E9">
        <w:rPr>
          <w:rFonts w:cs="Arial"/>
        </w:rPr>
        <w:t>fracture</w:t>
      </w:r>
      <w:r w:rsidRPr="00FC45E9">
        <w:rPr>
          <w:rFonts w:cs="Arial"/>
        </w:rPr>
        <w:t xml:space="preserve"> support for the </w:t>
      </w:r>
      <w:r>
        <w:rPr>
          <w:rFonts w:cs="Arial"/>
        </w:rPr>
        <w:t xml:space="preserve">project </w:t>
      </w:r>
      <w:r w:rsidRPr="00FC45E9">
        <w:rPr>
          <w:rFonts w:cs="Arial"/>
        </w:rPr>
        <w:t xml:space="preserve">within the community </w:t>
      </w:r>
      <w:r w:rsidR="00E32AB7">
        <w:rPr>
          <w:rFonts w:cs="Arial"/>
        </w:rPr>
        <w:t xml:space="preserve">and </w:t>
      </w:r>
      <w:r w:rsidRPr="00FC45E9">
        <w:rPr>
          <w:rFonts w:cs="Arial"/>
        </w:rPr>
        <w:t>divid</w:t>
      </w:r>
      <w:r w:rsidR="00E32AB7">
        <w:rPr>
          <w:rFonts w:cs="Arial"/>
        </w:rPr>
        <w:t>e</w:t>
      </w:r>
      <w:r w:rsidRPr="00FC45E9">
        <w:rPr>
          <w:rFonts w:cs="Arial"/>
        </w:rPr>
        <w:t xml:space="preserve"> the community in economic and social terms. Developers need to be mindful of the consequences </w:t>
      </w:r>
      <w:r w:rsidR="00E32AB7">
        <w:rPr>
          <w:rFonts w:cs="Arial"/>
        </w:rPr>
        <w:t>of their</w:t>
      </w:r>
      <w:r w:rsidRPr="00FC45E9">
        <w:rPr>
          <w:rFonts w:cs="Arial"/>
        </w:rPr>
        <w:t xml:space="preserve"> conduct in land</w:t>
      </w:r>
      <w:r>
        <w:rPr>
          <w:rFonts w:cs="Arial"/>
        </w:rPr>
        <w:t>holder</w:t>
      </w:r>
      <w:r w:rsidRPr="00FC45E9">
        <w:rPr>
          <w:rFonts w:cs="Arial"/>
        </w:rPr>
        <w:t xml:space="preserve"> negotiations and the magnitude of </w:t>
      </w:r>
      <w:r w:rsidR="00E32AB7">
        <w:rPr>
          <w:rFonts w:cs="Arial"/>
        </w:rPr>
        <w:t xml:space="preserve">the </w:t>
      </w:r>
      <w:r w:rsidRPr="00FC45E9">
        <w:rPr>
          <w:rFonts w:cs="Arial"/>
        </w:rPr>
        <w:t xml:space="preserve">impact </w:t>
      </w:r>
      <w:r w:rsidR="00E32AB7">
        <w:rPr>
          <w:rFonts w:cs="Arial"/>
        </w:rPr>
        <w:t xml:space="preserve">that </w:t>
      </w:r>
      <w:r>
        <w:rPr>
          <w:rFonts w:cs="Arial"/>
        </w:rPr>
        <w:t xml:space="preserve">scope </w:t>
      </w:r>
      <w:r w:rsidRPr="00FC45E9">
        <w:rPr>
          <w:rFonts w:cs="Arial"/>
        </w:rPr>
        <w:t>changes</w:t>
      </w:r>
      <w:r w:rsidR="00E32AB7">
        <w:rPr>
          <w:rFonts w:cs="Arial"/>
        </w:rPr>
        <w:t xml:space="preserve"> can have for landholders.</w:t>
      </w:r>
    </w:p>
    <w:p w14:paraId="701AC6F0" w14:textId="54561A1A" w:rsidR="00CE4A08" w:rsidRPr="00FC45E9" w:rsidRDefault="00E32AB7" w:rsidP="00CE4A08">
      <w:pPr>
        <w:spacing w:line="264" w:lineRule="auto"/>
        <w:ind w:left="360"/>
        <w:rPr>
          <w:rFonts w:cs="Arial"/>
        </w:rPr>
      </w:pPr>
      <w:r>
        <w:rPr>
          <w:rFonts w:cs="Arial"/>
        </w:rPr>
        <w:t>The conduct of one developer has the</w:t>
      </w:r>
      <w:r w:rsidR="00CE4A08" w:rsidRPr="00FC45E9">
        <w:rPr>
          <w:rFonts w:cs="Arial"/>
        </w:rPr>
        <w:t xml:space="preserve"> potential</w:t>
      </w:r>
      <w:r>
        <w:rPr>
          <w:rFonts w:cs="Arial"/>
        </w:rPr>
        <w:t xml:space="preserve"> to</w:t>
      </w:r>
      <w:r w:rsidR="00CE4A08" w:rsidRPr="00FC45E9">
        <w:rPr>
          <w:rFonts w:cs="Arial"/>
        </w:rPr>
        <w:t xml:space="preserve"> impact other developers undertaking </w:t>
      </w:r>
      <w:r>
        <w:rPr>
          <w:rFonts w:cs="Arial"/>
        </w:rPr>
        <w:t>projects</w:t>
      </w:r>
      <w:r w:rsidRPr="00FC45E9">
        <w:rPr>
          <w:rFonts w:cs="Arial"/>
        </w:rPr>
        <w:t xml:space="preserve"> </w:t>
      </w:r>
      <w:r w:rsidR="00CE4A08" w:rsidRPr="00FC45E9">
        <w:rPr>
          <w:rFonts w:cs="Arial"/>
        </w:rPr>
        <w:t xml:space="preserve">in the region. </w:t>
      </w:r>
      <w:r w:rsidR="00CE4A08">
        <w:rPr>
          <w:rFonts w:cs="Arial"/>
        </w:rPr>
        <w:t>At times, insensitive conduct by developers</w:t>
      </w:r>
      <w:r w:rsidR="00CE4A08" w:rsidRPr="00FC45E9">
        <w:rPr>
          <w:rFonts w:cs="Arial"/>
        </w:rPr>
        <w:t xml:space="preserve"> </w:t>
      </w:r>
      <w:r>
        <w:rPr>
          <w:rFonts w:cs="Arial"/>
        </w:rPr>
        <w:t>has</w:t>
      </w:r>
      <w:r w:rsidRPr="00FC45E9">
        <w:rPr>
          <w:rFonts w:cs="Arial"/>
        </w:rPr>
        <w:t xml:space="preserve"> </w:t>
      </w:r>
      <w:r w:rsidR="00CE4A08" w:rsidRPr="00FC45E9">
        <w:rPr>
          <w:rFonts w:cs="Arial"/>
        </w:rPr>
        <w:t xml:space="preserve">brought the </w:t>
      </w:r>
      <w:r w:rsidR="00CE4A08">
        <w:rPr>
          <w:rFonts w:cs="Arial"/>
        </w:rPr>
        <w:t xml:space="preserve">large-scale renewable </w:t>
      </w:r>
      <w:r w:rsidR="00CE4A08" w:rsidRPr="00FC45E9">
        <w:rPr>
          <w:rFonts w:cs="Arial"/>
        </w:rPr>
        <w:t>industry into disrepute</w:t>
      </w:r>
      <w:r w:rsidR="00CE4A08">
        <w:rPr>
          <w:rFonts w:cs="Arial"/>
        </w:rPr>
        <w:t xml:space="preserve"> and</w:t>
      </w:r>
      <w:r>
        <w:rPr>
          <w:rFonts w:cs="Arial"/>
        </w:rPr>
        <w:t xml:space="preserve"> </w:t>
      </w:r>
      <w:r w:rsidR="00CE4A08">
        <w:rPr>
          <w:rFonts w:cs="Arial"/>
        </w:rPr>
        <w:t xml:space="preserve">lead to protracted litigation by project opponents </w:t>
      </w:r>
      <w:r w:rsidR="006E499A">
        <w:rPr>
          <w:rFonts w:cs="Arial"/>
        </w:rPr>
        <w:t>to</w:t>
      </w:r>
      <w:r w:rsidR="00CE4A08">
        <w:rPr>
          <w:rFonts w:cs="Arial"/>
        </w:rPr>
        <w:t xml:space="preserve"> slow or stop the project</w:t>
      </w:r>
      <w:r w:rsidR="00CE4A08" w:rsidRPr="00FC45E9">
        <w:rPr>
          <w:rFonts w:cs="Arial"/>
        </w:rPr>
        <w:t>.</w:t>
      </w:r>
    </w:p>
    <w:p w14:paraId="4E4EEBAF" w14:textId="34B123EA" w:rsidR="00CE4A08" w:rsidRDefault="00CE4A08" w:rsidP="00CE4A08">
      <w:pPr>
        <w:pStyle w:val="ListNumber"/>
        <w:numPr>
          <w:ilvl w:val="0"/>
          <w:numId w:val="0"/>
        </w:numPr>
        <w:spacing w:line="264" w:lineRule="auto"/>
        <w:ind w:left="360"/>
        <w:rPr>
          <w:rFonts w:cs="Arial"/>
        </w:rPr>
      </w:pPr>
      <w:r>
        <w:rPr>
          <w:rFonts w:cs="Arial"/>
        </w:rPr>
        <w:t>T</w:t>
      </w:r>
      <w:r w:rsidRPr="00FC45E9">
        <w:rPr>
          <w:rFonts w:cs="Arial"/>
        </w:rPr>
        <w:t xml:space="preserve">he Commissioner has observed </w:t>
      </w:r>
      <w:r w:rsidR="00056876">
        <w:rPr>
          <w:rFonts w:cs="Arial"/>
        </w:rPr>
        <w:t>developers work successfully</w:t>
      </w:r>
      <w:r w:rsidRPr="00FC45E9">
        <w:rPr>
          <w:rFonts w:cs="Arial"/>
        </w:rPr>
        <w:t xml:space="preserve"> with land</w:t>
      </w:r>
      <w:r>
        <w:rPr>
          <w:rFonts w:cs="Arial"/>
        </w:rPr>
        <w:t xml:space="preserve">holders who have ultimately missed out on hosting some or </w:t>
      </w:r>
      <w:r w:rsidR="006E499A">
        <w:rPr>
          <w:rFonts w:cs="Arial"/>
        </w:rPr>
        <w:t>all</w:t>
      </w:r>
      <w:r>
        <w:rPr>
          <w:rFonts w:cs="Arial"/>
        </w:rPr>
        <w:t xml:space="preserve"> the expected assets on their property. </w:t>
      </w:r>
      <w:r w:rsidR="00056876">
        <w:rPr>
          <w:rFonts w:cs="Arial"/>
        </w:rPr>
        <w:t xml:space="preserve">Successful </w:t>
      </w:r>
      <w:r>
        <w:rPr>
          <w:rFonts w:cs="Arial"/>
        </w:rPr>
        <w:t>methods have recognised the landholder’s long-term engagement and commitment during the project’s development.</w:t>
      </w:r>
      <w:r w:rsidRPr="00FC45E9">
        <w:rPr>
          <w:rFonts w:cs="Arial"/>
        </w:rPr>
        <w:t xml:space="preserve"> </w:t>
      </w:r>
      <w:r>
        <w:rPr>
          <w:rFonts w:cs="Arial"/>
        </w:rPr>
        <w:t xml:space="preserve">Observed solutions </w:t>
      </w:r>
      <w:r w:rsidRPr="00FC45E9">
        <w:rPr>
          <w:rFonts w:cs="Arial"/>
        </w:rPr>
        <w:t>includ</w:t>
      </w:r>
      <w:r>
        <w:rPr>
          <w:rFonts w:cs="Arial"/>
        </w:rPr>
        <w:t>e</w:t>
      </w:r>
      <w:r w:rsidRPr="00FC45E9">
        <w:rPr>
          <w:rFonts w:cs="Arial"/>
        </w:rPr>
        <w:t xml:space="preserve"> </w:t>
      </w:r>
      <w:r>
        <w:rPr>
          <w:rFonts w:cs="Arial"/>
        </w:rPr>
        <w:t>making payment</w:t>
      </w:r>
      <w:r w:rsidRPr="00FC45E9">
        <w:rPr>
          <w:rFonts w:cs="Arial"/>
        </w:rPr>
        <w:t xml:space="preserve"> </w:t>
      </w:r>
      <w:r>
        <w:rPr>
          <w:rFonts w:cs="Arial"/>
        </w:rPr>
        <w:t xml:space="preserve">to the affected landholder </w:t>
      </w:r>
      <w:r w:rsidRPr="00FC45E9">
        <w:rPr>
          <w:rFonts w:cs="Arial"/>
        </w:rPr>
        <w:t>based on a range of parameters</w:t>
      </w:r>
      <w:r>
        <w:rPr>
          <w:rFonts w:cs="Arial"/>
        </w:rPr>
        <w:t xml:space="preserve">, such as </w:t>
      </w:r>
      <w:r w:rsidRPr="00FC45E9">
        <w:rPr>
          <w:rFonts w:cs="Arial"/>
        </w:rPr>
        <w:t xml:space="preserve">the </w:t>
      </w:r>
      <w:r>
        <w:rPr>
          <w:rFonts w:cs="Arial"/>
        </w:rPr>
        <w:t xml:space="preserve">number and type of assets </w:t>
      </w:r>
      <w:r w:rsidRPr="00FC45E9">
        <w:rPr>
          <w:rFonts w:cs="Arial"/>
        </w:rPr>
        <w:t xml:space="preserve">that the landowner had been </w:t>
      </w:r>
      <w:r>
        <w:rPr>
          <w:rFonts w:cs="Arial"/>
        </w:rPr>
        <w:t xml:space="preserve">originally </w:t>
      </w:r>
      <w:r w:rsidRPr="00FC45E9">
        <w:rPr>
          <w:rFonts w:cs="Arial"/>
        </w:rPr>
        <w:t>expecting to host</w:t>
      </w:r>
      <w:r>
        <w:rPr>
          <w:rFonts w:cs="Arial"/>
        </w:rPr>
        <w:t xml:space="preserve"> vis a vis the final approved design and the implications of that change.</w:t>
      </w:r>
    </w:p>
    <w:p w14:paraId="44B47436" w14:textId="07881E5B" w:rsidR="00CE4A08" w:rsidRDefault="004937AF" w:rsidP="00CE4A08">
      <w:pPr>
        <w:spacing w:line="264" w:lineRule="auto"/>
        <w:ind w:left="360"/>
        <w:rPr>
          <w:rFonts w:cs="Arial"/>
        </w:rPr>
      </w:pPr>
      <w:r>
        <w:rPr>
          <w:rFonts w:cs="Arial"/>
        </w:rPr>
        <w:t>Other</w:t>
      </w:r>
      <w:r w:rsidR="00CE4A08">
        <w:rPr>
          <w:rFonts w:cs="Arial"/>
        </w:rPr>
        <w:t xml:space="preserve"> </w:t>
      </w:r>
      <w:r w:rsidR="00CE4A08" w:rsidRPr="00FC45E9">
        <w:rPr>
          <w:rFonts w:cs="Arial"/>
        </w:rPr>
        <w:t>issue</w:t>
      </w:r>
      <w:r>
        <w:rPr>
          <w:rFonts w:cs="Arial"/>
        </w:rPr>
        <w:t xml:space="preserve">s </w:t>
      </w:r>
      <w:r w:rsidR="00CE4A08">
        <w:rPr>
          <w:rFonts w:cs="Arial"/>
        </w:rPr>
        <w:t xml:space="preserve">affecting landholders </w:t>
      </w:r>
      <w:r>
        <w:rPr>
          <w:rFonts w:cs="Arial"/>
        </w:rPr>
        <w:t>include</w:t>
      </w:r>
      <w:r w:rsidRPr="00FC45E9">
        <w:rPr>
          <w:rFonts w:cs="Arial"/>
        </w:rPr>
        <w:t xml:space="preserve"> </w:t>
      </w:r>
      <w:r w:rsidR="00CE4A08" w:rsidRPr="00FC45E9">
        <w:rPr>
          <w:rFonts w:cs="Arial"/>
        </w:rPr>
        <w:t>blade trespass</w:t>
      </w:r>
      <w:r>
        <w:rPr>
          <w:rFonts w:cs="Arial"/>
        </w:rPr>
        <w:t xml:space="preserve"> (which occurs </w:t>
      </w:r>
      <w:r w:rsidR="00CE4A08">
        <w:rPr>
          <w:rFonts w:cs="Arial"/>
        </w:rPr>
        <w:t>whe</w:t>
      </w:r>
      <w:r>
        <w:rPr>
          <w:rFonts w:cs="Arial"/>
        </w:rPr>
        <w:t>n</w:t>
      </w:r>
      <w:r w:rsidR="00CE4A08">
        <w:rPr>
          <w:rFonts w:cs="Arial"/>
        </w:rPr>
        <w:t xml:space="preserve"> </w:t>
      </w:r>
      <w:r w:rsidR="00CE4A08" w:rsidRPr="00FC45E9">
        <w:rPr>
          <w:rFonts w:cs="Arial"/>
        </w:rPr>
        <w:t xml:space="preserve">a </w:t>
      </w:r>
      <w:r w:rsidR="00CE4A08">
        <w:rPr>
          <w:rFonts w:cs="Arial"/>
        </w:rPr>
        <w:t xml:space="preserve">turbine </w:t>
      </w:r>
      <w:r w:rsidR="00CE4A08" w:rsidRPr="00FC45E9">
        <w:rPr>
          <w:rFonts w:cs="Arial"/>
        </w:rPr>
        <w:t>blade traverse</w:t>
      </w:r>
      <w:r>
        <w:rPr>
          <w:rFonts w:cs="Arial"/>
        </w:rPr>
        <w:t>s</w:t>
      </w:r>
      <w:r w:rsidR="00CE4A08" w:rsidRPr="00FC45E9">
        <w:rPr>
          <w:rFonts w:cs="Arial"/>
        </w:rPr>
        <w:t xml:space="preserve"> a land</w:t>
      </w:r>
      <w:r w:rsidR="00CE4A08">
        <w:rPr>
          <w:rFonts w:cs="Arial"/>
        </w:rPr>
        <w:t>holder</w:t>
      </w:r>
      <w:r w:rsidR="00CE4A08" w:rsidRPr="00FC45E9">
        <w:rPr>
          <w:rFonts w:cs="Arial"/>
        </w:rPr>
        <w:t>’s property</w:t>
      </w:r>
      <w:r w:rsidR="00CE4A08">
        <w:rPr>
          <w:rFonts w:cs="Arial"/>
        </w:rPr>
        <w:t xml:space="preserve"> boundary</w:t>
      </w:r>
      <w:r w:rsidR="00CE4A08" w:rsidRPr="00FC45E9">
        <w:rPr>
          <w:rFonts w:cs="Arial"/>
        </w:rPr>
        <w:t xml:space="preserve"> </w:t>
      </w:r>
      <w:r w:rsidR="00CE4A08">
        <w:rPr>
          <w:rFonts w:cs="Arial"/>
        </w:rPr>
        <w:t xml:space="preserve">when being </w:t>
      </w:r>
      <w:r w:rsidR="00CE4A08" w:rsidRPr="00FC45E9">
        <w:rPr>
          <w:rFonts w:cs="Arial"/>
        </w:rPr>
        <w:t xml:space="preserve">transported around a </w:t>
      </w:r>
      <w:r w:rsidR="00CE4A08">
        <w:rPr>
          <w:rFonts w:cs="Arial"/>
        </w:rPr>
        <w:t>bend in the road</w:t>
      </w:r>
      <w:r>
        <w:rPr>
          <w:rFonts w:cs="Arial"/>
        </w:rPr>
        <w:t>), transmission</w:t>
      </w:r>
      <w:r w:rsidR="00CE4A08">
        <w:rPr>
          <w:rFonts w:cs="Arial"/>
        </w:rPr>
        <w:t xml:space="preserve"> easements </w:t>
      </w:r>
      <w:r>
        <w:rPr>
          <w:rFonts w:cs="Arial"/>
        </w:rPr>
        <w:t>(</w:t>
      </w:r>
      <w:r w:rsidR="00CE4A08">
        <w:rPr>
          <w:rFonts w:cs="Arial"/>
        </w:rPr>
        <w:t xml:space="preserve">where </w:t>
      </w:r>
      <w:r>
        <w:rPr>
          <w:rFonts w:cs="Arial"/>
        </w:rPr>
        <w:t xml:space="preserve">a </w:t>
      </w:r>
      <w:r w:rsidR="00CE4A08">
        <w:rPr>
          <w:rFonts w:cs="Arial"/>
        </w:rPr>
        <w:t>landholder agre</w:t>
      </w:r>
      <w:r>
        <w:rPr>
          <w:rFonts w:cs="Arial"/>
        </w:rPr>
        <w:t xml:space="preserve">es </w:t>
      </w:r>
      <w:r w:rsidR="00CE4A08">
        <w:rPr>
          <w:rFonts w:cs="Arial"/>
        </w:rPr>
        <w:t>for a powerline to traverse their property for a one-time fee</w:t>
      </w:r>
      <w:r>
        <w:rPr>
          <w:rFonts w:cs="Arial"/>
        </w:rPr>
        <w:t>)</w:t>
      </w:r>
      <w:r w:rsidR="00CE4A08">
        <w:rPr>
          <w:rFonts w:cs="Arial"/>
        </w:rPr>
        <w:t xml:space="preserve"> and sway easements </w:t>
      </w:r>
      <w:r>
        <w:rPr>
          <w:rFonts w:cs="Arial"/>
        </w:rPr>
        <w:t>(</w:t>
      </w:r>
      <w:r w:rsidR="00CE4A08">
        <w:rPr>
          <w:rFonts w:cs="Arial"/>
        </w:rPr>
        <w:t xml:space="preserve">where a project’s connecting powerline may sway over a </w:t>
      </w:r>
      <w:r>
        <w:rPr>
          <w:rFonts w:cs="Arial"/>
        </w:rPr>
        <w:t>neighbouring</w:t>
      </w:r>
      <w:r w:rsidR="00CE4A08">
        <w:rPr>
          <w:rFonts w:cs="Arial"/>
        </w:rPr>
        <w:t xml:space="preserve"> </w:t>
      </w:r>
      <w:r>
        <w:rPr>
          <w:rFonts w:cs="Arial"/>
        </w:rPr>
        <w:t xml:space="preserve">property </w:t>
      </w:r>
      <w:r w:rsidR="00CE4A08">
        <w:rPr>
          <w:rFonts w:cs="Arial"/>
        </w:rPr>
        <w:t>in certain climatic conditions</w:t>
      </w:r>
      <w:r>
        <w:rPr>
          <w:rFonts w:cs="Arial"/>
        </w:rPr>
        <w:t>)</w:t>
      </w:r>
      <w:r w:rsidR="00CE4A08">
        <w:rPr>
          <w:rFonts w:cs="Arial"/>
        </w:rPr>
        <w:t>.</w:t>
      </w:r>
      <w:r w:rsidR="00CE4A08" w:rsidRPr="00FC45E9">
        <w:rPr>
          <w:rFonts w:cs="Arial"/>
        </w:rPr>
        <w:t xml:space="preserve"> </w:t>
      </w:r>
      <w:r w:rsidR="00CE4A08">
        <w:rPr>
          <w:rFonts w:cs="Arial"/>
        </w:rPr>
        <w:t xml:space="preserve">In most cases, the affected landholder would typically negotiate and receive a one-time payment from the proponent or </w:t>
      </w:r>
      <w:r>
        <w:rPr>
          <w:rFonts w:cs="Arial"/>
        </w:rPr>
        <w:t xml:space="preserve">transmission </w:t>
      </w:r>
      <w:r w:rsidR="00CE4A08">
        <w:rPr>
          <w:rFonts w:cs="Arial"/>
        </w:rPr>
        <w:t xml:space="preserve">company in exchange for granting authority for the friendly incursion on the land. </w:t>
      </w:r>
    </w:p>
    <w:p w14:paraId="59DB1B13" w14:textId="40F0F419" w:rsidR="00CE4A08" w:rsidRDefault="00CE4A08" w:rsidP="00CE4A08">
      <w:pPr>
        <w:spacing w:line="264" w:lineRule="auto"/>
        <w:ind w:left="360"/>
        <w:rPr>
          <w:rFonts w:cs="Arial"/>
        </w:rPr>
      </w:pPr>
      <w:r w:rsidRPr="00FC45E9">
        <w:rPr>
          <w:rFonts w:cs="Arial"/>
        </w:rPr>
        <w:t xml:space="preserve">The recent increase in </w:t>
      </w:r>
      <w:r>
        <w:rPr>
          <w:rFonts w:cs="Arial"/>
        </w:rPr>
        <w:t xml:space="preserve">wind turbine </w:t>
      </w:r>
      <w:r w:rsidRPr="00FC45E9">
        <w:rPr>
          <w:rFonts w:cs="Arial"/>
        </w:rPr>
        <w:t xml:space="preserve">blade lengths has increased the possibility of </w:t>
      </w:r>
      <w:r>
        <w:rPr>
          <w:rFonts w:cs="Arial"/>
        </w:rPr>
        <w:t>blade trespass</w:t>
      </w:r>
      <w:r w:rsidR="004D2E17">
        <w:rPr>
          <w:rFonts w:cs="Arial"/>
        </w:rPr>
        <w:t xml:space="preserve"> and the amount of </w:t>
      </w:r>
      <w:r>
        <w:rPr>
          <w:rFonts w:cs="Arial"/>
        </w:rPr>
        <w:t xml:space="preserve">vegetation clearance </w:t>
      </w:r>
      <w:r w:rsidR="004D2E17">
        <w:rPr>
          <w:rFonts w:cs="Arial"/>
        </w:rPr>
        <w:t xml:space="preserve">required </w:t>
      </w:r>
      <w:r>
        <w:rPr>
          <w:rFonts w:cs="Arial"/>
        </w:rPr>
        <w:t xml:space="preserve">along the chosen route for blade transportation.  </w:t>
      </w:r>
      <w:r w:rsidRPr="00FC45E9">
        <w:rPr>
          <w:rFonts w:cs="Arial"/>
        </w:rPr>
        <w:t xml:space="preserve">Developers </w:t>
      </w:r>
      <w:r>
        <w:rPr>
          <w:rFonts w:cs="Arial"/>
        </w:rPr>
        <w:t xml:space="preserve">and their contractors </w:t>
      </w:r>
      <w:r w:rsidRPr="00FC45E9">
        <w:rPr>
          <w:rFonts w:cs="Arial"/>
        </w:rPr>
        <w:t>need to be cogni</w:t>
      </w:r>
      <w:r>
        <w:rPr>
          <w:rFonts w:cs="Arial"/>
        </w:rPr>
        <w:t>s</w:t>
      </w:r>
      <w:r w:rsidRPr="00FC45E9">
        <w:rPr>
          <w:rFonts w:cs="Arial"/>
        </w:rPr>
        <w:t>ant of th</w:t>
      </w:r>
      <w:r>
        <w:rPr>
          <w:rFonts w:cs="Arial"/>
        </w:rPr>
        <w:t xml:space="preserve">ese types of emerging </w:t>
      </w:r>
      <w:r w:rsidRPr="00FC45E9">
        <w:rPr>
          <w:rFonts w:cs="Arial"/>
        </w:rPr>
        <w:t>issue</w:t>
      </w:r>
      <w:r>
        <w:rPr>
          <w:rFonts w:cs="Arial"/>
        </w:rPr>
        <w:t>s</w:t>
      </w:r>
      <w:r w:rsidRPr="00FC45E9">
        <w:rPr>
          <w:rFonts w:cs="Arial"/>
        </w:rPr>
        <w:t xml:space="preserve"> and ensure they have appropriate agreements in place with land</w:t>
      </w:r>
      <w:r>
        <w:rPr>
          <w:rFonts w:cs="Arial"/>
        </w:rPr>
        <w:t>holders</w:t>
      </w:r>
      <w:r w:rsidRPr="00FC45E9">
        <w:rPr>
          <w:rFonts w:cs="Arial"/>
        </w:rPr>
        <w:t xml:space="preserve"> prior to submitting </w:t>
      </w:r>
      <w:r>
        <w:rPr>
          <w:rFonts w:cs="Arial"/>
        </w:rPr>
        <w:t>permit application plans</w:t>
      </w:r>
      <w:r w:rsidR="004D2E17">
        <w:rPr>
          <w:rFonts w:cs="Arial"/>
        </w:rPr>
        <w:t xml:space="preserve">. These include </w:t>
      </w:r>
      <w:r>
        <w:rPr>
          <w:rFonts w:cs="Arial"/>
        </w:rPr>
        <w:t xml:space="preserve">the </w:t>
      </w:r>
      <w:r w:rsidRPr="00FC45E9">
        <w:rPr>
          <w:rFonts w:cs="Arial"/>
        </w:rPr>
        <w:t>transport management plan</w:t>
      </w:r>
      <w:r>
        <w:rPr>
          <w:rFonts w:cs="Arial"/>
        </w:rPr>
        <w:t>, transmission route plan, vegetation clearance plan and any offset requirements.</w:t>
      </w:r>
    </w:p>
    <w:p w14:paraId="45AA917A" w14:textId="76D14709" w:rsidR="00CE4A08" w:rsidRPr="00FC45E9" w:rsidRDefault="00CE4A08" w:rsidP="00CE4A08">
      <w:pPr>
        <w:pStyle w:val="ListNumber"/>
        <w:numPr>
          <w:ilvl w:val="0"/>
          <w:numId w:val="0"/>
        </w:numPr>
        <w:spacing w:line="264" w:lineRule="auto"/>
        <w:ind w:left="360"/>
        <w:rPr>
          <w:rFonts w:cs="Arial"/>
        </w:rPr>
      </w:pPr>
      <w:r>
        <w:rPr>
          <w:rFonts w:cs="Arial"/>
        </w:rPr>
        <w:t>Finally, developers should also be proactive and transparent with landholders regarding the status of the project during the development and permitting phase and consult with landholders on any planning amendment submissions that may affect the landholder and local community.</w:t>
      </w:r>
    </w:p>
    <w:p w14:paraId="3B9BCC8A" w14:textId="77777777" w:rsidR="00CE4A08" w:rsidRPr="007A223C" w:rsidRDefault="00CE4A08" w:rsidP="00F25864">
      <w:pPr>
        <w:pStyle w:val="Heading3"/>
        <w:ind w:firstLine="360"/>
      </w:pPr>
      <w:bookmarkStart w:id="161" w:name="_Toc135390611"/>
      <w:r w:rsidRPr="007A223C">
        <w:t>Host Agreements</w:t>
      </w:r>
      <w:bookmarkEnd w:id="161"/>
    </w:p>
    <w:p w14:paraId="63028E17" w14:textId="4A973408" w:rsidR="00CE4A08" w:rsidRPr="00FC45E9" w:rsidRDefault="00CE4A08" w:rsidP="00CE4A08">
      <w:pPr>
        <w:spacing w:line="264" w:lineRule="auto"/>
        <w:ind w:left="360"/>
        <w:rPr>
          <w:rFonts w:cs="Arial"/>
        </w:rPr>
      </w:pPr>
      <w:r w:rsidRPr="00FC45E9">
        <w:rPr>
          <w:rFonts w:cs="Arial"/>
        </w:rPr>
        <w:t>A host land</w:t>
      </w:r>
      <w:r>
        <w:rPr>
          <w:rFonts w:cs="Arial"/>
        </w:rPr>
        <w:t>holder</w:t>
      </w:r>
      <w:r w:rsidRPr="00FC45E9">
        <w:rPr>
          <w:rFonts w:cs="Arial"/>
        </w:rPr>
        <w:t xml:space="preserve"> </w:t>
      </w:r>
      <w:r>
        <w:rPr>
          <w:rFonts w:cs="Arial"/>
        </w:rPr>
        <w:t xml:space="preserve">agreement </w:t>
      </w:r>
      <w:r w:rsidRPr="00FC45E9">
        <w:rPr>
          <w:rFonts w:cs="Arial"/>
        </w:rPr>
        <w:t xml:space="preserve">is </w:t>
      </w:r>
      <w:r w:rsidR="00E3107F">
        <w:rPr>
          <w:rFonts w:cs="Arial"/>
        </w:rPr>
        <w:t>similar to</w:t>
      </w:r>
      <w:r w:rsidR="00E3107F" w:rsidRPr="00FC45E9">
        <w:rPr>
          <w:rFonts w:cs="Arial"/>
        </w:rPr>
        <w:t xml:space="preserve"> </w:t>
      </w:r>
      <w:r w:rsidRPr="00FC45E9">
        <w:rPr>
          <w:rFonts w:cs="Arial"/>
        </w:rPr>
        <w:t xml:space="preserve">a commercial lease. </w:t>
      </w:r>
      <w:r>
        <w:rPr>
          <w:rFonts w:cs="Arial"/>
        </w:rPr>
        <w:t xml:space="preserve">Considerable </w:t>
      </w:r>
      <w:r w:rsidRPr="00FC45E9">
        <w:rPr>
          <w:rFonts w:cs="Arial"/>
        </w:rPr>
        <w:t xml:space="preserve">time and money </w:t>
      </w:r>
      <w:r>
        <w:rPr>
          <w:rFonts w:cs="Arial"/>
        </w:rPr>
        <w:t xml:space="preserve">can be </w:t>
      </w:r>
      <w:r w:rsidRPr="00FC45E9">
        <w:rPr>
          <w:rFonts w:cs="Arial"/>
        </w:rPr>
        <w:t>spent by developers in creating draft land</w:t>
      </w:r>
      <w:r>
        <w:rPr>
          <w:rFonts w:cs="Arial"/>
        </w:rPr>
        <w:t>holder</w:t>
      </w:r>
      <w:r w:rsidRPr="00FC45E9">
        <w:rPr>
          <w:rFonts w:cs="Arial"/>
        </w:rPr>
        <w:t xml:space="preserve"> agreements, which in turn </w:t>
      </w:r>
      <w:r>
        <w:rPr>
          <w:rFonts w:cs="Arial"/>
        </w:rPr>
        <w:t>should</w:t>
      </w:r>
      <w:r w:rsidRPr="00FC45E9">
        <w:rPr>
          <w:rFonts w:cs="Arial"/>
        </w:rPr>
        <w:t xml:space="preserve"> be</w:t>
      </w:r>
      <w:r w:rsidR="003F6B59">
        <w:rPr>
          <w:rFonts w:cs="Arial"/>
        </w:rPr>
        <w:t xml:space="preserve"> carefully</w:t>
      </w:r>
      <w:r w:rsidRPr="00FC45E9">
        <w:rPr>
          <w:rFonts w:cs="Arial"/>
        </w:rPr>
        <w:t xml:space="preserve"> reviewed by the land</w:t>
      </w:r>
      <w:r>
        <w:rPr>
          <w:rFonts w:cs="Arial"/>
        </w:rPr>
        <w:t>holder</w:t>
      </w:r>
      <w:r w:rsidRPr="00FC45E9">
        <w:rPr>
          <w:rFonts w:cs="Arial"/>
        </w:rPr>
        <w:t xml:space="preserve"> and their solicitor before </w:t>
      </w:r>
      <w:r>
        <w:rPr>
          <w:rFonts w:cs="Arial"/>
        </w:rPr>
        <w:t xml:space="preserve">negotiating and subsequently </w:t>
      </w:r>
      <w:r w:rsidRPr="00FC45E9">
        <w:rPr>
          <w:rFonts w:cs="Arial"/>
        </w:rPr>
        <w:t>executing</w:t>
      </w:r>
      <w:r w:rsidR="003F6B59">
        <w:rPr>
          <w:rFonts w:cs="Arial"/>
        </w:rPr>
        <w:t xml:space="preserve"> the document</w:t>
      </w:r>
      <w:r w:rsidRPr="00FC45E9">
        <w:rPr>
          <w:rFonts w:cs="Arial"/>
        </w:rPr>
        <w:t>. Both industry and land</w:t>
      </w:r>
      <w:r>
        <w:rPr>
          <w:rFonts w:cs="Arial"/>
        </w:rPr>
        <w:t xml:space="preserve">holders </w:t>
      </w:r>
      <w:r w:rsidRPr="00FC45E9">
        <w:rPr>
          <w:rFonts w:cs="Arial"/>
        </w:rPr>
        <w:t>may benefit from a standard agreement document being produced and available for use that is fair and reasonable, complete and consistent with the relevant laws</w:t>
      </w:r>
      <w:r w:rsidR="003F6B59">
        <w:rPr>
          <w:rFonts w:cs="Arial"/>
        </w:rPr>
        <w:t xml:space="preserve">, </w:t>
      </w:r>
      <w:r w:rsidRPr="00FC45E9">
        <w:rPr>
          <w:rFonts w:cs="Arial"/>
        </w:rPr>
        <w:t>similar in concept</w:t>
      </w:r>
      <w:r w:rsidR="003F6B59">
        <w:rPr>
          <w:rFonts w:cs="Arial"/>
        </w:rPr>
        <w:t xml:space="preserve"> </w:t>
      </w:r>
      <w:r>
        <w:rPr>
          <w:rFonts w:cs="Arial"/>
        </w:rPr>
        <w:t xml:space="preserve">to </w:t>
      </w:r>
      <w:r w:rsidRPr="00FC45E9">
        <w:rPr>
          <w:rFonts w:cs="Arial"/>
        </w:rPr>
        <w:t xml:space="preserve">the Law Institute </w:t>
      </w:r>
      <w:r>
        <w:rPr>
          <w:rFonts w:cs="Arial"/>
        </w:rPr>
        <w:t xml:space="preserve">of Victoria’s </w:t>
      </w:r>
      <w:r w:rsidRPr="008A240A">
        <w:rPr>
          <w:rFonts w:cs="Arial"/>
          <w:i/>
        </w:rPr>
        <w:t>Lease of Real Estate (Commercial)</w:t>
      </w:r>
      <w:r w:rsidRPr="00FC45E9">
        <w:rPr>
          <w:rFonts w:cs="Arial"/>
        </w:rPr>
        <w:t>.</w:t>
      </w:r>
    </w:p>
    <w:p w14:paraId="7411FEE4" w14:textId="063435C9" w:rsidR="00CE4A08" w:rsidRPr="00FC45E9" w:rsidRDefault="00CE4A08" w:rsidP="00CE4A08">
      <w:pPr>
        <w:spacing w:line="264" w:lineRule="auto"/>
        <w:ind w:left="360"/>
        <w:rPr>
          <w:rFonts w:cs="Arial"/>
        </w:rPr>
      </w:pPr>
      <w:r w:rsidRPr="00FC45E9">
        <w:rPr>
          <w:rFonts w:cs="Arial"/>
        </w:rPr>
        <w:t>Some land</w:t>
      </w:r>
      <w:r>
        <w:rPr>
          <w:rFonts w:cs="Arial"/>
        </w:rPr>
        <w:t>holder</w:t>
      </w:r>
      <w:r w:rsidRPr="00FC45E9">
        <w:rPr>
          <w:rFonts w:cs="Arial"/>
        </w:rPr>
        <w:t xml:space="preserve"> </w:t>
      </w:r>
      <w:r>
        <w:rPr>
          <w:rFonts w:cs="Arial"/>
        </w:rPr>
        <w:t xml:space="preserve">host </w:t>
      </w:r>
      <w:r w:rsidRPr="00FC45E9">
        <w:rPr>
          <w:rFonts w:cs="Arial"/>
        </w:rPr>
        <w:t xml:space="preserve">agreements </w:t>
      </w:r>
      <w:r w:rsidR="00C21CDA">
        <w:rPr>
          <w:rFonts w:cs="Arial"/>
        </w:rPr>
        <w:t>reviewed</w:t>
      </w:r>
      <w:r w:rsidR="00C21CDA" w:rsidRPr="00FC45E9">
        <w:rPr>
          <w:rFonts w:cs="Arial"/>
        </w:rPr>
        <w:t xml:space="preserve"> </w:t>
      </w:r>
      <w:r w:rsidR="00C21CDA">
        <w:rPr>
          <w:rFonts w:cs="Arial"/>
        </w:rPr>
        <w:t xml:space="preserve">by the Commissioner </w:t>
      </w:r>
      <w:r w:rsidRPr="00FC45E9">
        <w:rPr>
          <w:rFonts w:cs="Arial"/>
        </w:rPr>
        <w:t xml:space="preserve">could be clearer in a number of aspects. Agreements should provide clarity on a wide range of day-to-day matters, including which party is responsible for paying rates, land taxes, emergency services levies and the like. The agreement also needs to be clear on termination provisions and the responsibilities regarding decommissioning of the </w:t>
      </w:r>
      <w:r>
        <w:rPr>
          <w:rFonts w:cs="Arial"/>
        </w:rPr>
        <w:t>project’s (</w:t>
      </w:r>
      <w:r w:rsidR="006E499A">
        <w:rPr>
          <w:rFonts w:cs="Arial"/>
        </w:rPr>
        <w:t>i.e.</w:t>
      </w:r>
      <w:r>
        <w:rPr>
          <w:rFonts w:cs="Arial"/>
        </w:rPr>
        <w:t xml:space="preserve"> tenant’s) assets</w:t>
      </w:r>
      <w:r w:rsidRPr="00FC45E9">
        <w:rPr>
          <w:rFonts w:cs="Arial"/>
        </w:rPr>
        <w:t>.</w:t>
      </w:r>
    </w:p>
    <w:p w14:paraId="716C584D" w14:textId="196947C3" w:rsidR="00CE4A08" w:rsidRPr="00FC45E9" w:rsidRDefault="00CE4A08" w:rsidP="00CE4A08">
      <w:pPr>
        <w:spacing w:line="264" w:lineRule="auto"/>
        <w:ind w:left="360"/>
        <w:rPr>
          <w:rFonts w:cs="Arial"/>
        </w:rPr>
      </w:pPr>
      <w:r w:rsidRPr="00FC45E9">
        <w:rPr>
          <w:rFonts w:cs="Arial"/>
        </w:rPr>
        <w:lastRenderedPageBreak/>
        <w:t>Land</w:t>
      </w:r>
      <w:r>
        <w:rPr>
          <w:rFonts w:cs="Arial"/>
        </w:rPr>
        <w:t>holder</w:t>
      </w:r>
      <w:r w:rsidRPr="00FC45E9">
        <w:rPr>
          <w:rFonts w:cs="Arial"/>
        </w:rPr>
        <w:t xml:space="preserve"> agreements are not limited to hosting </w:t>
      </w:r>
      <w:r>
        <w:rPr>
          <w:rFonts w:cs="Arial"/>
        </w:rPr>
        <w:t xml:space="preserve">wind </w:t>
      </w:r>
      <w:r w:rsidRPr="00FC45E9">
        <w:rPr>
          <w:rFonts w:cs="Arial"/>
        </w:rPr>
        <w:t>turbines</w:t>
      </w:r>
      <w:r>
        <w:rPr>
          <w:rFonts w:cs="Arial"/>
        </w:rPr>
        <w:t>, solar arrays or batteries</w:t>
      </w:r>
      <w:r w:rsidR="00C21CDA">
        <w:rPr>
          <w:rFonts w:cs="Arial"/>
        </w:rPr>
        <w:t>. T</w:t>
      </w:r>
      <w:r w:rsidRPr="00FC45E9">
        <w:rPr>
          <w:rFonts w:cs="Arial"/>
        </w:rPr>
        <w:t xml:space="preserve">hey </w:t>
      </w:r>
      <w:r w:rsidR="006E499A">
        <w:rPr>
          <w:rFonts w:cs="Arial"/>
        </w:rPr>
        <w:t>are</w:t>
      </w:r>
      <w:r w:rsidR="006E499A" w:rsidRPr="00FC45E9">
        <w:rPr>
          <w:rFonts w:cs="Arial"/>
        </w:rPr>
        <w:t xml:space="preserve"> also</w:t>
      </w:r>
      <w:r w:rsidRPr="00FC45E9">
        <w:rPr>
          <w:rFonts w:cs="Arial"/>
        </w:rPr>
        <w:t xml:space="preserve"> required for high voltage transmission corridors, </w:t>
      </w:r>
      <w:r>
        <w:rPr>
          <w:rFonts w:cs="Arial"/>
        </w:rPr>
        <w:t>private powerline</w:t>
      </w:r>
      <w:r w:rsidR="00BE2208">
        <w:rPr>
          <w:rFonts w:cs="Arial"/>
        </w:rPr>
        <w:t xml:space="preserve">s </w:t>
      </w:r>
      <w:r w:rsidR="00C21CDA">
        <w:rPr>
          <w:rFonts w:cs="Arial"/>
        </w:rPr>
        <w:t>connecting to power stations</w:t>
      </w:r>
      <w:r>
        <w:rPr>
          <w:rFonts w:cs="Arial"/>
        </w:rPr>
        <w:t xml:space="preserve">, </w:t>
      </w:r>
      <w:r w:rsidRPr="00FC45E9">
        <w:rPr>
          <w:rFonts w:cs="Arial"/>
        </w:rPr>
        <w:t>substations, construction facilities, meteorological masts as well as construction and operational</w:t>
      </w:r>
      <w:r>
        <w:rPr>
          <w:rFonts w:cs="Arial"/>
        </w:rPr>
        <w:t>/maintenance</w:t>
      </w:r>
      <w:r w:rsidRPr="00FC45E9">
        <w:rPr>
          <w:rFonts w:cs="Arial"/>
        </w:rPr>
        <w:t xml:space="preserve"> access roads </w:t>
      </w:r>
      <w:r>
        <w:rPr>
          <w:rFonts w:cs="Arial"/>
        </w:rPr>
        <w:t xml:space="preserve">and land </w:t>
      </w:r>
      <w:r w:rsidRPr="00FC45E9">
        <w:rPr>
          <w:rFonts w:cs="Arial"/>
        </w:rPr>
        <w:t xml:space="preserve">for the </w:t>
      </w:r>
      <w:r>
        <w:rPr>
          <w:rFonts w:cs="Arial"/>
        </w:rPr>
        <w:t>life of the project</w:t>
      </w:r>
      <w:r w:rsidRPr="00FC45E9">
        <w:rPr>
          <w:rFonts w:cs="Arial"/>
        </w:rPr>
        <w:t xml:space="preserve">. </w:t>
      </w:r>
      <w:r w:rsidR="00BE2208">
        <w:rPr>
          <w:rFonts w:cs="Arial"/>
        </w:rPr>
        <w:t>The developer should c</w:t>
      </w:r>
      <w:r w:rsidRPr="00FC45E9">
        <w:rPr>
          <w:rFonts w:cs="Arial"/>
        </w:rPr>
        <w:t>areful</w:t>
      </w:r>
      <w:r w:rsidR="00BE2208">
        <w:rPr>
          <w:rFonts w:cs="Arial"/>
        </w:rPr>
        <w:t>ly</w:t>
      </w:r>
      <w:r w:rsidRPr="00FC45E9">
        <w:rPr>
          <w:rFonts w:cs="Arial"/>
        </w:rPr>
        <w:t xml:space="preserve"> consider </w:t>
      </w:r>
      <w:r w:rsidR="00BE2208">
        <w:rPr>
          <w:rFonts w:cs="Arial"/>
        </w:rPr>
        <w:t>their</w:t>
      </w:r>
      <w:r w:rsidRPr="00FC45E9">
        <w:rPr>
          <w:rFonts w:cs="Arial"/>
        </w:rPr>
        <w:t xml:space="preserve"> approach and fairness to</w:t>
      </w:r>
      <w:r>
        <w:rPr>
          <w:rFonts w:cs="Arial"/>
        </w:rPr>
        <w:t xml:space="preserve"> landholders in</w:t>
      </w:r>
      <w:r w:rsidRPr="00FC45E9">
        <w:rPr>
          <w:rFonts w:cs="Arial"/>
        </w:rPr>
        <w:t xml:space="preserve"> negotiating these </w:t>
      </w:r>
      <w:r w:rsidR="00BE2208">
        <w:rPr>
          <w:rFonts w:cs="Arial"/>
        </w:rPr>
        <w:t>agreements. Landholders should seek</w:t>
      </w:r>
      <w:r w:rsidRPr="00FC45E9">
        <w:rPr>
          <w:rFonts w:cs="Arial"/>
        </w:rPr>
        <w:t xml:space="preserve"> suitably qualified legal and financial advice before entering into any agreement.</w:t>
      </w:r>
    </w:p>
    <w:p w14:paraId="64847C54" w14:textId="61A2C185" w:rsidR="00CE4A08" w:rsidRPr="00FC45E9" w:rsidRDefault="00BE2208" w:rsidP="00CE4A08">
      <w:pPr>
        <w:pStyle w:val="ListNumber"/>
        <w:numPr>
          <w:ilvl w:val="0"/>
          <w:numId w:val="0"/>
        </w:numPr>
        <w:spacing w:line="264" w:lineRule="auto"/>
        <w:ind w:left="360"/>
        <w:rPr>
          <w:rFonts w:cs="Arial"/>
        </w:rPr>
      </w:pPr>
      <w:r>
        <w:rPr>
          <w:rFonts w:cs="Arial"/>
        </w:rPr>
        <w:t>Developers should also consider</w:t>
      </w:r>
      <w:r w:rsidR="00CE4A08" w:rsidRPr="00FC45E9">
        <w:rPr>
          <w:rFonts w:cs="Arial"/>
        </w:rPr>
        <w:t xml:space="preserve"> innovative opportunities for land</w:t>
      </w:r>
      <w:r w:rsidR="00CE4A08">
        <w:rPr>
          <w:rFonts w:cs="Arial"/>
        </w:rPr>
        <w:t>holders</w:t>
      </w:r>
      <w:r w:rsidR="00CE4A08" w:rsidRPr="00FC45E9">
        <w:rPr>
          <w:rFonts w:cs="Arial"/>
        </w:rPr>
        <w:t xml:space="preserve"> and other community members to have an ownership stake in the project</w:t>
      </w:r>
      <w:r>
        <w:rPr>
          <w:rFonts w:cs="Arial"/>
        </w:rPr>
        <w:t>.</w:t>
      </w:r>
      <w:r w:rsidR="00CE4A08" w:rsidRPr="00FC45E9">
        <w:rPr>
          <w:rFonts w:cs="Arial"/>
        </w:rPr>
        <w:t xml:space="preserve"> </w:t>
      </w:r>
      <w:r>
        <w:rPr>
          <w:rFonts w:cs="Arial"/>
        </w:rPr>
        <w:t>This</w:t>
      </w:r>
      <w:r w:rsidRPr="00FC45E9">
        <w:rPr>
          <w:rFonts w:cs="Arial"/>
        </w:rPr>
        <w:t xml:space="preserve"> </w:t>
      </w:r>
      <w:r w:rsidR="00CE4A08" w:rsidRPr="00FC45E9">
        <w:rPr>
          <w:rFonts w:cs="Arial"/>
        </w:rPr>
        <w:t xml:space="preserve">could be in the form of a community-owned </w:t>
      </w:r>
      <w:r w:rsidR="00CE4A08">
        <w:rPr>
          <w:rFonts w:cs="Arial"/>
        </w:rPr>
        <w:t xml:space="preserve">project </w:t>
      </w:r>
      <w:r w:rsidR="00CE4A08" w:rsidRPr="00FC45E9">
        <w:rPr>
          <w:rFonts w:cs="Arial"/>
        </w:rPr>
        <w:t xml:space="preserve">through to equity or debt participation in the </w:t>
      </w:r>
      <w:r w:rsidR="00CE4A08">
        <w:rPr>
          <w:rFonts w:cs="Arial"/>
        </w:rPr>
        <w:t xml:space="preserve">project’s </w:t>
      </w:r>
      <w:r w:rsidR="00CE4A08" w:rsidRPr="00FC45E9">
        <w:rPr>
          <w:rFonts w:cs="Arial"/>
        </w:rPr>
        <w:t xml:space="preserve">commercial ownership structure. </w:t>
      </w:r>
      <w:r>
        <w:rPr>
          <w:rFonts w:cs="Arial"/>
        </w:rPr>
        <w:t>There</w:t>
      </w:r>
      <w:r w:rsidR="00CE4A08" w:rsidRPr="00FC45E9">
        <w:rPr>
          <w:rFonts w:cs="Arial"/>
        </w:rPr>
        <w:t xml:space="preserve"> are some examples of these approaches in Australia </w:t>
      </w:r>
      <w:r>
        <w:rPr>
          <w:rFonts w:cs="Arial"/>
        </w:rPr>
        <w:t xml:space="preserve">and in </w:t>
      </w:r>
      <w:r w:rsidR="00CE4A08" w:rsidRPr="00FC45E9">
        <w:rPr>
          <w:rFonts w:cs="Arial"/>
        </w:rPr>
        <w:t>other overseas jurisdictions such as Europe.</w:t>
      </w:r>
    </w:p>
    <w:p w14:paraId="49A2942E" w14:textId="77777777" w:rsidR="00CE4A08" w:rsidRPr="007A223C" w:rsidRDefault="00CE4A08" w:rsidP="00F25864">
      <w:pPr>
        <w:pStyle w:val="Heading3"/>
        <w:ind w:firstLine="360"/>
      </w:pPr>
      <w:bookmarkStart w:id="162" w:name="_Toc135390612"/>
      <w:r w:rsidRPr="007A223C">
        <w:t>Construction</w:t>
      </w:r>
      <w:bookmarkEnd w:id="162"/>
    </w:p>
    <w:p w14:paraId="7D1B979A" w14:textId="21A072BC" w:rsidR="00CE4A08" w:rsidRDefault="00CE4A08" w:rsidP="00CE4A08">
      <w:pPr>
        <w:pStyle w:val="ListNumber"/>
        <w:numPr>
          <w:ilvl w:val="0"/>
          <w:numId w:val="0"/>
        </w:numPr>
        <w:spacing w:line="264" w:lineRule="auto"/>
        <w:ind w:left="360"/>
        <w:rPr>
          <w:rFonts w:cs="Arial"/>
        </w:rPr>
      </w:pPr>
      <w:r w:rsidRPr="00FC45E9">
        <w:rPr>
          <w:rFonts w:cs="Arial"/>
        </w:rPr>
        <w:t xml:space="preserve">The </w:t>
      </w:r>
      <w:r>
        <w:rPr>
          <w:rFonts w:cs="Arial"/>
        </w:rPr>
        <w:t xml:space="preserve">project’s </w:t>
      </w:r>
      <w:r w:rsidRPr="00FC45E9">
        <w:rPr>
          <w:rFonts w:cs="Arial"/>
        </w:rPr>
        <w:t xml:space="preserve">construction </w:t>
      </w:r>
      <w:r>
        <w:rPr>
          <w:rFonts w:cs="Arial"/>
        </w:rPr>
        <w:t xml:space="preserve">activities </w:t>
      </w:r>
      <w:r w:rsidRPr="00FC45E9">
        <w:rPr>
          <w:rFonts w:cs="Arial"/>
        </w:rPr>
        <w:t xml:space="preserve">can </w:t>
      </w:r>
      <w:r w:rsidR="00BE2208">
        <w:rPr>
          <w:rFonts w:cs="Arial"/>
        </w:rPr>
        <w:t>cause</w:t>
      </w:r>
      <w:r w:rsidRPr="00FC45E9">
        <w:rPr>
          <w:rFonts w:cs="Arial"/>
        </w:rPr>
        <w:t xml:space="preserve"> significant disruption for the land</w:t>
      </w:r>
      <w:r>
        <w:rPr>
          <w:rFonts w:cs="Arial"/>
        </w:rPr>
        <w:t>holder</w:t>
      </w:r>
      <w:r w:rsidR="00BE2208">
        <w:rPr>
          <w:rFonts w:cs="Arial"/>
        </w:rPr>
        <w:t xml:space="preserve"> and may have</w:t>
      </w:r>
      <w:r w:rsidRPr="00FC45E9">
        <w:rPr>
          <w:rFonts w:cs="Arial"/>
        </w:rPr>
        <w:t xml:space="preserve"> long-term effects. Typical issues range from management of gates – gates left open during construction activities can quickly lead to unplanned migration of livestock, often with </w:t>
      </w:r>
      <w:r>
        <w:rPr>
          <w:rFonts w:cs="Arial"/>
        </w:rPr>
        <w:t xml:space="preserve">challenging </w:t>
      </w:r>
      <w:r w:rsidRPr="00FC45E9">
        <w:rPr>
          <w:rFonts w:cs="Arial"/>
        </w:rPr>
        <w:t xml:space="preserve">consequences – through to the impact of new roads </w:t>
      </w:r>
      <w:r>
        <w:rPr>
          <w:rFonts w:cs="Arial"/>
        </w:rPr>
        <w:t>and trenches created</w:t>
      </w:r>
      <w:r w:rsidRPr="00FC45E9">
        <w:rPr>
          <w:rFonts w:cs="Arial"/>
        </w:rPr>
        <w:t xml:space="preserve"> </w:t>
      </w:r>
      <w:r w:rsidR="00BE2208">
        <w:rPr>
          <w:rFonts w:cs="Arial"/>
        </w:rPr>
        <w:t>on</w:t>
      </w:r>
      <w:r w:rsidR="00BE2208" w:rsidRPr="00FC45E9">
        <w:rPr>
          <w:rFonts w:cs="Arial"/>
        </w:rPr>
        <w:t xml:space="preserve"> </w:t>
      </w:r>
      <w:r w:rsidRPr="00FC45E9">
        <w:rPr>
          <w:rFonts w:cs="Arial"/>
        </w:rPr>
        <w:t>the land</w:t>
      </w:r>
      <w:r>
        <w:rPr>
          <w:rFonts w:cs="Arial"/>
        </w:rPr>
        <w:t>holder</w:t>
      </w:r>
      <w:r w:rsidRPr="00FC45E9">
        <w:rPr>
          <w:rFonts w:cs="Arial"/>
        </w:rPr>
        <w:t>’s property.</w:t>
      </w:r>
    </w:p>
    <w:p w14:paraId="2693E88E" w14:textId="0F208117" w:rsidR="00CE4A08" w:rsidRDefault="00AE42A2" w:rsidP="00CE4A08">
      <w:pPr>
        <w:pStyle w:val="ListNumber"/>
        <w:numPr>
          <w:ilvl w:val="0"/>
          <w:numId w:val="0"/>
        </w:numPr>
        <w:spacing w:line="264" w:lineRule="auto"/>
        <w:ind w:left="360"/>
        <w:rPr>
          <w:rFonts w:cs="Arial"/>
        </w:rPr>
      </w:pPr>
      <w:r>
        <w:rPr>
          <w:rFonts w:cs="Arial"/>
        </w:rPr>
        <w:t>C</w:t>
      </w:r>
      <w:r w:rsidR="00CE4A08">
        <w:rPr>
          <w:rFonts w:cs="Arial"/>
        </w:rPr>
        <w:t>onstruction itself can be a messy activity, particularly for wind farms.</w:t>
      </w:r>
      <w:r>
        <w:rPr>
          <w:rFonts w:cs="Arial"/>
        </w:rPr>
        <w:t xml:space="preserve"> Construction sites include</w:t>
      </w:r>
      <w:r w:rsidR="00CE4A08">
        <w:rPr>
          <w:rFonts w:cs="Arial"/>
        </w:rPr>
        <w:t xml:space="preserve"> </w:t>
      </w:r>
      <w:r>
        <w:rPr>
          <w:rFonts w:cs="Arial"/>
        </w:rPr>
        <w:t>a</w:t>
      </w:r>
      <w:r w:rsidR="00CE4A08">
        <w:rPr>
          <w:rFonts w:cs="Arial"/>
        </w:rPr>
        <w:t xml:space="preserve"> significant amount of civil works, components waiting to be assembled, large trucks and equipment moving around and construction staff requiring </w:t>
      </w:r>
      <w:r>
        <w:rPr>
          <w:rFonts w:cs="Arial"/>
        </w:rPr>
        <w:t xml:space="preserve">on-site </w:t>
      </w:r>
      <w:r w:rsidR="00CE4A08">
        <w:rPr>
          <w:rFonts w:cs="Arial"/>
        </w:rPr>
        <w:t>office space, kitchen</w:t>
      </w:r>
      <w:r>
        <w:rPr>
          <w:rFonts w:cs="Arial"/>
        </w:rPr>
        <w:t xml:space="preserve">s, </w:t>
      </w:r>
      <w:r w:rsidR="00CE4A08">
        <w:rPr>
          <w:rFonts w:cs="Arial"/>
        </w:rPr>
        <w:t>bathroom</w:t>
      </w:r>
      <w:r>
        <w:rPr>
          <w:rFonts w:cs="Arial"/>
        </w:rPr>
        <w:t xml:space="preserve">s, </w:t>
      </w:r>
      <w:r w:rsidR="00CE4A08">
        <w:rPr>
          <w:rFonts w:cs="Arial"/>
        </w:rPr>
        <w:t xml:space="preserve">catering and, in some cases, accommodation. Construction </w:t>
      </w:r>
      <w:r>
        <w:rPr>
          <w:rFonts w:cs="Arial"/>
        </w:rPr>
        <w:t xml:space="preserve">of a wind farm or transmission line generally </w:t>
      </w:r>
      <w:r w:rsidR="00CE4A08">
        <w:rPr>
          <w:rFonts w:cs="Arial"/>
        </w:rPr>
        <w:t xml:space="preserve">consumes a much greater area than when the project is completed. </w:t>
      </w:r>
    </w:p>
    <w:p w14:paraId="134D61EF" w14:textId="5B70912D" w:rsidR="00CE4A08" w:rsidRDefault="004533BE" w:rsidP="00CE4A08">
      <w:pPr>
        <w:pStyle w:val="ListNumber"/>
        <w:numPr>
          <w:ilvl w:val="0"/>
          <w:numId w:val="0"/>
        </w:numPr>
        <w:spacing w:line="264" w:lineRule="auto"/>
        <w:ind w:left="360"/>
        <w:rPr>
          <w:rFonts w:cs="Arial"/>
        </w:rPr>
      </w:pPr>
      <w:r>
        <w:rPr>
          <w:rFonts w:cs="Arial"/>
        </w:rPr>
        <w:t>We suggest that landholders</w:t>
      </w:r>
      <w:r w:rsidR="00CE4A08">
        <w:rPr>
          <w:rFonts w:cs="Arial"/>
        </w:rPr>
        <w:t xml:space="preserve"> plan for the removal of any livestock </w:t>
      </w:r>
      <w:r>
        <w:rPr>
          <w:rFonts w:cs="Arial"/>
        </w:rPr>
        <w:t xml:space="preserve">and cease </w:t>
      </w:r>
      <w:r w:rsidR="00CE4A08">
        <w:rPr>
          <w:rFonts w:cs="Arial"/>
        </w:rPr>
        <w:t xml:space="preserve">farming activities in the affected paddocks during the construction phase. Landholders should also be aware that </w:t>
      </w:r>
      <w:r>
        <w:rPr>
          <w:rFonts w:cs="Arial"/>
        </w:rPr>
        <w:t xml:space="preserve">use of </w:t>
      </w:r>
      <w:r w:rsidR="00CE4A08">
        <w:rPr>
          <w:rFonts w:cs="Arial"/>
        </w:rPr>
        <w:t xml:space="preserve">additional areas of farming land may be required </w:t>
      </w:r>
      <w:r w:rsidR="006E499A">
        <w:rPr>
          <w:rFonts w:cs="Arial"/>
        </w:rPr>
        <w:t>if</w:t>
      </w:r>
      <w:r w:rsidR="00CE4A08">
        <w:rPr>
          <w:rFonts w:cs="Arial"/>
        </w:rPr>
        <w:t xml:space="preserve"> major components of a wind turbine need to be replaced during the operating and maintenance phases of the project.</w:t>
      </w:r>
    </w:p>
    <w:p w14:paraId="1AB2D934" w14:textId="4A83FB83" w:rsidR="00CE4A08" w:rsidRDefault="00CE4A08" w:rsidP="00CE4A08">
      <w:pPr>
        <w:pStyle w:val="ListNumber"/>
        <w:numPr>
          <w:ilvl w:val="0"/>
          <w:numId w:val="0"/>
        </w:numPr>
        <w:spacing w:line="264" w:lineRule="auto"/>
        <w:ind w:left="360"/>
        <w:rPr>
          <w:rFonts w:cs="Arial"/>
        </w:rPr>
      </w:pPr>
      <w:r>
        <w:rPr>
          <w:rFonts w:cs="Arial"/>
        </w:rPr>
        <w:t xml:space="preserve">Landholders should take the opportunity to visit other </w:t>
      </w:r>
      <w:r w:rsidR="004533BE">
        <w:rPr>
          <w:rFonts w:cs="Arial"/>
        </w:rPr>
        <w:t xml:space="preserve">similar </w:t>
      </w:r>
      <w:r>
        <w:rPr>
          <w:rFonts w:cs="Arial"/>
        </w:rPr>
        <w:t xml:space="preserve">projects, both under construction as well as operating, and experience first-hand the extent of the construction works, impacts on the land, and the final outcome in operation.  </w:t>
      </w:r>
    </w:p>
    <w:p w14:paraId="5A436F63" w14:textId="7D35361E" w:rsidR="00CE4A08" w:rsidRDefault="00152035" w:rsidP="00CE4A08">
      <w:pPr>
        <w:pStyle w:val="ListNumber"/>
        <w:numPr>
          <w:ilvl w:val="0"/>
          <w:numId w:val="0"/>
        </w:numPr>
        <w:spacing w:line="264" w:lineRule="auto"/>
        <w:ind w:left="360"/>
        <w:rPr>
          <w:rFonts w:cs="Arial"/>
        </w:rPr>
      </w:pPr>
      <w:r>
        <w:rPr>
          <w:rFonts w:cs="Arial"/>
        </w:rPr>
        <w:t>Landholders</w:t>
      </w:r>
      <w:r w:rsidR="00CE4A08">
        <w:rPr>
          <w:rFonts w:cs="Arial"/>
        </w:rPr>
        <w:t xml:space="preserve"> </w:t>
      </w:r>
      <w:r>
        <w:rPr>
          <w:rFonts w:cs="Arial"/>
        </w:rPr>
        <w:t xml:space="preserve">can experience </w:t>
      </w:r>
      <w:r w:rsidR="00CE4A08">
        <w:rPr>
          <w:rFonts w:cs="Arial"/>
        </w:rPr>
        <w:t>frustration</w:t>
      </w:r>
      <w:r>
        <w:rPr>
          <w:rFonts w:cs="Arial"/>
        </w:rPr>
        <w:t xml:space="preserve"> during the construction of a project</w:t>
      </w:r>
      <w:r w:rsidR="00CE4A08">
        <w:rPr>
          <w:rFonts w:cs="Arial"/>
        </w:rPr>
        <w:t xml:space="preserve"> </w:t>
      </w:r>
      <w:r>
        <w:rPr>
          <w:rFonts w:cs="Arial"/>
        </w:rPr>
        <w:t>due to</w:t>
      </w:r>
      <w:r w:rsidR="00CE4A08">
        <w:rPr>
          <w:rFonts w:cs="Arial"/>
        </w:rPr>
        <w:t xml:space="preserve"> changes to the location and routing of internal roads and underground cabling. To reduce costs and improve access productivity, project contractors and sub-contractors may inadvertently select a different route to the one that had been agreed to with the landholder, causing an unexpected loss of pasture or cropping capacity as well as difficulties in moving livestock across the paddock.</w:t>
      </w:r>
    </w:p>
    <w:p w14:paraId="68151E73" w14:textId="6A2AB452" w:rsidR="00CE4A08" w:rsidRPr="00FC45E9" w:rsidRDefault="00CE4A08" w:rsidP="00CE4A08">
      <w:pPr>
        <w:pStyle w:val="ListNumber"/>
        <w:numPr>
          <w:ilvl w:val="0"/>
          <w:numId w:val="0"/>
        </w:numPr>
        <w:spacing w:line="264" w:lineRule="auto"/>
        <w:ind w:left="360"/>
        <w:rPr>
          <w:rFonts w:cs="Arial"/>
        </w:rPr>
      </w:pPr>
      <w:r>
        <w:rPr>
          <w:rFonts w:cs="Arial"/>
        </w:rPr>
        <w:t>Internal r</w:t>
      </w:r>
      <w:r w:rsidRPr="00FC45E9">
        <w:rPr>
          <w:rFonts w:cs="Arial"/>
        </w:rPr>
        <w:t>oad construction in hill</w:t>
      </w:r>
      <w:r>
        <w:rPr>
          <w:rFonts w:cs="Arial"/>
        </w:rPr>
        <w:t>y</w:t>
      </w:r>
      <w:r w:rsidRPr="00FC45E9">
        <w:rPr>
          <w:rFonts w:cs="Arial"/>
        </w:rPr>
        <w:t xml:space="preserve"> and ridge terrain may lead to large roadway cuttings and embankments that </w:t>
      </w:r>
      <w:r>
        <w:rPr>
          <w:rFonts w:cs="Arial"/>
        </w:rPr>
        <w:t xml:space="preserve">can </w:t>
      </w:r>
      <w:r w:rsidRPr="00FC45E9">
        <w:rPr>
          <w:rFonts w:cs="Arial"/>
        </w:rPr>
        <w:t xml:space="preserve">make it difficult </w:t>
      </w:r>
      <w:r>
        <w:rPr>
          <w:rFonts w:cs="Arial"/>
        </w:rPr>
        <w:t xml:space="preserve">or impossible </w:t>
      </w:r>
      <w:r w:rsidRPr="00FC45E9">
        <w:rPr>
          <w:rFonts w:cs="Arial"/>
        </w:rPr>
        <w:t>to move livestock arou</w:t>
      </w:r>
      <w:r>
        <w:rPr>
          <w:rFonts w:cs="Arial"/>
        </w:rPr>
        <w:t xml:space="preserve">nd the remaining paddock areas. </w:t>
      </w:r>
      <w:r w:rsidRPr="00FC45E9">
        <w:rPr>
          <w:rFonts w:cs="Arial"/>
        </w:rPr>
        <w:t xml:space="preserve">Project roads should be designed to minimise the need for ‘cut and fill’ and vegetation removal, using the natural landscape wherever possible. </w:t>
      </w:r>
    </w:p>
    <w:p w14:paraId="0D3E1ACA" w14:textId="54EE7160" w:rsidR="00CE4A08" w:rsidRDefault="00152035" w:rsidP="00CE4A08">
      <w:pPr>
        <w:pStyle w:val="ListNumber"/>
        <w:numPr>
          <w:ilvl w:val="0"/>
          <w:numId w:val="0"/>
        </w:numPr>
        <w:spacing w:line="264" w:lineRule="auto"/>
        <w:ind w:left="360"/>
        <w:rPr>
          <w:rFonts w:cs="Arial"/>
        </w:rPr>
      </w:pPr>
      <w:r>
        <w:rPr>
          <w:rFonts w:cs="Arial"/>
        </w:rPr>
        <w:t>Developers should engage in b</w:t>
      </w:r>
      <w:r w:rsidR="00CE4A08" w:rsidRPr="00FC45E9">
        <w:rPr>
          <w:rFonts w:cs="Arial"/>
        </w:rPr>
        <w:t xml:space="preserve">est practice gate management </w:t>
      </w:r>
      <w:r>
        <w:rPr>
          <w:rFonts w:cs="Arial"/>
        </w:rPr>
        <w:t xml:space="preserve">and </w:t>
      </w:r>
      <w:r w:rsidR="00CE4A08" w:rsidRPr="00FC45E9">
        <w:rPr>
          <w:rFonts w:cs="Arial"/>
        </w:rPr>
        <w:t xml:space="preserve">design road access and fencing to minimise </w:t>
      </w:r>
      <w:r w:rsidR="00CE4A08">
        <w:rPr>
          <w:rFonts w:cs="Arial"/>
        </w:rPr>
        <w:t xml:space="preserve">degradation to farming land and minimise </w:t>
      </w:r>
      <w:r w:rsidR="00CE4A08" w:rsidRPr="00FC45E9">
        <w:rPr>
          <w:rFonts w:cs="Arial"/>
        </w:rPr>
        <w:t xml:space="preserve">or eliminate the need for </w:t>
      </w:r>
      <w:r w:rsidR="00CE4A08">
        <w:rPr>
          <w:rFonts w:cs="Arial"/>
        </w:rPr>
        <w:t xml:space="preserve">livestock </w:t>
      </w:r>
      <w:r w:rsidR="00CE4A08" w:rsidRPr="00FC45E9">
        <w:rPr>
          <w:rFonts w:cs="Arial"/>
        </w:rPr>
        <w:t>gates</w:t>
      </w:r>
      <w:r w:rsidR="00CE4A08">
        <w:rPr>
          <w:rFonts w:cs="Arial"/>
        </w:rPr>
        <w:t xml:space="preserve"> on internal project roads.</w:t>
      </w:r>
    </w:p>
    <w:p w14:paraId="22967846" w14:textId="5115D1E2" w:rsidR="00CE4A08" w:rsidRPr="00FC45E9" w:rsidRDefault="00CE4A08" w:rsidP="00CE4A08">
      <w:pPr>
        <w:pStyle w:val="ListNumber"/>
        <w:numPr>
          <w:ilvl w:val="0"/>
          <w:numId w:val="0"/>
        </w:numPr>
        <w:spacing w:line="264" w:lineRule="auto"/>
        <w:ind w:left="360"/>
        <w:rPr>
          <w:rFonts w:cs="Arial"/>
        </w:rPr>
      </w:pPr>
      <w:r>
        <w:rPr>
          <w:rFonts w:cs="Arial"/>
        </w:rPr>
        <w:t>Once construction activities have concluded, the developer should ensure that proper and complete rehabilitation of the disrupted land is properly carried out in a timely manner</w:t>
      </w:r>
      <w:r w:rsidR="00152035">
        <w:rPr>
          <w:rFonts w:cs="Arial"/>
        </w:rPr>
        <w:t>, including restoration of paddock topsoil and pasture where required.</w:t>
      </w:r>
    </w:p>
    <w:p w14:paraId="0190D473" w14:textId="1C00076F" w:rsidR="00CE4A08" w:rsidRDefault="00CE4A08" w:rsidP="00CE4A08">
      <w:pPr>
        <w:pStyle w:val="ListNumber"/>
        <w:numPr>
          <w:ilvl w:val="0"/>
          <w:numId w:val="0"/>
        </w:numPr>
        <w:spacing w:line="264" w:lineRule="auto"/>
        <w:ind w:left="360"/>
        <w:rPr>
          <w:rFonts w:cs="Arial"/>
        </w:rPr>
      </w:pPr>
      <w:r w:rsidRPr="00FC45E9">
        <w:rPr>
          <w:rFonts w:cs="Arial"/>
        </w:rPr>
        <w:t xml:space="preserve">A </w:t>
      </w:r>
      <w:r>
        <w:rPr>
          <w:rFonts w:cs="Arial"/>
        </w:rPr>
        <w:t xml:space="preserve">construction </w:t>
      </w:r>
      <w:r w:rsidRPr="00FC45E9">
        <w:rPr>
          <w:rFonts w:cs="Arial"/>
        </w:rPr>
        <w:t>project typically has multiple contractors and sub</w:t>
      </w:r>
      <w:r>
        <w:rPr>
          <w:rFonts w:cs="Arial"/>
        </w:rPr>
        <w:t>-</w:t>
      </w:r>
      <w:r w:rsidRPr="00FC45E9">
        <w:rPr>
          <w:rFonts w:cs="Arial"/>
        </w:rPr>
        <w:t>contractors. It is not always clear who the land</w:t>
      </w:r>
      <w:r>
        <w:rPr>
          <w:rFonts w:cs="Arial"/>
        </w:rPr>
        <w:t>holder</w:t>
      </w:r>
      <w:r w:rsidRPr="00FC45E9">
        <w:rPr>
          <w:rFonts w:cs="Arial"/>
        </w:rPr>
        <w:t xml:space="preserve"> should contact to resolve issues</w:t>
      </w:r>
      <w:r>
        <w:rPr>
          <w:rFonts w:cs="Arial"/>
        </w:rPr>
        <w:t>,</w:t>
      </w:r>
      <w:r w:rsidRPr="00FC45E9">
        <w:rPr>
          <w:rFonts w:cs="Arial"/>
        </w:rPr>
        <w:t xml:space="preserve"> as they inevitably arise</w:t>
      </w:r>
      <w:r>
        <w:rPr>
          <w:rFonts w:cs="Arial"/>
        </w:rPr>
        <w:t>,</w:t>
      </w:r>
      <w:r w:rsidRPr="00FC45E9">
        <w:rPr>
          <w:rFonts w:cs="Arial"/>
        </w:rPr>
        <w:t xml:space="preserve"> during construction</w:t>
      </w:r>
      <w:r>
        <w:rPr>
          <w:rFonts w:cs="Arial"/>
        </w:rPr>
        <w:t xml:space="preserve"> and post-</w:t>
      </w:r>
      <w:r>
        <w:rPr>
          <w:rFonts w:cs="Arial"/>
        </w:rPr>
        <w:lastRenderedPageBreak/>
        <w:t>construction rehabilitation</w:t>
      </w:r>
      <w:r w:rsidRPr="00FC45E9">
        <w:rPr>
          <w:rFonts w:cs="Arial"/>
        </w:rPr>
        <w:t xml:space="preserve">. </w:t>
      </w:r>
      <w:r>
        <w:rPr>
          <w:rFonts w:cs="Arial"/>
        </w:rPr>
        <w:t>D</w:t>
      </w:r>
      <w:r w:rsidRPr="00FC45E9">
        <w:rPr>
          <w:rFonts w:cs="Arial"/>
        </w:rPr>
        <w:t>evelopers should ensure there are clearly defined points of contact for land</w:t>
      </w:r>
      <w:r>
        <w:rPr>
          <w:rFonts w:cs="Arial"/>
        </w:rPr>
        <w:t>hold</w:t>
      </w:r>
      <w:r w:rsidRPr="00FC45E9">
        <w:rPr>
          <w:rFonts w:cs="Arial"/>
        </w:rPr>
        <w:t>ers to raise and resolve issues during construction</w:t>
      </w:r>
      <w:r>
        <w:rPr>
          <w:rFonts w:cs="Arial"/>
        </w:rPr>
        <w:t xml:space="preserve"> and post-construction rehabilitation</w:t>
      </w:r>
      <w:r w:rsidR="00152035">
        <w:rPr>
          <w:rFonts w:cs="Arial"/>
        </w:rPr>
        <w:t xml:space="preserve">. Developers should also design processes to </w:t>
      </w:r>
      <w:r w:rsidRPr="00FC45E9">
        <w:rPr>
          <w:rFonts w:cs="Arial"/>
        </w:rPr>
        <w:t xml:space="preserve">escalate concerns that </w:t>
      </w:r>
      <w:r>
        <w:rPr>
          <w:rFonts w:cs="Arial"/>
        </w:rPr>
        <w:t xml:space="preserve">remain </w:t>
      </w:r>
      <w:r w:rsidRPr="00FC45E9">
        <w:rPr>
          <w:rFonts w:cs="Arial"/>
        </w:rPr>
        <w:t>unresolved.</w:t>
      </w:r>
      <w:r>
        <w:rPr>
          <w:rFonts w:cs="Arial"/>
        </w:rPr>
        <w:t xml:space="preserve"> Regular meetings between the developer and the landholder before and during construction </w:t>
      </w:r>
      <w:r w:rsidR="00152035">
        <w:rPr>
          <w:rFonts w:cs="Arial"/>
        </w:rPr>
        <w:t xml:space="preserve">may </w:t>
      </w:r>
      <w:r>
        <w:rPr>
          <w:rFonts w:cs="Arial"/>
        </w:rPr>
        <w:t xml:space="preserve">provide a forum to discuss and resolve the inevitable changes and issues </w:t>
      </w:r>
      <w:r w:rsidR="00152035">
        <w:rPr>
          <w:rFonts w:cs="Arial"/>
        </w:rPr>
        <w:t xml:space="preserve">that arise </w:t>
      </w:r>
      <w:r>
        <w:rPr>
          <w:rFonts w:cs="Arial"/>
        </w:rPr>
        <w:t>along the way.</w:t>
      </w:r>
    </w:p>
    <w:p w14:paraId="2C32EA0A" w14:textId="77777777" w:rsidR="00CE4A08" w:rsidRPr="007A223C" w:rsidRDefault="00CE4A08" w:rsidP="00F25864">
      <w:pPr>
        <w:pStyle w:val="Heading3"/>
        <w:ind w:firstLine="360"/>
      </w:pPr>
      <w:bookmarkStart w:id="163" w:name="_Toc135390613"/>
      <w:r w:rsidRPr="007A223C">
        <w:t>Outgoings</w:t>
      </w:r>
      <w:bookmarkEnd w:id="163"/>
    </w:p>
    <w:p w14:paraId="158E97D8" w14:textId="629B70B8" w:rsidR="001F43B7" w:rsidRDefault="00CE4A08" w:rsidP="00CE4A08">
      <w:pPr>
        <w:pStyle w:val="ListNumber"/>
        <w:numPr>
          <w:ilvl w:val="0"/>
          <w:numId w:val="0"/>
        </w:numPr>
        <w:spacing w:line="264" w:lineRule="auto"/>
        <w:ind w:left="360"/>
        <w:rPr>
          <w:rFonts w:cs="Arial"/>
        </w:rPr>
      </w:pPr>
      <w:r w:rsidRPr="00FC45E9">
        <w:rPr>
          <w:rFonts w:cs="Arial"/>
        </w:rPr>
        <w:t xml:space="preserve">The addition of </w:t>
      </w:r>
      <w:r>
        <w:rPr>
          <w:rFonts w:cs="Arial"/>
        </w:rPr>
        <w:t xml:space="preserve">energy infrastructure </w:t>
      </w:r>
      <w:r w:rsidRPr="00FC45E9">
        <w:rPr>
          <w:rFonts w:cs="Arial"/>
        </w:rPr>
        <w:t xml:space="preserve">to a rural property is likely to </w:t>
      </w:r>
      <w:r w:rsidR="001F43B7">
        <w:rPr>
          <w:rFonts w:cs="Arial"/>
        </w:rPr>
        <w:t>cause</w:t>
      </w:r>
      <w:r w:rsidR="001F43B7" w:rsidRPr="00FC45E9">
        <w:rPr>
          <w:rFonts w:cs="Arial"/>
        </w:rPr>
        <w:t xml:space="preserve"> </w:t>
      </w:r>
      <w:r w:rsidRPr="00FC45E9">
        <w:rPr>
          <w:rFonts w:cs="Arial"/>
        </w:rPr>
        <w:t xml:space="preserve">increases in </w:t>
      </w:r>
      <w:r>
        <w:rPr>
          <w:rFonts w:cs="Arial"/>
        </w:rPr>
        <w:t xml:space="preserve">property </w:t>
      </w:r>
      <w:r w:rsidRPr="00FC45E9">
        <w:rPr>
          <w:rFonts w:cs="Arial"/>
        </w:rPr>
        <w:t xml:space="preserve">outgoings such as </w:t>
      </w:r>
      <w:r>
        <w:rPr>
          <w:rFonts w:cs="Arial"/>
        </w:rPr>
        <w:t>c</w:t>
      </w:r>
      <w:r w:rsidRPr="00FC45E9">
        <w:rPr>
          <w:rFonts w:cs="Arial"/>
        </w:rPr>
        <w:t xml:space="preserve">ouncil </w:t>
      </w:r>
      <w:r>
        <w:rPr>
          <w:rFonts w:cs="Arial"/>
        </w:rPr>
        <w:t>r</w:t>
      </w:r>
      <w:r w:rsidRPr="00FC45E9">
        <w:rPr>
          <w:rFonts w:cs="Arial"/>
        </w:rPr>
        <w:t xml:space="preserve">ates, </w:t>
      </w:r>
      <w:r>
        <w:rPr>
          <w:rFonts w:cs="Arial"/>
        </w:rPr>
        <w:t>l</w:t>
      </w:r>
      <w:r w:rsidRPr="00FC45E9">
        <w:rPr>
          <w:rFonts w:cs="Arial"/>
        </w:rPr>
        <w:t xml:space="preserve">and </w:t>
      </w:r>
      <w:r>
        <w:rPr>
          <w:rFonts w:cs="Arial"/>
        </w:rPr>
        <w:t>t</w:t>
      </w:r>
      <w:r w:rsidRPr="00FC45E9">
        <w:rPr>
          <w:rFonts w:cs="Arial"/>
        </w:rPr>
        <w:t xml:space="preserve">axes, </w:t>
      </w:r>
      <w:r>
        <w:rPr>
          <w:rFonts w:cs="Arial"/>
        </w:rPr>
        <w:t>i</w:t>
      </w:r>
      <w:r w:rsidRPr="00FC45E9">
        <w:rPr>
          <w:rFonts w:cs="Arial"/>
        </w:rPr>
        <w:t xml:space="preserve">nsurances and other levies. </w:t>
      </w:r>
      <w:r w:rsidR="001F43B7">
        <w:rPr>
          <w:rFonts w:cs="Arial"/>
        </w:rPr>
        <w:t>The asset installation may result in reclassification of primary production use land to industrial use land and may increase valuation of the property.</w:t>
      </w:r>
    </w:p>
    <w:p w14:paraId="38494632" w14:textId="0868C237" w:rsidR="00CE4A08" w:rsidRPr="00FC45E9" w:rsidRDefault="001F43B7" w:rsidP="00CE4A08">
      <w:pPr>
        <w:pStyle w:val="ListNumber"/>
        <w:numPr>
          <w:ilvl w:val="0"/>
          <w:numId w:val="0"/>
        </w:numPr>
        <w:spacing w:line="264" w:lineRule="auto"/>
        <w:ind w:left="360"/>
        <w:rPr>
          <w:rFonts w:cs="Arial"/>
        </w:rPr>
      </w:pPr>
      <w:r>
        <w:rPr>
          <w:rFonts w:cs="Arial"/>
        </w:rPr>
        <w:t>L</w:t>
      </w:r>
      <w:r w:rsidR="00CE4A08" w:rsidRPr="00FC45E9">
        <w:rPr>
          <w:rFonts w:cs="Arial"/>
        </w:rPr>
        <w:t>and</w:t>
      </w:r>
      <w:r w:rsidR="00CE4A08">
        <w:rPr>
          <w:rFonts w:cs="Arial"/>
        </w:rPr>
        <w:t>holder</w:t>
      </w:r>
      <w:r w:rsidR="00CE4A08" w:rsidRPr="00FC45E9">
        <w:rPr>
          <w:rFonts w:cs="Arial"/>
        </w:rPr>
        <w:t xml:space="preserve"> agreements should be </w:t>
      </w:r>
      <w:r w:rsidR="00CE4A08">
        <w:rPr>
          <w:rFonts w:cs="Arial"/>
        </w:rPr>
        <w:t xml:space="preserve">precise and </w:t>
      </w:r>
      <w:r w:rsidR="00CE4A08" w:rsidRPr="00FC45E9">
        <w:rPr>
          <w:rFonts w:cs="Arial"/>
        </w:rPr>
        <w:t xml:space="preserve">clear on which party is responsible for </w:t>
      </w:r>
      <w:r w:rsidR="00CE4A08">
        <w:rPr>
          <w:rFonts w:cs="Arial"/>
        </w:rPr>
        <w:t xml:space="preserve">the cost and </w:t>
      </w:r>
      <w:r w:rsidR="00CE4A08" w:rsidRPr="00FC45E9">
        <w:rPr>
          <w:rFonts w:cs="Arial"/>
        </w:rPr>
        <w:t xml:space="preserve">payment of outgoings and any increase in the outgoings due to the </w:t>
      </w:r>
      <w:r w:rsidR="00CE4A08">
        <w:rPr>
          <w:rFonts w:cs="Arial"/>
        </w:rPr>
        <w:t>project</w:t>
      </w:r>
      <w:r w:rsidR="00CE4A08" w:rsidRPr="00FC45E9">
        <w:rPr>
          <w:rFonts w:cs="Arial"/>
        </w:rPr>
        <w:t xml:space="preserve">. </w:t>
      </w:r>
      <w:r w:rsidR="00702B01">
        <w:rPr>
          <w:rFonts w:cs="Arial"/>
        </w:rPr>
        <w:t>Without a specific agreement between the parties, the</w:t>
      </w:r>
      <w:r w:rsidR="00CE4A08" w:rsidRPr="00FC45E9">
        <w:rPr>
          <w:rFonts w:cs="Arial"/>
        </w:rPr>
        <w:t xml:space="preserve"> land</w:t>
      </w:r>
      <w:r w:rsidR="00CE4A08">
        <w:rPr>
          <w:rFonts w:cs="Arial"/>
        </w:rPr>
        <w:t>hold</w:t>
      </w:r>
      <w:r w:rsidR="00CE4A08" w:rsidRPr="00FC45E9">
        <w:rPr>
          <w:rFonts w:cs="Arial"/>
        </w:rPr>
        <w:t>er</w:t>
      </w:r>
      <w:r w:rsidR="00CE4A08">
        <w:rPr>
          <w:rFonts w:cs="Arial"/>
        </w:rPr>
        <w:t>, as the landlord,</w:t>
      </w:r>
      <w:r w:rsidR="00CE4A08" w:rsidRPr="00FC45E9">
        <w:rPr>
          <w:rFonts w:cs="Arial"/>
        </w:rPr>
        <w:t xml:space="preserve"> is </w:t>
      </w:r>
      <w:r w:rsidR="00702B01">
        <w:rPr>
          <w:rFonts w:cs="Arial"/>
        </w:rPr>
        <w:t xml:space="preserve">generally </w:t>
      </w:r>
      <w:r w:rsidR="00CE4A08" w:rsidRPr="00FC45E9">
        <w:rPr>
          <w:rFonts w:cs="Arial"/>
        </w:rPr>
        <w:t xml:space="preserve">liable for the payment of outgoings in the event the </w:t>
      </w:r>
      <w:r w:rsidR="00CE4A08">
        <w:rPr>
          <w:rFonts w:cs="Arial"/>
        </w:rPr>
        <w:t>project</w:t>
      </w:r>
      <w:r w:rsidR="00CE4A08" w:rsidRPr="00FC45E9">
        <w:rPr>
          <w:rFonts w:cs="Arial"/>
        </w:rPr>
        <w:t xml:space="preserve"> operator defaults</w:t>
      </w:r>
      <w:r w:rsidR="00702B01">
        <w:rPr>
          <w:rFonts w:cs="Arial"/>
        </w:rPr>
        <w:t>.</w:t>
      </w:r>
    </w:p>
    <w:p w14:paraId="6E16B2DB" w14:textId="4829F5A1" w:rsidR="00CE4A08" w:rsidRDefault="003B4D89" w:rsidP="003B4D89">
      <w:pPr>
        <w:pStyle w:val="ListNumber"/>
        <w:numPr>
          <w:ilvl w:val="0"/>
          <w:numId w:val="0"/>
        </w:numPr>
        <w:spacing w:line="264" w:lineRule="auto"/>
        <w:ind w:left="360"/>
        <w:rPr>
          <w:rFonts w:cs="Arial"/>
        </w:rPr>
      </w:pPr>
      <w:r>
        <w:rPr>
          <w:rFonts w:cs="Arial"/>
        </w:rPr>
        <w:t>State jurisdictions vary in their a</w:t>
      </w:r>
      <w:r w:rsidR="00CE4A08" w:rsidRPr="00FC45E9">
        <w:rPr>
          <w:rFonts w:cs="Arial"/>
        </w:rPr>
        <w:t>pproaches to calculate and levy items such as council rates</w:t>
      </w:r>
      <w:r>
        <w:rPr>
          <w:rFonts w:cs="Arial"/>
        </w:rPr>
        <w:t xml:space="preserve"> and</w:t>
      </w:r>
      <w:r w:rsidR="00CE4A08" w:rsidRPr="00FC45E9">
        <w:rPr>
          <w:rFonts w:cs="Arial"/>
        </w:rPr>
        <w:t xml:space="preserve"> land</w:t>
      </w:r>
      <w:r>
        <w:rPr>
          <w:rFonts w:cs="Arial"/>
        </w:rPr>
        <w:t xml:space="preserve"> taxes</w:t>
      </w:r>
      <w:r w:rsidR="00CE4A08" w:rsidRPr="00FC45E9">
        <w:rPr>
          <w:rFonts w:cs="Arial"/>
        </w:rPr>
        <w:t>. Th</w:t>
      </w:r>
      <w:r w:rsidR="00CE4A08">
        <w:rPr>
          <w:rFonts w:cs="Arial"/>
        </w:rPr>
        <w:t xml:space="preserve">e lack of </w:t>
      </w:r>
      <w:r>
        <w:rPr>
          <w:rFonts w:cs="Arial"/>
        </w:rPr>
        <w:t>consistency between jurisdiction</w:t>
      </w:r>
      <w:r w:rsidR="002165F2">
        <w:rPr>
          <w:rFonts w:cs="Arial"/>
        </w:rPr>
        <w:t>al</w:t>
      </w:r>
      <w:r w:rsidR="00CE4A08">
        <w:rPr>
          <w:rFonts w:cs="Arial"/>
        </w:rPr>
        <w:t xml:space="preserve"> approach</w:t>
      </w:r>
      <w:r w:rsidR="002165F2">
        <w:rPr>
          <w:rFonts w:cs="Arial"/>
        </w:rPr>
        <w:t>es</w:t>
      </w:r>
      <w:r w:rsidR="00CE4A08">
        <w:rPr>
          <w:rFonts w:cs="Arial"/>
        </w:rPr>
        <w:t xml:space="preserve"> </w:t>
      </w:r>
      <w:r w:rsidR="00CE4A08" w:rsidRPr="00FC45E9">
        <w:rPr>
          <w:rFonts w:cs="Arial"/>
        </w:rPr>
        <w:t xml:space="preserve">may </w:t>
      </w:r>
      <w:r>
        <w:rPr>
          <w:rFonts w:cs="Arial"/>
        </w:rPr>
        <w:t>have consequences</w:t>
      </w:r>
      <w:r w:rsidR="00CE4A08" w:rsidRPr="00FC45E9">
        <w:rPr>
          <w:rFonts w:cs="Arial"/>
        </w:rPr>
        <w:t xml:space="preserve"> </w:t>
      </w:r>
      <w:r w:rsidR="00CE4A08">
        <w:rPr>
          <w:rFonts w:cs="Arial"/>
        </w:rPr>
        <w:t>from</w:t>
      </w:r>
      <w:r w:rsidR="00CE4A08" w:rsidRPr="00FC45E9">
        <w:rPr>
          <w:rFonts w:cs="Arial"/>
        </w:rPr>
        <w:t xml:space="preserve"> revenue leakage </w:t>
      </w:r>
      <w:r w:rsidR="00CE4A08">
        <w:rPr>
          <w:rFonts w:cs="Arial"/>
        </w:rPr>
        <w:t xml:space="preserve">through to </w:t>
      </w:r>
      <w:r w:rsidR="00CE4A08" w:rsidRPr="00FC45E9">
        <w:rPr>
          <w:rFonts w:cs="Arial"/>
        </w:rPr>
        <w:t xml:space="preserve">unforeseen levy charges. Some actions </w:t>
      </w:r>
      <w:r w:rsidR="00CE4A08">
        <w:rPr>
          <w:rFonts w:cs="Arial"/>
        </w:rPr>
        <w:t xml:space="preserve">to clarify these matters are </w:t>
      </w:r>
      <w:r w:rsidR="00CE4A08" w:rsidRPr="00FC45E9">
        <w:rPr>
          <w:rFonts w:cs="Arial"/>
        </w:rPr>
        <w:t xml:space="preserve">being taken, such as the NSW Valuer-General policy </w:t>
      </w:r>
      <w:r w:rsidR="00CE4A08" w:rsidRPr="00FC45E9">
        <w:rPr>
          <w:rFonts w:cs="Arial"/>
          <w:i/>
        </w:rPr>
        <w:t>Valuation of Land Used as a Wind Farm</w:t>
      </w:r>
      <w:r w:rsidR="00CE4A08" w:rsidRPr="00FC45E9">
        <w:rPr>
          <w:rFonts w:cs="Arial"/>
        </w:rPr>
        <w:t xml:space="preserve"> (New South Wales Government, </w:t>
      </w:r>
      <w:r w:rsidR="00CE4A08">
        <w:rPr>
          <w:rFonts w:cs="Arial"/>
        </w:rPr>
        <w:t>June 2019</w:t>
      </w:r>
      <w:r w:rsidR="00CE4A08" w:rsidRPr="00FC45E9">
        <w:rPr>
          <w:rFonts w:cs="Arial"/>
        </w:rPr>
        <w:t>) but there may well be opportunities for tighter</w:t>
      </w:r>
      <w:r>
        <w:rPr>
          <w:rFonts w:cs="Arial"/>
        </w:rPr>
        <w:t xml:space="preserve">, </w:t>
      </w:r>
      <w:r w:rsidR="00CE4A08">
        <w:rPr>
          <w:rFonts w:cs="Arial"/>
        </w:rPr>
        <w:t xml:space="preserve">consistent </w:t>
      </w:r>
      <w:r w:rsidR="00CE4A08" w:rsidRPr="00FC45E9">
        <w:rPr>
          <w:rFonts w:cs="Arial"/>
        </w:rPr>
        <w:t xml:space="preserve">processes to correctly calculate, levy and collect these </w:t>
      </w:r>
      <w:r w:rsidR="00CE4A08">
        <w:rPr>
          <w:rFonts w:cs="Arial"/>
        </w:rPr>
        <w:t xml:space="preserve">outgoing </w:t>
      </w:r>
      <w:r w:rsidR="00CE4A08" w:rsidRPr="00FC45E9">
        <w:rPr>
          <w:rFonts w:cs="Arial"/>
        </w:rPr>
        <w:t>payments as a result of the deployment of wind turbines</w:t>
      </w:r>
      <w:r w:rsidR="00CE4A08">
        <w:rPr>
          <w:rFonts w:cs="Arial"/>
        </w:rPr>
        <w:t>, solar arrays and other associated assets</w:t>
      </w:r>
      <w:r w:rsidR="00CE4A08" w:rsidRPr="00FC45E9">
        <w:rPr>
          <w:rFonts w:cs="Arial"/>
        </w:rPr>
        <w:t xml:space="preserve"> on the land.</w:t>
      </w:r>
    </w:p>
    <w:p w14:paraId="77D8770A" w14:textId="3698E417" w:rsidR="00CE4A08" w:rsidRPr="000F0188" w:rsidRDefault="00CE4A08" w:rsidP="00CE4A08">
      <w:pPr>
        <w:pStyle w:val="ListNumber"/>
        <w:numPr>
          <w:ilvl w:val="0"/>
          <w:numId w:val="0"/>
        </w:numPr>
        <w:spacing w:line="264" w:lineRule="auto"/>
        <w:ind w:left="360"/>
        <w:rPr>
          <w:rFonts w:cs="Arial"/>
        </w:rPr>
      </w:pPr>
      <w:r w:rsidRPr="000F0188">
        <w:rPr>
          <w:rFonts w:cs="Arial"/>
        </w:rPr>
        <w:t xml:space="preserve">Case law should also be monitored on these topics. A recent case, </w:t>
      </w:r>
      <w:r w:rsidRPr="000F0188">
        <w:rPr>
          <w:rFonts w:cs="Arial"/>
          <w:i/>
        </w:rPr>
        <w:t xml:space="preserve">AWF Prop Co 2 Pty Ltd v Ararat Rural City Council </w:t>
      </w:r>
      <w:r w:rsidR="003B4D89" w:rsidRPr="000F0188">
        <w:rPr>
          <w:rFonts w:cs="Arial"/>
          <w:iCs/>
        </w:rPr>
        <w:t>[2020] VSC 853</w:t>
      </w:r>
      <w:r w:rsidRPr="000F0188">
        <w:rPr>
          <w:rFonts w:cs="Arial"/>
        </w:rPr>
        <w:t>, may provide some clarity around the valuation methodology for land and capital improved value of land that is occupied by wind farm assets. This decision was appealed to the Victorian Court of Appeal, however the Court of Appeal agreed with the original judgment that the above-ground wind farm assets of the Ararat Wind Farm were chattels and therefore excluded from the land valuation.</w:t>
      </w:r>
    </w:p>
    <w:p w14:paraId="465BA1A9" w14:textId="35D4EDC5" w:rsidR="00CE4A08" w:rsidRDefault="00CE4A08" w:rsidP="00CE4A08">
      <w:pPr>
        <w:pStyle w:val="ListNumber"/>
        <w:numPr>
          <w:ilvl w:val="0"/>
          <w:numId w:val="0"/>
        </w:numPr>
        <w:spacing w:line="264" w:lineRule="auto"/>
        <w:ind w:left="360"/>
        <w:rPr>
          <w:rStyle w:val="Emphasis"/>
          <w:rFonts w:cs="Arial"/>
          <w:i w:val="0"/>
          <w:iCs w:val="0"/>
          <w:shd w:val="clear" w:color="auto" w:fill="FFFFFF"/>
        </w:rPr>
      </w:pPr>
      <w:r w:rsidRPr="000F0188">
        <w:rPr>
          <w:rFonts w:cs="Arial"/>
        </w:rPr>
        <w:t xml:space="preserve">By contrast, in the matter of </w:t>
      </w:r>
      <w:r w:rsidRPr="000F0188">
        <w:rPr>
          <w:rStyle w:val="Emphasis"/>
          <w:rFonts w:cs="Arial"/>
          <w:shd w:val="clear" w:color="auto" w:fill="FFFFFF"/>
        </w:rPr>
        <w:t xml:space="preserve">SPIC Pacific Hydro Pty Ltd v Chief Commissioner of State Revenue </w:t>
      </w:r>
      <w:r w:rsidR="003B4D89" w:rsidRPr="000F0188">
        <w:rPr>
          <w:rStyle w:val="Emphasis"/>
          <w:rFonts w:cs="Arial"/>
          <w:i w:val="0"/>
          <w:iCs w:val="0"/>
          <w:shd w:val="clear" w:color="auto" w:fill="FFFFFF"/>
        </w:rPr>
        <w:t>[2021] NSWSC 395</w:t>
      </w:r>
      <w:r w:rsidRPr="000F0188">
        <w:rPr>
          <w:rStyle w:val="Emphasis"/>
          <w:rFonts w:cs="Arial"/>
          <w:shd w:val="clear" w:color="auto" w:fill="FFFFFF"/>
        </w:rPr>
        <w:t xml:space="preserve">, </w:t>
      </w:r>
      <w:r w:rsidRPr="000F0188">
        <w:rPr>
          <w:rStyle w:val="Emphasis"/>
          <w:rFonts w:cs="Arial"/>
          <w:i w:val="0"/>
          <w:iCs w:val="0"/>
          <w:shd w:val="clear" w:color="auto" w:fill="FFFFFF"/>
        </w:rPr>
        <w:t>the Supreme Court of New South Wales ruled that the wind farm assets affixed to the leased land were fixtures rather than chattels, resulting in a significantly higher valuation for the purposes of assessing landholder duty.</w:t>
      </w:r>
    </w:p>
    <w:p w14:paraId="4455A0F1" w14:textId="0CC10632" w:rsidR="00CE4A08" w:rsidRPr="00AC47FA" w:rsidRDefault="00CE4A08" w:rsidP="00CE4A08">
      <w:pPr>
        <w:pStyle w:val="ListNumber"/>
        <w:numPr>
          <w:ilvl w:val="0"/>
          <w:numId w:val="0"/>
        </w:numPr>
        <w:spacing w:line="264" w:lineRule="auto"/>
        <w:ind w:left="360"/>
        <w:rPr>
          <w:rFonts w:cs="Arial"/>
        </w:rPr>
      </w:pPr>
      <w:r>
        <w:rPr>
          <w:rStyle w:val="Emphasis"/>
          <w:rFonts w:cs="Arial"/>
          <w:i w:val="0"/>
          <w:iCs w:val="0"/>
          <w:shd w:val="clear" w:color="auto" w:fill="FFFFFF"/>
        </w:rPr>
        <w:t xml:space="preserve">Such decisions can have momentous impacts on the liability incurred by the landholder or purchaser from outgoings and it is best to clearly agree </w:t>
      </w:r>
      <w:r w:rsidR="006D502D">
        <w:rPr>
          <w:rStyle w:val="Emphasis"/>
          <w:rFonts w:cs="Arial"/>
          <w:i w:val="0"/>
          <w:iCs w:val="0"/>
          <w:shd w:val="clear" w:color="auto" w:fill="FFFFFF"/>
        </w:rPr>
        <w:t xml:space="preserve">on </w:t>
      </w:r>
      <w:r>
        <w:rPr>
          <w:rStyle w:val="Emphasis"/>
          <w:rFonts w:cs="Arial"/>
          <w:i w:val="0"/>
          <w:iCs w:val="0"/>
          <w:shd w:val="clear" w:color="auto" w:fill="FFFFFF"/>
        </w:rPr>
        <w:t>who pays such liabilities in the host agreement.</w:t>
      </w:r>
    </w:p>
    <w:p w14:paraId="240C2182" w14:textId="77777777" w:rsidR="00CE4A08" w:rsidRPr="007A223C" w:rsidRDefault="00CE4A08" w:rsidP="00F25864">
      <w:pPr>
        <w:pStyle w:val="Heading3"/>
        <w:ind w:firstLine="360"/>
      </w:pPr>
      <w:bookmarkStart w:id="164" w:name="_Toc135390614"/>
      <w:r w:rsidRPr="007A223C">
        <w:t>Decommissioning</w:t>
      </w:r>
      <w:bookmarkEnd w:id="164"/>
    </w:p>
    <w:p w14:paraId="006E378C" w14:textId="4B932B6C" w:rsidR="00CE4A08" w:rsidRPr="00FC45E9" w:rsidRDefault="00CE4A08" w:rsidP="00CE4A08">
      <w:pPr>
        <w:pStyle w:val="ListNumber"/>
        <w:numPr>
          <w:ilvl w:val="0"/>
          <w:numId w:val="0"/>
        </w:numPr>
        <w:spacing w:line="264" w:lineRule="auto"/>
        <w:ind w:left="360"/>
        <w:rPr>
          <w:rFonts w:cs="Arial"/>
        </w:rPr>
      </w:pPr>
      <w:r w:rsidRPr="00FC45E9">
        <w:rPr>
          <w:rFonts w:cs="Arial"/>
        </w:rPr>
        <w:t xml:space="preserve">At the end of the </w:t>
      </w:r>
      <w:r>
        <w:rPr>
          <w:rFonts w:cs="Arial"/>
        </w:rPr>
        <w:t>project</w:t>
      </w:r>
      <w:r w:rsidRPr="00FC45E9">
        <w:rPr>
          <w:rFonts w:cs="Arial"/>
        </w:rPr>
        <w:t xml:space="preserve">’s operating life, the clear expectation of all stakeholders is that the </w:t>
      </w:r>
      <w:r>
        <w:rPr>
          <w:rFonts w:cs="Arial"/>
        </w:rPr>
        <w:t xml:space="preserve">project’s assets and infrastructure </w:t>
      </w:r>
      <w:r w:rsidRPr="00FC45E9">
        <w:rPr>
          <w:rFonts w:cs="Arial"/>
        </w:rPr>
        <w:t xml:space="preserve">will be </w:t>
      </w:r>
      <w:r>
        <w:rPr>
          <w:rFonts w:cs="Arial"/>
        </w:rPr>
        <w:t xml:space="preserve">fully </w:t>
      </w:r>
      <w:r w:rsidRPr="00FC45E9">
        <w:rPr>
          <w:rFonts w:cs="Arial"/>
        </w:rPr>
        <w:t>decommissioned</w:t>
      </w:r>
      <w:r>
        <w:rPr>
          <w:rFonts w:cs="Arial"/>
        </w:rPr>
        <w:t xml:space="preserve">, with </w:t>
      </w:r>
      <w:r w:rsidRPr="00FC45E9">
        <w:rPr>
          <w:rFonts w:cs="Arial"/>
        </w:rPr>
        <w:t>all turbines</w:t>
      </w:r>
      <w:r>
        <w:rPr>
          <w:rFonts w:cs="Arial"/>
        </w:rPr>
        <w:t xml:space="preserve">, arrays, batteries </w:t>
      </w:r>
      <w:r w:rsidRPr="00FC45E9">
        <w:rPr>
          <w:rFonts w:cs="Arial"/>
        </w:rPr>
        <w:t xml:space="preserve">and other infrastructure </w:t>
      </w:r>
      <w:r>
        <w:rPr>
          <w:rFonts w:cs="Arial"/>
        </w:rPr>
        <w:t xml:space="preserve">being </w:t>
      </w:r>
      <w:r w:rsidRPr="00FC45E9">
        <w:rPr>
          <w:rFonts w:cs="Arial"/>
        </w:rPr>
        <w:t>removed from the property</w:t>
      </w:r>
      <w:r>
        <w:rPr>
          <w:rFonts w:cs="Arial"/>
        </w:rPr>
        <w:t>. T</w:t>
      </w:r>
      <w:r w:rsidR="00595921">
        <w:rPr>
          <w:rFonts w:cs="Arial"/>
        </w:rPr>
        <w:t>o the extent that it is possible, t</w:t>
      </w:r>
      <w:r w:rsidRPr="00FC45E9">
        <w:rPr>
          <w:rFonts w:cs="Arial"/>
        </w:rPr>
        <w:t xml:space="preserve">he </w:t>
      </w:r>
      <w:r>
        <w:rPr>
          <w:rFonts w:cs="Arial"/>
        </w:rPr>
        <w:t xml:space="preserve">landholder’s </w:t>
      </w:r>
      <w:r w:rsidRPr="00FC45E9">
        <w:rPr>
          <w:rFonts w:cs="Arial"/>
        </w:rPr>
        <w:t xml:space="preserve">property </w:t>
      </w:r>
      <w:r>
        <w:rPr>
          <w:rFonts w:cs="Arial"/>
        </w:rPr>
        <w:t xml:space="preserve">should be returned </w:t>
      </w:r>
      <w:r w:rsidRPr="00FC45E9">
        <w:rPr>
          <w:rFonts w:cs="Arial"/>
        </w:rPr>
        <w:t>to its original condition</w:t>
      </w:r>
      <w:r w:rsidR="00595921">
        <w:rPr>
          <w:rFonts w:cs="Arial"/>
        </w:rPr>
        <w:t>.</w:t>
      </w:r>
    </w:p>
    <w:p w14:paraId="1F5595A2" w14:textId="4EC131A4" w:rsidR="00CE4A08" w:rsidRPr="00FC45E9" w:rsidRDefault="00CE4A08" w:rsidP="00CE4A08">
      <w:pPr>
        <w:pStyle w:val="ListNumber"/>
        <w:numPr>
          <w:ilvl w:val="0"/>
          <w:numId w:val="0"/>
        </w:numPr>
        <w:spacing w:line="264" w:lineRule="auto"/>
        <w:ind w:left="360"/>
        <w:rPr>
          <w:rFonts w:cs="Arial"/>
        </w:rPr>
      </w:pPr>
      <w:r>
        <w:rPr>
          <w:rFonts w:cs="Arial"/>
        </w:rPr>
        <w:t xml:space="preserve">Most planning permits state that decommissioning responsibilities </w:t>
      </w:r>
      <w:r w:rsidRPr="00FC45E9">
        <w:rPr>
          <w:rFonts w:cs="Arial"/>
        </w:rPr>
        <w:t xml:space="preserve">rest with the </w:t>
      </w:r>
      <w:r>
        <w:rPr>
          <w:rFonts w:cs="Arial"/>
        </w:rPr>
        <w:t xml:space="preserve">project </w:t>
      </w:r>
      <w:r w:rsidRPr="00FC45E9">
        <w:rPr>
          <w:rFonts w:cs="Arial"/>
        </w:rPr>
        <w:t>o</w:t>
      </w:r>
      <w:r>
        <w:rPr>
          <w:rFonts w:cs="Arial"/>
        </w:rPr>
        <w:t>wner (</w:t>
      </w:r>
      <w:r w:rsidR="006E499A">
        <w:rPr>
          <w:rFonts w:cs="Arial"/>
        </w:rPr>
        <w:t>i.e.</w:t>
      </w:r>
      <w:r>
        <w:rPr>
          <w:rFonts w:cs="Arial"/>
        </w:rPr>
        <w:t xml:space="preserve"> the tenant)</w:t>
      </w:r>
      <w:r w:rsidRPr="00FC45E9">
        <w:rPr>
          <w:rFonts w:cs="Arial"/>
        </w:rPr>
        <w:t xml:space="preserve">. However, in the event of default by the </w:t>
      </w:r>
      <w:r>
        <w:rPr>
          <w:rFonts w:cs="Arial"/>
        </w:rPr>
        <w:t>project owner</w:t>
      </w:r>
      <w:r w:rsidRPr="00FC45E9">
        <w:rPr>
          <w:rFonts w:cs="Arial"/>
        </w:rPr>
        <w:t xml:space="preserve">, the liability for decommissioning ultimately </w:t>
      </w:r>
      <w:r>
        <w:rPr>
          <w:rFonts w:cs="Arial"/>
        </w:rPr>
        <w:t xml:space="preserve">may </w:t>
      </w:r>
      <w:r w:rsidRPr="00FC45E9">
        <w:rPr>
          <w:rFonts w:cs="Arial"/>
        </w:rPr>
        <w:t>rest with the land</w:t>
      </w:r>
      <w:r>
        <w:rPr>
          <w:rFonts w:cs="Arial"/>
        </w:rPr>
        <w:t>holder</w:t>
      </w:r>
      <w:r w:rsidRPr="00FC45E9">
        <w:rPr>
          <w:rFonts w:cs="Arial"/>
        </w:rPr>
        <w:t xml:space="preserve">. </w:t>
      </w:r>
      <w:r w:rsidR="00200644">
        <w:rPr>
          <w:rFonts w:cs="Arial"/>
        </w:rPr>
        <w:t>T</w:t>
      </w:r>
      <w:r w:rsidRPr="00FC45E9">
        <w:rPr>
          <w:rFonts w:cs="Arial"/>
        </w:rPr>
        <w:t>he land</w:t>
      </w:r>
      <w:r>
        <w:rPr>
          <w:rFonts w:cs="Arial"/>
        </w:rPr>
        <w:t>holder</w:t>
      </w:r>
      <w:r w:rsidRPr="00FC45E9">
        <w:rPr>
          <w:rFonts w:cs="Arial"/>
        </w:rPr>
        <w:t xml:space="preserve"> </w:t>
      </w:r>
      <w:r w:rsidR="00595921">
        <w:rPr>
          <w:rFonts w:cs="Arial"/>
        </w:rPr>
        <w:t>generally</w:t>
      </w:r>
      <w:r w:rsidR="00595921" w:rsidRPr="00FC45E9">
        <w:rPr>
          <w:rFonts w:cs="Arial"/>
        </w:rPr>
        <w:t xml:space="preserve"> </w:t>
      </w:r>
      <w:r w:rsidRPr="00FC45E9">
        <w:rPr>
          <w:rFonts w:cs="Arial"/>
        </w:rPr>
        <w:t xml:space="preserve">does not have ownership of the </w:t>
      </w:r>
      <w:r>
        <w:rPr>
          <w:rFonts w:cs="Arial"/>
        </w:rPr>
        <w:t xml:space="preserve">project’s </w:t>
      </w:r>
      <w:r w:rsidRPr="00FC45E9">
        <w:rPr>
          <w:rFonts w:cs="Arial"/>
        </w:rPr>
        <w:t xml:space="preserve">assets and </w:t>
      </w:r>
      <w:r>
        <w:rPr>
          <w:rFonts w:cs="Arial"/>
        </w:rPr>
        <w:t>may be</w:t>
      </w:r>
      <w:r w:rsidRPr="00FC45E9">
        <w:rPr>
          <w:rFonts w:cs="Arial"/>
        </w:rPr>
        <w:t xml:space="preserve"> unable to recover the costs of any decommissioning activities </w:t>
      </w:r>
      <w:r>
        <w:rPr>
          <w:rFonts w:cs="Arial"/>
        </w:rPr>
        <w:t>from</w:t>
      </w:r>
      <w:r w:rsidRPr="00FC45E9">
        <w:rPr>
          <w:rFonts w:cs="Arial"/>
        </w:rPr>
        <w:t xml:space="preserve"> selling the assets remaining on the property. </w:t>
      </w:r>
      <w:r>
        <w:rPr>
          <w:rFonts w:cs="Arial"/>
        </w:rPr>
        <w:t xml:space="preserve">Project </w:t>
      </w:r>
      <w:r w:rsidRPr="00FC45E9">
        <w:rPr>
          <w:rFonts w:cs="Arial"/>
        </w:rPr>
        <w:t xml:space="preserve">operators/owners may change many times during the life of the </w:t>
      </w:r>
      <w:r w:rsidR="006E499A">
        <w:rPr>
          <w:rFonts w:cs="Arial"/>
        </w:rPr>
        <w:t>project,</w:t>
      </w:r>
      <w:r w:rsidR="00595921">
        <w:rPr>
          <w:rFonts w:cs="Arial"/>
        </w:rPr>
        <w:t xml:space="preserve"> and this may </w:t>
      </w:r>
      <w:r>
        <w:rPr>
          <w:rFonts w:cs="Arial"/>
        </w:rPr>
        <w:t xml:space="preserve">put at risk any long-term funding arrangements to cover the costs of decommissioning </w:t>
      </w:r>
      <w:r w:rsidR="00595921">
        <w:rPr>
          <w:rFonts w:cs="Arial"/>
        </w:rPr>
        <w:t>or</w:t>
      </w:r>
      <w:r>
        <w:rPr>
          <w:rFonts w:cs="Arial"/>
        </w:rPr>
        <w:t xml:space="preserve"> erod</w:t>
      </w:r>
      <w:r w:rsidR="00595921">
        <w:rPr>
          <w:rFonts w:cs="Arial"/>
        </w:rPr>
        <w:t>e</w:t>
      </w:r>
      <w:r>
        <w:rPr>
          <w:rFonts w:cs="Arial"/>
        </w:rPr>
        <w:t xml:space="preserve"> the enforceability of verbal agreements made over time</w:t>
      </w:r>
      <w:r w:rsidRPr="00FC45E9">
        <w:rPr>
          <w:rFonts w:cs="Arial"/>
        </w:rPr>
        <w:t>.</w:t>
      </w:r>
    </w:p>
    <w:p w14:paraId="315A1BEE" w14:textId="649A46DA" w:rsidR="00CE4A08" w:rsidRDefault="00B57B90" w:rsidP="00CE4A08">
      <w:pPr>
        <w:pStyle w:val="ListNumber"/>
        <w:numPr>
          <w:ilvl w:val="0"/>
          <w:numId w:val="0"/>
        </w:numPr>
        <w:spacing w:line="264" w:lineRule="auto"/>
        <w:ind w:left="360"/>
        <w:rPr>
          <w:rFonts w:cs="Arial"/>
        </w:rPr>
      </w:pPr>
      <w:r>
        <w:rPr>
          <w:rFonts w:cs="Arial"/>
        </w:rPr>
        <w:lastRenderedPageBreak/>
        <w:t>Landholders should ensure that</w:t>
      </w:r>
      <w:r w:rsidR="00CE4A08" w:rsidRPr="00FC45E9">
        <w:rPr>
          <w:rFonts w:cs="Arial"/>
        </w:rPr>
        <w:t xml:space="preserve"> any commercial agreement to host </w:t>
      </w:r>
      <w:r w:rsidR="00CE4A08">
        <w:rPr>
          <w:rFonts w:cs="Arial"/>
        </w:rPr>
        <w:t xml:space="preserve">assets </w:t>
      </w:r>
      <w:r w:rsidR="00CE4A08" w:rsidRPr="00FC45E9">
        <w:rPr>
          <w:rFonts w:cs="Arial"/>
        </w:rPr>
        <w:t xml:space="preserve">and </w:t>
      </w:r>
      <w:r w:rsidR="00CE4A08">
        <w:rPr>
          <w:rFonts w:cs="Arial"/>
        </w:rPr>
        <w:t xml:space="preserve">the related </w:t>
      </w:r>
      <w:r w:rsidR="00CE4A08" w:rsidRPr="00FC45E9">
        <w:rPr>
          <w:rFonts w:cs="Arial"/>
        </w:rPr>
        <w:t>infrastructure clearly sets out the responsibilities</w:t>
      </w:r>
      <w:r w:rsidR="00CE4A08">
        <w:rPr>
          <w:rFonts w:cs="Arial"/>
        </w:rPr>
        <w:t xml:space="preserve"> and funding arrangements </w:t>
      </w:r>
      <w:r w:rsidR="00CE4A08" w:rsidRPr="00FC45E9">
        <w:rPr>
          <w:rFonts w:cs="Arial"/>
        </w:rPr>
        <w:t>for decommissioning and restoring the site</w:t>
      </w:r>
      <w:r w:rsidR="00CE4A08">
        <w:rPr>
          <w:rFonts w:cs="Arial"/>
        </w:rPr>
        <w:t xml:space="preserve">. </w:t>
      </w:r>
      <w:r>
        <w:rPr>
          <w:rFonts w:cs="Arial"/>
        </w:rPr>
        <w:t xml:space="preserve">The agreement </w:t>
      </w:r>
      <w:r w:rsidR="00CE4A08">
        <w:rPr>
          <w:rFonts w:cs="Arial"/>
        </w:rPr>
        <w:t>should provide the mechanism for securing and maintaining the funding to required pay for decommissioning costs.</w:t>
      </w:r>
    </w:p>
    <w:p w14:paraId="68EE41A7" w14:textId="019B6952" w:rsidR="00CE4A08" w:rsidRDefault="00CE4A08" w:rsidP="00CE4A08">
      <w:pPr>
        <w:pStyle w:val="ListNumber"/>
        <w:numPr>
          <w:ilvl w:val="0"/>
          <w:numId w:val="0"/>
        </w:numPr>
        <w:spacing w:line="264" w:lineRule="auto"/>
        <w:ind w:left="360"/>
        <w:rPr>
          <w:rFonts w:cs="Arial"/>
        </w:rPr>
      </w:pPr>
      <w:r w:rsidRPr="00FC45E9">
        <w:rPr>
          <w:rFonts w:cs="Arial"/>
        </w:rPr>
        <w:t>A land</w:t>
      </w:r>
      <w:r>
        <w:rPr>
          <w:rFonts w:cs="Arial"/>
        </w:rPr>
        <w:t>holder</w:t>
      </w:r>
      <w:r w:rsidRPr="00FC45E9">
        <w:rPr>
          <w:rFonts w:cs="Arial"/>
        </w:rPr>
        <w:t xml:space="preserve"> may seek evidence that the </w:t>
      </w:r>
      <w:r>
        <w:rPr>
          <w:rFonts w:cs="Arial"/>
        </w:rPr>
        <w:t xml:space="preserve">project owner </w:t>
      </w:r>
      <w:r w:rsidRPr="00FC45E9">
        <w:rPr>
          <w:rFonts w:cs="Arial"/>
        </w:rPr>
        <w:t xml:space="preserve">has the capacity to fund the decommissioning activity and that such funds are properly set aside securely for that purpose. </w:t>
      </w:r>
      <w:r w:rsidR="006C2FBC">
        <w:rPr>
          <w:rFonts w:cs="Arial"/>
        </w:rPr>
        <w:t>This could be achieved through</w:t>
      </w:r>
      <w:r w:rsidRPr="00FC45E9">
        <w:rPr>
          <w:rFonts w:cs="Arial"/>
        </w:rPr>
        <w:t xml:space="preserve"> </w:t>
      </w:r>
      <w:r w:rsidR="006C2FBC">
        <w:rPr>
          <w:rFonts w:cs="Arial"/>
        </w:rPr>
        <w:t xml:space="preserve">a </w:t>
      </w:r>
      <w:r w:rsidRPr="00FC45E9">
        <w:rPr>
          <w:rFonts w:cs="Arial"/>
        </w:rPr>
        <w:t xml:space="preserve">bank guarantee, sinking fund, trust fund or a </w:t>
      </w:r>
      <w:r>
        <w:rPr>
          <w:rFonts w:cs="Arial"/>
        </w:rPr>
        <w:t xml:space="preserve">security bond </w:t>
      </w:r>
      <w:r w:rsidRPr="00FC45E9">
        <w:rPr>
          <w:rFonts w:cs="Arial"/>
        </w:rPr>
        <w:t>deposit.</w:t>
      </w:r>
      <w:r>
        <w:rPr>
          <w:rFonts w:cs="Arial"/>
        </w:rPr>
        <w:t xml:space="preserve"> For example, t</w:t>
      </w:r>
      <w:r>
        <w:t xml:space="preserve">he Offshore Electricity Infrastructure framework requires </w:t>
      </w:r>
      <w:r w:rsidR="006E499A">
        <w:t>offshore</w:t>
      </w:r>
      <w:r>
        <w:t xml:space="preserve"> wind farm licence holders to decommission all infrastructure and address environmental remediation at the end of a project’s life. </w:t>
      </w:r>
      <w:r w:rsidRPr="00A8185D">
        <w:rPr>
          <w:rFonts w:cs="Arial"/>
        </w:rPr>
        <w:t xml:space="preserve">Developers </w:t>
      </w:r>
      <w:r>
        <w:rPr>
          <w:rFonts w:cs="Arial"/>
        </w:rPr>
        <w:t>are</w:t>
      </w:r>
      <w:r w:rsidRPr="00A8185D">
        <w:rPr>
          <w:rFonts w:cs="Arial"/>
        </w:rPr>
        <w:t xml:space="preserve"> required to provide financial security that covers the cost of decommissioning infrastructure</w:t>
      </w:r>
      <w:r>
        <w:rPr>
          <w:rFonts w:cs="Arial"/>
        </w:rPr>
        <w:t xml:space="preserve"> to ensure these costs are not borne by the Australian Government</w:t>
      </w:r>
      <w:r w:rsidRPr="00A8185D">
        <w:rPr>
          <w:rFonts w:cs="Arial"/>
        </w:rPr>
        <w:t>.</w:t>
      </w:r>
    </w:p>
    <w:p w14:paraId="1759911B" w14:textId="32B25E3A" w:rsidR="00CE4A08" w:rsidRDefault="00CE4A08" w:rsidP="00CE4A08">
      <w:pPr>
        <w:pStyle w:val="ListNumber"/>
        <w:numPr>
          <w:ilvl w:val="0"/>
          <w:numId w:val="0"/>
        </w:numPr>
        <w:spacing w:line="264" w:lineRule="auto"/>
        <w:ind w:left="360"/>
        <w:rPr>
          <w:rFonts w:cs="Arial"/>
        </w:rPr>
      </w:pPr>
      <w:r w:rsidRPr="002C70C7">
        <w:rPr>
          <w:rFonts w:cs="Arial"/>
        </w:rPr>
        <w:t xml:space="preserve">While there are no documented examples of costs to decommission a contemporary wind turbine </w:t>
      </w:r>
      <w:r>
        <w:rPr>
          <w:rFonts w:cs="Arial"/>
        </w:rPr>
        <w:t xml:space="preserve">or solar farm </w:t>
      </w:r>
      <w:r w:rsidRPr="002C70C7">
        <w:rPr>
          <w:rFonts w:cs="Arial"/>
        </w:rPr>
        <w:t xml:space="preserve">in Australia, some published decommissioning plans have calculated costs </w:t>
      </w:r>
      <w:r w:rsidR="005E1CA9">
        <w:rPr>
          <w:rFonts w:cs="Arial"/>
        </w:rPr>
        <w:t xml:space="preserve">of about </w:t>
      </w:r>
      <w:r w:rsidRPr="002C70C7">
        <w:rPr>
          <w:rFonts w:cs="Arial"/>
        </w:rPr>
        <w:t xml:space="preserve">$400,000 per turbine. </w:t>
      </w:r>
      <w:r>
        <w:rPr>
          <w:rFonts w:cs="Arial"/>
        </w:rPr>
        <w:t xml:space="preserve">This cost could increase for larger turbines and could range up to $600,000 per turbine or more. If a turbine has a structural failure and is unstable, it could cost millions of dollars to safely remove the turbine from site. </w:t>
      </w:r>
    </w:p>
    <w:p w14:paraId="6220641E" w14:textId="004610BE" w:rsidR="00CE4A08" w:rsidRDefault="00CE4A08" w:rsidP="00CE4A08">
      <w:pPr>
        <w:pStyle w:val="ListNumber"/>
        <w:numPr>
          <w:ilvl w:val="0"/>
          <w:numId w:val="0"/>
        </w:numPr>
        <w:spacing w:line="264" w:lineRule="auto"/>
        <w:ind w:left="360"/>
        <w:rPr>
          <w:rFonts w:cs="Arial"/>
        </w:rPr>
      </w:pPr>
      <w:r w:rsidRPr="002C70C7">
        <w:rPr>
          <w:rFonts w:cs="Arial"/>
        </w:rPr>
        <w:t xml:space="preserve">To put these costs into perspective, the </w:t>
      </w:r>
      <w:r>
        <w:rPr>
          <w:rFonts w:cs="Arial"/>
        </w:rPr>
        <w:t xml:space="preserve">total </w:t>
      </w:r>
      <w:r w:rsidRPr="002C70C7">
        <w:rPr>
          <w:rFonts w:cs="Arial"/>
        </w:rPr>
        <w:t>fees</w:t>
      </w:r>
      <w:r>
        <w:rPr>
          <w:rFonts w:cs="Arial"/>
        </w:rPr>
        <w:t xml:space="preserve"> earned for hosting a wind turbine for 25 years could be in the range of $250,000 - $750,000 (depending</w:t>
      </w:r>
      <w:r w:rsidR="005E1CA9">
        <w:rPr>
          <w:rFonts w:cs="Arial"/>
        </w:rPr>
        <w:t xml:space="preserve"> </w:t>
      </w:r>
      <w:r>
        <w:rPr>
          <w:rFonts w:cs="Arial"/>
        </w:rPr>
        <w:t xml:space="preserve">on the turbine capacity and when the wind farm commenced operations). It is therefore possible that the cost to decommission a turbine could be equal to or greater than the total income generated for the landholder over the </w:t>
      </w:r>
      <w:r w:rsidR="006E499A">
        <w:rPr>
          <w:rFonts w:cs="Arial"/>
        </w:rPr>
        <w:t>25-year</w:t>
      </w:r>
      <w:r>
        <w:rPr>
          <w:rFonts w:cs="Arial"/>
        </w:rPr>
        <w:t xml:space="preserve"> operating period.</w:t>
      </w:r>
    </w:p>
    <w:p w14:paraId="0FADAC4B" w14:textId="5FAE59C8" w:rsidR="00CE4A08" w:rsidRDefault="00CE4A08" w:rsidP="007B5C4C">
      <w:pPr>
        <w:pStyle w:val="ListNumber"/>
        <w:numPr>
          <w:ilvl w:val="0"/>
          <w:numId w:val="0"/>
        </w:numPr>
        <w:spacing w:line="264" w:lineRule="auto"/>
        <w:ind w:left="360"/>
        <w:rPr>
          <w:rFonts w:cs="Arial"/>
        </w:rPr>
      </w:pPr>
      <w:r>
        <w:rPr>
          <w:rFonts w:cs="Arial"/>
        </w:rPr>
        <w:t>Some proponents are offering to make ongoing deposits</w:t>
      </w:r>
      <w:r w:rsidR="007B5C4C">
        <w:rPr>
          <w:rFonts w:cs="Arial"/>
        </w:rPr>
        <w:t xml:space="preserve"> into a trust</w:t>
      </w:r>
      <w:r>
        <w:rPr>
          <w:rFonts w:cs="Arial"/>
        </w:rPr>
        <w:t xml:space="preserve"> </w:t>
      </w:r>
      <w:r w:rsidR="007B5C4C">
        <w:rPr>
          <w:rFonts w:cs="Arial"/>
        </w:rPr>
        <w:t xml:space="preserve">to fund </w:t>
      </w:r>
      <w:r>
        <w:rPr>
          <w:rFonts w:cs="Arial"/>
        </w:rPr>
        <w:t xml:space="preserve">decommissioning </w:t>
      </w:r>
      <w:r w:rsidR="007B5C4C">
        <w:rPr>
          <w:rFonts w:cs="Arial"/>
        </w:rPr>
        <w:t>of the asset. However,</w:t>
      </w:r>
      <w:r>
        <w:rPr>
          <w:rFonts w:cs="Arial"/>
        </w:rPr>
        <w:t xml:space="preserve"> </w:t>
      </w:r>
      <w:r w:rsidR="007B5C4C">
        <w:rPr>
          <w:rFonts w:cs="Arial"/>
        </w:rPr>
        <w:t xml:space="preserve">proponents generally commence making these payments in </w:t>
      </w:r>
      <w:r>
        <w:rPr>
          <w:rFonts w:cs="Arial"/>
        </w:rPr>
        <w:t xml:space="preserve">the later years of the project, </w:t>
      </w:r>
      <w:r w:rsidR="007B5C4C">
        <w:rPr>
          <w:rFonts w:cs="Arial"/>
        </w:rPr>
        <w:t>around years</w:t>
      </w:r>
      <w:r>
        <w:rPr>
          <w:rFonts w:cs="Arial"/>
        </w:rPr>
        <w:t xml:space="preserve"> 15 </w:t>
      </w:r>
      <w:r w:rsidR="007B5C4C">
        <w:rPr>
          <w:rFonts w:cs="Arial"/>
        </w:rPr>
        <w:t>or</w:t>
      </w:r>
      <w:r>
        <w:rPr>
          <w:rFonts w:cs="Arial"/>
        </w:rPr>
        <w:t xml:space="preserve"> 20. </w:t>
      </w:r>
      <w:r w:rsidR="007B5C4C">
        <w:rPr>
          <w:rFonts w:cs="Arial"/>
        </w:rPr>
        <w:t xml:space="preserve">The delay in commencing payments creates risk as the project owner is required to source significant funding in the </w:t>
      </w:r>
      <w:r>
        <w:rPr>
          <w:rFonts w:cs="Arial"/>
        </w:rPr>
        <w:t xml:space="preserve">declining years of the </w:t>
      </w:r>
      <w:r w:rsidR="007B5C4C">
        <w:rPr>
          <w:rFonts w:cs="Arial"/>
        </w:rPr>
        <w:t>asset.</w:t>
      </w:r>
      <w:r>
        <w:rPr>
          <w:rFonts w:cs="Arial"/>
        </w:rPr>
        <w:t xml:space="preserve"> </w:t>
      </w:r>
      <w:r w:rsidR="007B5C4C">
        <w:rPr>
          <w:rFonts w:cs="Arial"/>
        </w:rPr>
        <w:t>The risk to the landholder would be significantly reduced if the</w:t>
      </w:r>
      <w:r>
        <w:rPr>
          <w:rFonts w:cs="Arial"/>
        </w:rPr>
        <w:t xml:space="preserve"> developer commence</w:t>
      </w:r>
      <w:r w:rsidR="007B5C4C">
        <w:rPr>
          <w:rFonts w:cs="Arial"/>
        </w:rPr>
        <w:t>d</w:t>
      </w:r>
      <w:r>
        <w:rPr>
          <w:rFonts w:cs="Arial"/>
        </w:rPr>
        <w:t xml:space="preserve"> making deposits to fund the decommissioning from commencement of the asset’s operations.</w:t>
      </w:r>
    </w:p>
    <w:p w14:paraId="14B7611C" w14:textId="0196E657" w:rsidR="00CE4A08" w:rsidRDefault="007B5C4C" w:rsidP="00CE4A08">
      <w:pPr>
        <w:pStyle w:val="ListNumber"/>
        <w:numPr>
          <w:ilvl w:val="0"/>
          <w:numId w:val="0"/>
        </w:numPr>
        <w:spacing w:line="264" w:lineRule="auto"/>
        <w:ind w:left="360"/>
        <w:rPr>
          <w:rFonts w:cs="Arial"/>
        </w:rPr>
      </w:pPr>
      <w:r>
        <w:rPr>
          <w:rFonts w:cs="Arial"/>
        </w:rPr>
        <w:t>The decommissioning of some of Australia’s</w:t>
      </w:r>
      <w:r w:rsidR="00CE4A08" w:rsidRPr="00E34265">
        <w:rPr>
          <w:rFonts w:cs="Arial"/>
        </w:rPr>
        <w:t xml:space="preserve"> initial wind farm projects will </w:t>
      </w:r>
      <w:r w:rsidR="00CE4A08">
        <w:rPr>
          <w:rFonts w:cs="Arial"/>
        </w:rPr>
        <w:t xml:space="preserve">need to </w:t>
      </w:r>
      <w:r w:rsidR="00CE4A08" w:rsidRPr="00E34265">
        <w:rPr>
          <w:rFonts w:cs="Arial"/>
        </w:rPr>
        <w:t>commence in the next few years</w:t>
      </w:r>
      <w:r w:rsidR="00CE4A08">
        <w:rPr>
          <w:rFonts w:cs="Arial"/>
        </w:rPr>
        <w:t>. T</w:t>
      </w:r>
      <w:r>
        <w:rPr>
          <w:rFonts w:cs="Arial"/>
        </w:rPr>
        <w:t>his is likely to result in</w:t>
      </w:r>
      <w:r w:rsidR="00CE4A08" w:rsidRPr="00E34265">
        <w:rPr>
          <w:rFonts w:cs="Arial"/>
        </w:rPr>
        <w:t xml:space="preserve"> increased </w:t>
      </w:r>
      <w:r w:rsidR="00CE4A08">
        <w:rPr>
          <w:rFonts w:cs="Arial"/>
        </w:rPr>
        <w:t>focus on concerns about this topic, particularly from host landholders and community stakeholders. At a minimum, there needs to be clarity surrounding who is responsible for decommissioning, who pays and how those funds are secured to protect the landholder from default and ensure the work is completed properly and in a timely fashion.</w:t>
      </w:r>
    </w:p>
    <w:p w14:paraId="5A153AEC" w14:textId="77777777" w:rsidR="00CE4A08" w:rsidRPr="007A223C" w:rsidRDefault="00CE4A08" w:rsidP="00F25864">
      <w:pPr>
        <w:pStyle w:val="Heading3"/>
        <w:ind w:firstLine="360"/>
      </w:pPr>
      <w:bookmarkStart w:id="165" w:name="_Toc135390615"/>
      <w:r w:rsidRPr="007A223C">
        <w:t>Private Transmission Line Easements</w:t>
      </w:r>
      <w:bookmarkEnd w:id="165"/>
    </w:p>
    <w:p w14:paraId="7B826212" w14:textId="5E8B13BC" w:rsidR="00CE4A08" w:rsidRDefault="00CE4A08" w:rsidP="00CE4A08">
      <w:pPr>
        <w:pStyle w:val="ListNumber"/>
        <w:numPr>
          <w:ilvl w:val="0"/>
          <w:numId w:val="0"/>
        </w:numPr>
        <w:spacing w:line="264" w:lineRule="auto"/>
        <w:ind w:left="360"/>
        <w:rPr>
          <w:rFonts w:cs="Arial"/>
        </w:rPr>
      </w:pPr>
      <w:r>
        <w:rPr>
          <w:rFonts w:cs="Arial"/>
        </w:rPr>
        <w:t>Renewable generation assets often require a private transmission line to be installed</w:t>
      </w:r>
      <w:r w:rsidR="00147367">
        <w:rPr>
          <w:rFonts w:cs="Arial"/>
        </w:rPr>
        <w:t xml:space="preserve"> </w:t>
      </w:r>
      <w:r>
        <w:rPr>
          <w:rFonts w:cs="Arial"/>
        </w:rPr>
        <w:t xml:space="preserve">to connect to the public transmission grid. </w:t>
      </w:r>
      <w:r w:rsidR="00147367">
        <w:rPr>
          <w:rFonts w:cs="Arial"/>
        </w:rPr>
        <w:t>The developer is generally required to obtain</w:t>
      </w:r>
      <w:r>
        <w:rPr>
          <w:rFonts w:cs="Arial"/>
        </w:rPr>
        <w:t xml:space="preserve"> easement</w:t>
      </w:r>
      <w:r w:rsidR="00147367">
        <w:rPr>
          <w:rFonts w:cs="Arial"/>
        </w:rPr>
        <w:t>s</w:t>
      </w:r>
      <w:r>
        <w:rPr>
          <w:rFonts w:cs="Arial"/>
        </w:rPr>
        <w:t xml:space="preserve"> from one o</w:t>
      </w:r>
      <w:r w:rsidR="00147367">
        <w:rPr>
          <w:rFonts w:cs="Arial"/>
        </w:rPr>
        <w:t>r</w:t>
      </w:r>
      <w:r>
        <w:rPr>
          <w:rFonts w:cs="Arial"/>
        </w:rPr>
        <w:t xml:space="preserve"> more landholders to route the private line to the public grid. </w:t>
      </w:r>
      <w:r w:rsidR="00147367">
        <w:rPr>
          <w:rFonts w:cs="Arial"/>
        </w:rPr>
        <w:t xml:space="preserve">These </w:t>
      </w:r>
      <w:r>
        <w:rPr>
          <w:rFonts w:cs="Arial"/>
        </w:rPr>
        <w:t xml:space="preserve">easements require negotiation with the landholder </w:t>
      </w:r>
      <w:r w:rsidR="00147367">
        <w:rPr>
          <w:rFonts w:cs="Arial"/>
        </w:rPr>
        <w:t>and</w:t>
      </w:r>
      <w:r>
        <w:rPr>
          <w:rFonts w:cs="Arial"/>
        </w:rPr>
        <w:t xml:space="preserve"> cannot be compulsorily acquired. </w:t>
      </w:r>
    </w:p>
    <w:p w14:paraId="53F953C9" w14:textId="46D8B364" w:rsidR="00CE4A08" w:rsidRDefault="009D639D" w:rsidP="00CE4A08">
      <w:pPr>
        <w:pStyle w:val="ListNumber"/>
        <w:numPr>
          <w:ilvl w:val="0"/>
          <w:numId w:val="0"/>
        </w:numPr>
        <w:spacing w:line="264" w:lineRule="auto"/>
        <w:ind w:left="360"/>
        <w:rPr>
          <w:rFonts w:cs="Arial"/>
        </w:rPr>
      </w:pPr>
      <w:r>
        <w:rPr>
          <w:rFonts w:cs="Arial"/>
        </w:rPr>
        <w:t xml:space="preserve">The Commissioner has </w:t>
      </w:r>
      <w:r w:rsidR="00CE4A08">
        <w:rPr>
          <w:rFonts w:cs="Arial"/>
        </w:rPr>
        <w:t xml:space="preserve">received complaints from landholders </w:t>
      </w:r>
      <w:r>
        <w:rPr>
          <w:rFonts w:cs="Arial"/>
        </w:rPr>
        <w:t xml:space="preserve">who </w:t>
      </w:r>
      <w:r w:rsidR="00CE4A08">
        <w:rPr>
          <w:rFonts w:cs="Arial"/>
        </w:rPr>
        <w:t xml:space="preserve">had agreed to allow an easement on their land (or </w:t>
      </w:r>
      <w:r>
        <w:rPr>
          <w:rFonts w:cs="Arial"/>
        </w:rPr>
        <w:t xml:space="preserve">who </w:t>
      </w:r>
      <w:r w:rsidR="00CE4A08">
        <w:rPr>
          <w:rFonts w:cs="Arial"/>
        </w:rPr>
        <w:t>had bought land where the previous owner had agreed to an easement) for the purposes of installing a private transmission line</w:t>
      </w:r>
      <w:r>
        <w:rPr>
          <w:rFonts w:cs="Arial"/>
        </w:rPr>
        <w:t>.</w:t>
      </w:r>
    </w:p>
    <w:p w14:paraId="1F101A9E" w14:textId="77777777" w:rsidR="00CE4A08" w:rsidRDefault="00CE4A08" w:rsidP="00CE4A08">
      <w:pPr>
        <w:pStyle w:val="ListNumber"/>
        <w:numPr>
          <w:ilvl w:val="0"/>
          <w:numId w:val="0"/>
        </w:numPr>
        <w:spacing w:line="264" w:lineRule="auto"/>
        <w:ind w:left="360"/>
        <w:rPr>
          <w:rFonts w:cs="Arial"/>
        </w:rPr>
      </w:pPr>
      <w:r>
        <w:rPr>
          <w:rFonts w:cs="Arial"/>
        </w:rPr>
        <w:t>Landholders typically receive a one-off payment from the proponent for allowing the easement, unlike a wind or solar farm host, who typically receives an annual payment. Some landholders receive an annual payment for the life of the project.</w:t>
      </w:r>
    </w:p>
    <w:p w14:paraId="47D9D5A5" w14:textId="3EE2EF7C" w:rsidR="00CE4A08" w:rsidRDefault="00CE4A08" w:rsidP="00CE4A08">
      <w:pPr>
        <w:pStyle w:val="ListNumber"/>
        <w:numPr>
          <w:ilvl w:val="0"/>
          <w:numId w:val="0"/>
        </w:numPr>
        <w:spacing w:line="264" w:lineRule="auto"/>
        <w:ind w:left="360"/>
        <w:rPr>
          <w:rFonts w:cs="Arial"/>
        </w:rPr>
      </w:pPr>
      <w:r>
        <w:rPr>
          <w:rFonts w:cs="Arial"/>
        </w:rPr>
        <w:t>If the land is sold, the purchaser</w:t>
      </w:r>
      <w:r w:rsidR="009D639D">
        <w:rPr>
          <w:rFonts w:cs="Arial"/>
        </w:rPr>
        <w:t xml:space="preserve"> ‘</w:t>
      </w:r>
      <w:r>
        <w:rPr>
          <w:rFonts w:cs="Arial"/>
        </w:rPr>
        <w:t>inherits</w:t>
      </w:r>
      <w:r w:rsidR="009D639D">
        <w:rPr>
          <w:rFonts w:cs="Arial"/>
        </w:rPr>
        <w:t>’</w:t>
      </w:r>
      <w:r>
        <w:rPr>
          <w:rFonts w:cs="Arial"/>
        </w:rPr>
        <w:t xml:space="preserve"> the easement and the prospect of a transmission line being built and operated on the land</w:t>
      </w:r>
      <w:r w:rsidR="009D639D">
        <w:rPr>
          <w:rFonts w:cs="Arial"/>
        </w:rPr>
        <w:t xml:space="preserve">. If this has not been properly communicated, landholders may be </w:t>
      </w:r>
      <w:r>
        <w:rPr>
          <w:rFonts w:cs="Arial"/>
        </w:rPr>
        <w:t>surprised when the transmission contractor arrives at the property to conduct surveys and assessments, or even commence the works.</w:t>
      </w:r>
    </w:p>
    <w:p w14:paraId="0AE60844" w14:textId="285B81C3" w:rsidR="00CE4A08" w:rsidRDefault="009D639D" w:rsidP="009D639D">
      <w:pPr>
        <w:pStyle w:val="ListNumber"/>
        <w:numPr>
          <w:ilvl w:val="0"/>
          <w:numId w:val="0"/>
        </w:numPr>
        <w:spacing w:line="264" w:lineRule="auto"/>
        <w:ind w:left="360"/>
        <w:rPr>
          <w:rFonts w:cs="Arial"/>
        </w:rPr>
      </w:pPr>
      <w:r>
        <w:rPr>
          <w:rFonts w:cs="Arial"/>
        </w:rPr>
        <w:lastRenderedPageBreak/>
        <w:t xml:space="preserve">Private transmission lines give rise to a range of issues. We recommend that the industry consider the fairness of the </w:t>
      </w:r>
      <w:r w:rsidR="00CE4A08">
        <w:rPr>
          <w:rFonts w:cs="Arial"/>
        </w:rPr>
        <w:t xml:space="preserve">easement agreement and </w:t>
      </w:r>
      <w:r>
        <w:rPr>
          <w:rFonts w:cs="Arial"/>
        </w:rPr>
        <w:t>other</w:t>
      </w:r>
      <w:r w:rsidR="00CE4A08">
        <w:rPr>
          <w:rFonts w:cs="Arial"/>
        </w:rPr>
        <w:t xml:space="preserve"> documents, the amount and method of compensation, the need for access agreements surveys</w:t>
      </w:r>
      <w:r>
        <w:rPr>
          <w:rFonts w:cs="Arial"/>
        </w:rPr>
        <w:t xml:space="preserve">, </w:t>
      </w:r>
      <w:r w:rsidR="00CE4A08">
        <w:rPr>
          <w:rFonts w:cs="Arial"/>
        </w:rPr>
        <w:t xml:space="preserve">assessments, or </w:t>
      </w:r>
      <w:r>
        <w:rPr>
          <w:rFonts w:cs="Arial"/>
        </w:rPr>
        <w:t xml:space="preserve">land </w:t>
      </w:r>
      <w:r w:rsidR="00CE4A08">
        <w:rPr>
          <w:rFonts w:cs="Arial"/>
        </w:rPr>
        <w:t xml:space="preserve">traversed to access the easement. There </w:t>
      </w:r>
      <w:r>
        <w:rPr>
          <w:rFonts w:cs="Arial"/>
        </w:rPr>
        <w:t>is also</w:t>
      </w:r>
      <w:r w:rsidR="00CE4A08">
        <w:rPr>
          <w:rFonts w:cs="Arial"/>
        </w:rPr>
        <w:t xml:space="preserve"> a need for appropriate disclosures of the easement and any related agreements to a purchaser of the land</w:t>
      </w:r>
      <w:r>
        <w:rPr>
          <w:rFonts w:cs="Arial"/>
        </w:rPr>
        <w:t>.</w:t>
      </w:r>
    </w:p>
    <w:p w14:paraId="5EBA0613" w14:textId="77777777" w:rsidR="00C66F7A" w:rsidRPr="007E1632" w:rsidRDefault="00C66F7A" w:rsidP="00C66F7A">
      <w:pPr>
        <w:pStyle w:val="ListNumber"/>
        <w:numPr>
          <w:ilvl w:val="0"/>
          <w:numId w:val="0"/>
        </w:numPr>
        <w:spacing w:line="264" w:lineRule="auto"/>
        <w:ind w:left="360"/>
        <w:rPr>
          <w:rFonts w:cs="Arial"/>
          <w:b/>
          <w:bCs/>
        </w:rPr>
      </w:pPr>
      <w:r>
        <w:rPr>
          <w:rFonts w:cs="Arial"/>
          <w:b/>
          <w:bCs/>
        </w:rPr>
        <w:t xml:space="preserve">1.1.2 </w:t>
      </w:r>
      <w:r w:rsidRPr="007E1632">
        <w:rPr>
          <w:rFonts w:cs="Arial"/>
          <w:b/>
          <w:bCs/>
        </w:rPr>
        <w:t>Large-Scale Transmission Projects</w:t>
      </w:r>
    </w:p>
    <w:p w14:paraId="2187FBCB" w14:textId="598DDE38" w:rsidR="00C66F7A" w:rsidRDefault="00C66F7A" w:rsidP="00C66F7A">
      <w:pPr>
        <w:pStyle w:val="ListNumber"/>
        <w:numPr>
          <w:ilvl w:val="0"/>
          <w:numId w:val="0"/>
        </w:numPr>
        <w:spacing w:line="264" w:lineRule="auto"/>
        <w:ind w:left="360"/>
        <w:rPr>
          <w:rFonts w:cs="Arial"/>
        </w:rPr>
      </w:pPr>
      <w:r>
        <w:rPr>
          <w:rFonts w:cs="Arial"/>
        </w:rPr>
        <w:t xml:space="preserve">This subsection provides updated observations of landholder related matters </w:t>
      </w:r>
      <w:r w:rsidR="00A07C39">
        <w:rPr>
          <w:rFonts w:cs="Arial"/>
        </w:rPr>
        <w:t>about</w:t>
      </w:r>
      <w:r>
        <w:rPr>
          <w:rFonts w:cs="Arial"/>
        </w:rPr>
        <w:t xml:space="preserve"> the development, planning, construction and operation of large-scale transmission lines.</w:t>
      </w:r>
    </w:p>
    <w:p w14:paraId="78D35C01" w14:textId="77777777" w:rsidR="00C66F7A" w:rsidRPr="007A223C" w:rsidRDefault="00C66F7A" w:rsidP="00F25864">
      <w:pPr>
        <w:pStyle w:val="Heading3"/>
        <w:ind w:firstLine="360"/>
      </w:pPr>
      <w:bookmarkStart w:id="166" w:name="_Toc135390616"/>
      <w:r w:rsidRPr="007A223C">
        <w:t>Land Access</w:t>
      </w:r>
      <w:bookmarkEnd w:id="166"/>
    </w:p>
    <w:p w14:paraId="5F7D9A95" w14:textId="3292F604" w:rsidR="00C66F7A" w:rsidRDefault="00C66F7A" w:rsidP="00C66F7A">
      <w:pPr>
        <w:pStyle w:val="ListNumber"/>
        <w:numPr>
          <w:ilvl w:val="0"/>
          <w:numId w:val="0"/>
        </w:numPr>
        <w:spacing w:line="264" w:lineRule="auto"/>
        <w:ind w:left="360"/>
        <w:rPr>
          <w:rFonts w:cs="Arial"/>
        </w:rPr>
      </w:pPr>
      <w:r>
        <w:rPr>
          <w:rFonts w:cs="Arial"/>
        </w:rPr>
        <w:t>Project developers may need access to landholder’s property at various stages of a large-scale transmission project</w:t>
      </w:r>
      <w:r w:rsidR="00A07C39">
        <w:rPr>
          <w:rFonts w:cs="Arial"/>
        </w:rPr>
        <w:t xml:space="preserve"> for the purpose of:</w:t>
      </w:r>
    </w:p>
    <w:p w14:paraId="70A028A8" w14:textId="77777777" w:rsidR="00C66F7A" w:rsidRDefault="00C66F7A" w:rsidP="00C66F7A">
      <w:pPr>
        <w:pStyle w:val="ListNumber"/>
        <w:numPr>
          <w:ilvl w:val="0"/>
          <w:numId w:val="25"/>
        </w:numPr>
        <w:spacing w:line="264" w:lineRule="auto"/>
        <w:rPr>
          <w:rFonts w:cs="Arial"/>
        </w:rPr>
      </w:pPr>
      <w:r>
        <w:rPr>
          <w:rFonts w:cs="Arial"/>
        </w:rPr>
        <w:t>Assessing route options, including walking potential routes through the landholder’s property</w:t>
      </w:r>
    </w:p>
    <w:p w14:paraId="4B44AFC3" w14:textId="77777777" w:rsidR="00C66F7A" w:rsidRDefault="00C66F7A" w:rsidP="00C66F7A">
      <w:pPr>
        <w:pStyle w:val="ListNumber"/>
        <w:numPr>
          <w:ilvl w:val="0"/>
          <w:numId w:val="25"/>
        </w:numPr>
        <w:spacing w:line="264" w:lineRule="auto"/>
        <w:rPr>
          <w:rFonts w:cs="Arial"/>
        </w:rPr>
      </w:pPr>
      <w:r>
        <w:rPr>
          <w:rFonts w:cs="Arial"/>
        </w:rPr>
        <w:t>Surveys and other environmental, cultural and technical assessments</w:t>
      </w:r>
    </w:p>
    <w:p w14:paraId="2517BA10" w14:textId="77777777" w:rsidR="00C66F7A" w:rsidRDefault="00C66F7A" w:rsidP="00C66F7A">
      <w:pPr>
        <w:pStyle w:val="ListNumber"/>
        <w:numPr>
          <w:ilvl w:val="0"/>
          <w:numId w:val="25"/>
        </w:numPr>
        <w:spacing w:line="264" w:lineRule="auto"/>
        <w:rPr>
          <w:rFonts w:cs="Arial"/>
        </w:rPr>
      </w:pPr>
      <w:r>
        <w:rPr>
          <w:rFonts w:cs="Arial"/>
        </w:rPr>
        <w:t>Design and layout of preferred route</w:t>
      </w:r>
    </w:p>
    <w:p w14:paraId="1A49B2B5" w14:textId="77777777" w:rsidR="00C66F7A" w:rsidRDefault="00C66F7A" w:rsidP="00C66F7A">
      <w:pPr>
        <w:pStyle w:val="ListNumber"/>
        <w:numPr>
          <w:ilvl w:val="0"/>
          <w:numId w:val="25"/>
        </w:numPr>
        <w:spacing w:line="264" w:lineRule="auto"/>
        <w:rPr>
          <w:rFonts w:cs="Arial"/>
        </w:rPr>
      </w:pPr>
      <w:r>
        <w:rPr>
          <w:rFonts w:cs="Arial"/>
        </w:rPr>
        <w:t>Visual impact assessments</w:t>
      </w:r>
    </w:p>
    <w:p w14:paraId="18599AC1" w14:textId="1880F95A" w:rsidR="00C66F7A" w:rsidRDefault="00C66F7A" w:rsidP="00C66F7A">
      <w:pPr>
        <w:pStyle w:val="ListNumber"/>
        <w:numPr>
          <w:ilvl w:val="0"/>
          <w:numId w:val="25"/>
        </w:numPr>
        <w:spacing w:line="264" w:lineRule="auto"/>
        <w:rPr>
          <w:rFonts w:cs="Arial"/>
        </w:rPr>
      </w:pPr>
      <w:r>
        <w:rPr>
          <w:rFonts w:cs="Arial"/>
        </w:rPr>
        <w:t>Final design and specific locations of towers, easements, underground trenches and associated assets</w:t>
      </w:r>
    </w:p>
    <w:p w14:paraId="40929F27" w14:textId="77777777" w:rsidR="00C66F7A" w:rsidRDefault="00C66F7A" w:rsidP="00C66F7A">
      <w:pPr>
        <w:pStyle w:val="ListNumber"/>
        <w:numPr>
          <w:ilvl w:val="0"/>
          <w:numId w:val="0"/>
        </w:numPr>
        <w:spacing w:line="264" w:lineRule="auto"/>
        <w:ind w:left="284"/>
        <w:rPr>
          <w:rFonts w:cs="Arial"/>
        </w:rPr>
      </w:pPr>
      <w:r>
        <w:rPr>
          <w:rFonts w:cs="Arial"/>
        </w:rPr>
        <w:t>Landholders are usually provided an opportunity to voluntarily grant consent to access their land and set out, in a written agreement between the parties, the arrangements for land access and protocols to be followed.</w:t>
      </w:r>
    </w:p>
    <w:p w14:paraId="53F0681E" w14:textId="2D27DAC1" w:rsidR="00C66F7A" w:rsidRDefault="00C66F7A" w:rsidP="00C66F7A">
      <w:pPr>
        <w:pStyle w:val="ListNumber"/>
        <w:numPr>
          <w:ilvl w:val="0"/>
          <w:numId w:val="0"/>
        </w:numPr>
        <w:spacing w:line="264" w:lineRule="auto"/>
        <w:ind w:left="284"/>
        <w:rPr>
          <w:rFonts w:cs="Arial"/>
        </w:rPr>
      </w:pPr>
      <w:r>
        <w:rPr>
          <w:rFonts w:cs="Arial"/>
        </w:rPr>
        <w:t>Some proponents pay a nominal fee to the landholder for initial access requirements, typically in the range of $1,000 to $10,000 per title</w:t>
      </w:r>
      <w:r w:rsidR="00A07C39">
        <w:rPr>
          <w:rFonts w:cs="Arial"/>
        </w:rPr>
        <w:t>. This p</w:t>
      </w:r>
      <w:r>
        <w:rPr>
          <w:rFonts w:cs="Arial"/>
        </w:rPr>
        <w:t>rovid</w:t>
      </w:r>
      <w:r w:rsidR="00A07C39">
        <w:rPr>
          <w:rFonts w:cs="Arial"/>
        </w:rPr>
        <w:t>es</w:t>
      </w:r>
      <w:r>
        <w:rPr>
          <w:rFonts w:cs="Arial"/>
        </w:rPr>
        <w:t xml:space="preserve"> some level of compensation to the landholder for any disruption and inconvenience. Not all developers offer compensation at this stage of the project.</w:t>
      </w:r>
    </w:p>
    <w:p w14:paraId="48D735A4" w14:textId="634A0577" w:rsidR="00C66F7A" w:rsidRDefault="00C66F7A" w:rsidP="00C66F7A">
      <w:pPr>
        <w:pStyle w:val="ListNumber"/>
        <w:numPr>
          <w:ilvl w:val="0"/>
          <w:numId w:val="0"/>
        </w:numPr>
        <w:spacing w:line="264" w:lineRule="auto"/>
        <w:ind w:left="284"/>
        <w:rPr>
          <w:rFonts w:cs="Arial"/>
        </w:rPr>
      </w:pPr>
      <w:r>
        <w:rPr>
          <w:rFonts w:cs="Arial"/>
        </w:rPr>
        <w:t xml:space="preserve">Once the transmission route is finalised, land access is usually then covered by an </w:t>
      </w:r>
      <w:r w:rsidR="00297C0C">
        <w:rPr>
          <w:rFonts w:cs="Arial"/>
        </w:rPr>
        <w:t>o</w:t>
      </w:r>
      <w:r>
        <w:rPr>
          <w:rFonts w:cs="Arial"/>
        </w:rPr>
        <w:t xml:space="preserve">ption </w:t>
      </w:r>
      <w:r w:rsidR="00297C0C">
        <w:rPr>
          <w:rFonts w:cs="Arial"/>
        </w:rPr>
        <w:t>a</w:t>
      </w:r>
      <w:r>
        <w:rPr>
          <w:rFonts w:cs="Arial"/>
        </w:rPr>
        <w:t>greement between the landholder and the proponent. This type of agreement is discussed later in this section.</w:t>
      </w:r>
    </w:p>
    <w:p w14:paraId="0331C041" w14:textId="26EAB44F" w:rsidR="00C66F7A" w:rsidRDefault="00C66F7A" w:rsidP="00C66F7A">
      <w:pPr>
        <w:pStyle w:val="ListNumber"/>
        <w:numPr>
          <w:ilvl w:val="0"/>
          <w:numId w:val="0"/>
        </w:numPr>
        <w:spacing w:line="264" w:lineRule="auto"/>
        <w:ind w:left="284"/>
        <w:rPr>
          <w:rFonts w:cs="Arial"/>
        </w:rPr>
      </w:pPr>
      <w:r>
        <w:rPr>
          <w:rFonts w:cs="Arial"/>
        </w:rPr>
        <w:t xml:space="preserve">In the event the landholder does not grant consent </w:t>
      </w:r>
      <w:r w:rsidR="00865526">
        <w:rPr>
          <w:rFonts w:cs="Arial"/>
        </w:rPr>
        <w:t xml:space="preserve">for </w:t>
      </w:r>
      <w:r>
        <w:rPr>
          <w:rFonts w:cs="Arial"/>
        </w:rPr>
        <w:t xml:space="preserve">land access, </w:t>
      </w:r>
      <w:r w:rsidR="00297C0C">
        <w:rPr>
          <w:rFonts w:cs="Arial"/>
        </w:rPr>
        <w:t xml:space="preserve">the </w:t>
      </w:r>
      <w:r>
        <w:rPr>
          <w:rFonts w:cs="Arial"/>
        </w:rPr>
        <w:t xml:space="preserve">proponent may be able to rely on legislation that permits the proponent to access the land under certain conditions. </w:t>
      </w:r>
      <w:r w:rsidR="00297C0C">
        <w:rPr>
          <w:rFonts w:cs="Arial"/>
        </w:rPr>
        <w:t xml:space="preserve">It is important that this </w:t>
      </w:r>
      <w:r>
        <w:rPr>
          <w:rFonts w:cs="Arial"/>
        </w:rPr>
        <w:t xml:space="preserve">legislation </w:t>
      </w:r>
      <w:r w:rsidR="0024356C">
        <w:rPr>
          <w:rFonts w:cs="Arial"/>
        </w:rPr>
        <w:t>is supported by a</w:t>
      </w:r>
      <w:r>
        <w:rPr>
          <w:rFonts w:cs="Arial"/>
        </w:rPr>
        <w:t xml:space="preserve"> protocol or code of conduct which the proponent must follow prior to and when accessing the land.</w:t>
      </w:r>
    </w:p>
    <w:p w14:paraId="26A931C4" w14:textId="15140089" w:rsidR="00C66F7A" w:rsidRDefault="00C66F7A" w:rsidP="00C66F7A">
      <w:pPr>
        <w:pStyle w:val="ListNumber"/>
        <w:numPr>
          <w:ilvl w:val="0"/>
          <w:numId w:val="0"/>
        </w:numPr>
        <w:spacing w:line="264" w:lineRule="auto"/>
        <w:ind w:left="284"/>
        <w:rPr>
          <w:rFonts w:cs="Arial"/>
        </w:rPr>
      </w:pPr>
      <w:r>
        <w:rPr>
          <w:rFonts w:cs="Arial"/>
        </w:rPr>
        <w:t>The protocol may be developed by the relevant regulator or, in some cases, by the proponent</w:t>
      </w:r>
      <w:r w:rsidR="003209B3">
        <w:rPr>
          <w:rFonts w:cs="Arial"/>
        </w:rPr>
        <w:t>. I</w:t>
      </w:r>
      <w:r>
        <w:rPr>
          <w:rFonts w:cs="Arial"/>
        </w:rPr>
        <w:t>deally</w:t>
      </w:r>
      <w:r w:rsidR="003209B3">
        <w:rPr>
          <w:rFonts w:cs="Arial"/>
        </w:rPr>
        <w:t xml:space="preserve"> protocols designed by the proponent will be </w:t>
      </w:r>
      <w:r>
        <w:rPr>
          <w:rFonts w:cs="Arial"/>
        </w:rPr>
        <w:t xml:space="preserve">endorsed by the regulator. </w:t>
      </w:r>
      <w:r w:rsidR="003209B3">
        <w:rPr>
          <w:rFonts w:cs="Arial"/>
        </w:rPr>
        <w:t>Involuntary</w:t>
      </w:r>
      <w:r>
        <w:rPr>
          <w:rFonts w:cs="Arial"/>
        </w:rPr>
        <w:t xml:space="preserve"> land access should always be the exception and </w:t>
      </w:r>
      <w:r w:rsidR="003209B3">
        <w:rPr>
          <w:rFonts w:cs="Arial"/>
        </w:rPr>
        <w:t xml:space="preserve">should </w:t>
      </w:r>
      <w:r>
        <w:rPr>
          <w:rFonts w:cs="Arial"/>
        </w:rPr>
        <w:t xml:space="preserve">be approved on a </w:t>
      </w:r>
      <w:r w:rsidR="006E499A">
        <w:rPr>
          <w:rFonts w:cs="Arial"/>
        </w:rPr>
        <w:t>case-by-case</w:t>
      </w:r>
      <w:r>
        <w:rPr>
          <w:rFonts w:cs="Arial"/>
        </w:rPr>
        <w:t xml:space="preserve"> basis by the proponent’s senior executives or CEO. Requests for approval should include a properly prepared assessment </w:t>
      </w:r>
      <w:r w:rsidR="003209B3">
        <w:rPr>
          <w:rFonts w:cs="Arial"/>
        </w:rPr>
        <w:t>of</w:t>
      </w:r>
      <w:r>
        <w:rPr>
          <w:rFonts w:cs="Arial"/>
        </w:rPr>
        <w:t xml:space="preserve"> why access is required</w:t>
      </w:r>
      <w:r w:rsidR="003209B3">
        <w:rPr>
          <w:rFonts w:cs="Arial"/>
        </w:rPr>
        <w:t xml:space="preserve">, </w:t>
      </w:r>
      <w:r>
        <w:rPr>
          <w:rFonts w:cs="Arial"/>
        </w:rPr>
        <w:t>why</w:t>
      </w:r>
      <w:r w:rsidR="003209B3">
        <w:rPr>
          <w:rFonts w:cs="Arial"/>
        </w:rPr>
        <w:t xml:space="preserve"> and how the</w:t>
      </w:r>
      <w:r>
        <w:rPr>
          <w:rFonts w:cs="Arial"/>
        </w:rPr>
        <w:t xml:space="preserve"> compulsory powers are to be used</w:t>
      </w:r>
      <w:r w:rsidR="003209B3">
        <w:rPr>
          <w:rFonts w:cs="Arial"/>
        </w:rPr>
        <w:t>.</w:t>
      </w:r>
    </w:p>
    <w:p w14:paraId="0D8CE2F4" w14:textId="3B654656" w:rsidR="00C66F7A" w:rsidRDefault="00172873" w:rsidP="00172873">
      <w:pPr>
        <w:pStyle w:val="ListNumber"/>
        <w:numPr>
          <w:ilvl w:val="0"/>
          <w:numId w:val="0"/>
        </w:numPr>
        <w:spacing w:line="264" w:lineRule="auto"/>
        <w:ind w:left="284"/>
        <w:rPr>
          <w:rFonts w:cs="Arial"/>
        </w:rPr>
      </w:pPr>
      <w:r>
        <w:rPr>
          <w:rFonts w:cs="Arial"/>
        </w:rPr>
        <w:t>It</w:t>
      </w:r>
      <w:r w:rsidR="00C66F7A" w:rsidRPr="002A410E">
        <w:rPr>
          <w:rFonts w:cs="Arial"/>
        </w:rPr>
        <w:t xml:space="preserve"> </w:t>
      </w:r>
      <w:r>
        <w:rPr>
          <w:rFonts w:cs="Arial"/>
        </w:rPr>
        <w:t>is</w:t>
      </w:r>
      <w:r w:rsidR="00C66F7A" w:rsidRPr="002A410E">
        <w:rPr>
          <w:rFonts w:cs="Arial"/>
        </w:rPr>
        <w:t xml:space="preserve"> several decades since any long-distance, large-scale transmission projects have been developed </w:t>
      </w:r>
      <w:r>
        <w:rPr>
          <w:rFonts w:cs="Arial"/>
        </w:rPr>
        <w:t>in</w:t>
      </w:r>
      <w:r w:rsidRPr="002A410E">
        <w:rPr>
          <w:rFonts w:cs="Arial"/>
        </w:rPr>
        <w:t xml:space="preserve"> </w:t>
      </w:r>
      <w:r w:rsidR="00C66F7A" w:rsidRPr="002A410E">
        <w:rPr>
          <w:rFonts w:cs="Arial"/>
        </w:rPr>
        <w:t>Australia</w:t>
      </w:r>
      <w:r>
        <w:rPr>
          <w:rFonts w:cs="Arial"/>
        </w:rPr>
        <w:t xml:space="preserve"> and</w:t>
      </w:r>
      <w:r w:rsidR="00C66F7A" w:rsidRPr="002A410E">
        <w:rPr>
          <w:rFonts w:cs="Arial"/>
        </w:rPr>
        <w:t xml:space="preserve"> not all jurisdictions or proponents have protocols in place.</w:t>
      </w:r>
      <w:r w:rsidR="00C66F7A">
        <w:rPr>
          <w:rFonts w:cs="Arial"/>
        </w:rPr>
        <w:t xml:space="preserve"> There is also</w:t>
      </w:r>
      <w:r>
        <w:rPr>
          <w:rFonts w:cs="Arial"/>
        </w:rPr>
        <w:t xml:space="preserve"> a </w:t>
      </w:r>
      <w:r w:rsidR="00C66F7A">
        <w:rPr>
          <w:rFonts w:cs="Arial"/>
        </w:rPr>
        <w:t>general lack of enforceable codes of conduct that industry should adhere to in dealing with landholders and the broader community.</w:t>
      </w:r>
      <w:r>
        <w:rPr>
          <w:rFonts w:cs="Arial"/>
        </w:rPr>
        <w:t xml:space="preserve"> </w:t>
      </w:r>
      <w:r w:rsidR="00C66F7A" w:rsidRPr="002A410E">
        <w:rPr>
          <w:rFonts w:cs="Arial"/>
        </w:rPr>
        <w:t>In some cases, this has led to inappropriate and disproportionate behaviour by proponents and their contra</w:t>
      </w:r>
      <w:r w:rsidR="00C66F7A" w:rsidRPr="000C775F">
        <w:rPr>
          <w:rFonts w:cs="Arial"/>
        </w:rPr>
        <w:t>ctors when accessing land under legislative powers</w:t>
      </w:r>
      <w:r w:rsidR="00C66F7A" w:rsidRPr="002A410E">
        <w:rPr>
          <w:rFonts w:cs="Arial"/>
        </w:rPr>
        <w:t xml:space="preserve">. </w:t>
      </w:r>
      <w:r>
        <w:rPr>
          <w:rFonts w:cs="Arial"/>
        </w:rPr>
        <w:t>F</w:t>
      </w:r>
      <w:r w:rsidR="00C66F7A" w:rsidRPr="002A410E">
        <w:rPr>
          <w:rFonts w:cs="Arial"/>
        </w:rPr>
        <w:t>orceful actions by proponent</w:t>
      </w:r>
      <w:r>
        <w:rPr>
          <w:rFonts w:cs="Arial"/>
        </w:rPr>
        <w:t>s</w:t>
      </w:r>
      <w:r w:rsidR="00C66F7A" w:rsidRPr="002A410E">
        <w:rPr>
          <w:rFonts w:cs="Arial"/>
        </w:rPr>
        <w:t xml:space="preserve"> </w:t>
      </w:r>
      <w:r w:rsidR="00C66F7A" w:rsidRPr="00EE2EED">
        <w:rPr>
          <w:rFonts w:cs="Arial"/>
        </w:rPr>
        <w:t>have caused g</w:t>
      </w:r>
      <w:r w:rsidR="00C66F7A" w:rsidRPr="00AF6381">
        <w:rPr>
          <w:rFonts w:cs="Arial"/>
        </w:rPr>
        <w:t>reat reputational a</w:t>
      </w:r>
      <w:r w:rsidR="00C66F7A" w:rsidRPr="000C775F">
        <w:rPr>
          <w:rFonts w:cs="Arial"/>
        </w:rPr>
        <w:t xml:space="preserve">nd relationship harm </w:t>
      </w:r>
      <w:r w:rsidR="00C66F7A">
        <w:rPr>
          <w:rFonts w:cs="Arial"/>
        </w:rPr>
        <w:t xml:space="preserve">and </w:t>
      </w:r>
      <w:r>
        <w:rPr>
          <w:rFonts w:cs="Arial"/>
        </w:rPr>
        <w:t xml:space="preserve">have </w:t>
      </w:r>
      <w:r w:rsidR="00C66F7A">
        <w:rPr>
          <w:rFonts w:cs="Arial"/>
        </w:rPr>
        <w:t>fuelled mistrust</w:t>
      </w:r>
      <w:r w:rsidR="00C66F7A" w:rsidRPr="000C775F">
        <w:rPr>
          <w:rFonts w:cs="Arial"/>
        </w:rPr>
        <w:t xml:space="preserve"> </w:t>
      </w:r>
      <w:r>
        <w:rPr>
          <w:rFonts w:cs="Arial"/>
        </w:rPr>
        <w:t>in</w:t>
      </w:r>
      <w:r w:rsidRPr="000C775F">
        <w:rPr>
          <w:rFonts w:cs="Arial"/>
        </w:rPr>
        <w:t xml:space="preserve"> </w:t>
      </w:r>
      <w:r w:rsidR="00C66F7A" w:rsidRPr="000C775F">
        <w:rPr>
          <w:rFonts w:cs="Arial"/>
        </w:rPr>
        <w:t>landholder communit</w:t>
      </w:r>
      <w:r>
        <w:rPr>
          <w:rFonts w:cs="Arial"/>
        </w:rPr>
        <w:t>ies</w:t>
      </w:r>
      <w:r w:rsidR="00C66F7A" w:rsidRPr="000C775F">
        <w:rPr>
          <w:rFonts w:cs="Arial"/>
        </w:rPr>
        <w:t>.</w:t>
      </w:r>
    </w:p>
    <w:p w14:paraId="70EB732B" w14:textId="36C5A82A" w:rsidR="00C66F7A" w:rsidRDefault="00C66F7A" w:rsidP="00C66F7A">
      <w:pPr>
        <w:pStyle w:val="ListNumber"/>
        <w:numPr>
          <w:ilvl w:val="0"/>
          <w:numId w:val="0"/>
        </w:numPr>
        <w:spacing w:line="264" w:lineRule="auto"/>
        <w:ind w:left="284"/>
        <w:rPr>
          <w:rFonts w:cs="Arial"/>
        </w:rPr>
      </w:pPr>
      <w:r>
        <w:rPr>
          <w:rFonts w:cs="Arial"/>
        </w:rPr>
        <w:lastRenderedPageBreak/>
        <w:t xml:space="preserve">Land access is a vitally important part of the development </w:t>
      </w:r>
      <w:r w:rsidR="006E499A">
        <w:rPr>
          <w:rFonts w:cs="Arial"/>
        </w:rPr>
        <w:t>process,</w:t>
      </w:r>
      <w:r w:rsidR="00ED1721">
        <w:rPr>
          <w:rFonts w:cs="Arial"/>
        </w:rPr>
        <w:t xml:space="preserve"> </w:t>
      </w:r>
      <w:r>
        <w:rPr>
          <w:rFonts w:cs="Arial"/>
        </w:rPr>
        <w:t xml:space="preserve">and </w:t>
      </w:r>
      <w:r w:rsidR="00ED1721">
        <w:rPr>
          <w:rFonts w:cs="Arial"/>
        </w:rPr>
        <w:t xml:space="preserve">it </w:t>
      </w:r>
      <w:r>
        <w:rPr>
          <w:rFonts w:cs="Arial"/>
        </w:rPr>
        <w:t>works best when there is an effective relationship between the proponent and landholder. An appropriate amount of time needs to be built into the project schedule to enable the proponent to establish effective relationships with landholders that pave the way for harmonious land access</w:t>
      </w:r>
      <w:r w:rsidR="00ED1721">
        <w:rPr>
          <w:rFonts w:cs="Arial"/>
        </w:rPr>
        <w:t xml:space="preserve">. Proponents should also ensure that they have a </w:t>
      </w:r>
      <w:r>
        <w:rPr>
          <w:rFonts w:cs="Arial"/>
        </w:rPr>
        <w:t xml:space="preserve">sufficient </w:t>
      </w:r>
      <w:r w:rsidR="00C614C4">
        <w:rPr>
          <w:rFonts w:cs="Arial"/>
        </w:rPr>
        <w:t>‘</w:t>
      </w:r>
      <w:r>
        <w:rPr>
          <w:rFonts w:cs="Arial"/>
        </w:rPr>
        <w:t>early works</w:t>
      </w:r>
      <w:r w:rsidR="00C614C4">
        <w:rPr>
          <w:rFonts w:cs="Arial"/>
        </w:rPr>
        <w:t>’</w:t>
      </w:r>
      <w:r>
        <w:rPr>
          <w:rFonts w:cs="Arial"/>
        </w:rPr>
        <w:t xml:space="preserve"> budget to enable relationship-building activities and </w:t>
      </w:r>
      <w:r w:rsidR="00ED1721">
        <w:rPr>
          <w:rFonts w:cs="Arial"/>
        </w:rPr>
        <w:t xml:space="preserve">provide any </w:t>
      </w:r>
      <w:r>
        <w:rPr>
          <w:rFonts w:cs="Arial"/>
        </w:rPr>
        <w:t>fees payable to landholders for agreement to provide access.</w:t>
      </w:r>
    </w:p>
    <w:p w14:paraId="13AE323C" w14:textId="46200A15" w:rsidR="00C66F7A" w:rsidRDefault="00C66F7A" w:rsidP="00C66F7A">
      <w:pPr>
        <w:pStyle w:val="ListNumber"/>
        <w:numPr>
          <w:ilvl w:val="0"/>
          <w:numId w:val="0"/>
        </w:numPr>
        <w:spacing w:line="264" w:lineRule="auto"/>
        <w:ind w:left="284"/>
        <w:rPr>
          <w:rFonts w:cs="Arial"/>
        </w:rPr>
      </w:pPr>
      <w:r>
        <w:rPr>
          <w:rFonts w:cs="Arial"/>
        </w:rPr>
        <w:t xml:space="preserve">Finally, the topic of land access for survey purposes </w:t>
      </w:r>
      <w:r w:rsidR="00ED1721">
        <w:rPr>
          <w:rFonts w:cs="Arial"/>
        </w:rPr>
        <w:t xml:space="preserve">is </w:t>
      </w:r>
      <w:r>
        <w:rPr>
          <w:rFonts w:cs="Arial"/>
        </w:rPr>
        <w:t>often one of the first interactions between the landholder and the proponent. It is an activity that will set lasting impressions on the landholder cohort</w:t>
      </w:r>
      <w:r w:rsidR="00ED1721">
        <w:rPr>
          <w:rFonts w:cs="Arial"/>
        </w:rPr>
        <w:t>. Proponents should invest in</w:t>
      </w:r>
      <w:r>
        <w:rPr>
          <w:rFonts w:cs="Arial"/>
        </w:rPr>
        <w:t xml:space="preserve"> </w:t>
      </w:r>
      <w:r w:rsidR="00ED1721">
        <w:rPr>
          <w:rFonts w:cs="Arial"/>
        </w:rPr>
        <w:t>making</w:t>
      </w:r>
      <w:r>
        <w:rPr>
          <w:rFonts w:cs="Arial"/>
        </w:rPr>
        <w:t xml:space="preserve"> these impressions as positive as possible.  </w:t>
      </w:r>
    </w:p>
    <w:p w14:paraId="1CC9D3C8" w14:textId="27EC14E4" w:rsidR="00C66F7A" w:rsidRDefault="00C66F7A" w:rsidP="00C66F7A">
      <w:pPr>
        <w:pStyle w:val="ListNumber"/>
        <w:numPr>
          <w:ilvl w:val="0"/>
          <w:numId w:val="0"/>
        </w:numPr>
        <w:spacing w:line="264" w:lineRule="auto"/>
        <w:ind w:left="284"/>
        <w:rPr>
          <w:rFonts w:cs="Arial"/>
        </w:rPr>
      </w:pPr>
      <w:r>
        <w:rPr>
          <w:rFonts w:cs="Arial"/>
        </w:rPr>
        <w:t xml:space="preserve">There </w:t>
      </w:r>
      <w:r w:rsidR="00ED1721">
        <w:rPr>
          <w:rFonts w:cs="Arial"/>
        </w:rPr>
        <w:t>are</w:t>
      </w:r>
      <w:r>
        <w:rPr>
          <w:rFonts w:cs="Arial"/>
        </w:rPr>
        <w:t xml:space="preserve"> significant opportunities to improve the skills and knowledge of front-line staff. TasNetworks is working with our Office to develop the inaugural in-person training program for Land Liaison Officers a</w:t>
      </w:r>
      <w:r w:rsidR="00ED1721">
        <w:rPr>
          <w:rFonts w:cs="Arial"/>
        </w:rPr>
        <w:t xml:space="preserve">nd </w:t>
      </w:r>
      <w:r>
        <w:rPr>
          <w:rFonts w:cs="Arial"/>
        </w:rPr>
        <w:t xml:space="preserve">other front-line support staff. The training will include role-plays </w:t>
      </w:r>
      <w:r w:rsidR="00ED1721">
        <w:rPr>
          <w:rFonts w:cs="Arial"/>
        </w:rPr>
        <w:t xml:space="preserve">so staff can </w:t>
      </w:r>
      <w:r>
        <w:rPr>
          <w:rFonts w:cs="Arial"/>
        </w:rPr>
        <w:t>practice and learn how to conduct effective meetings with landholders and the broader community</w:t>
      </w:r>
      <w:r w:rsidR="00ED1721">
        <w:rPr>
          <w:rFonts w:cs="Arial"/>
        </w:rPr>
        <w:t>. S</w:t>
      </w:r>
      <w:r>
        <w:rPr>
          <w:rFonts w:cs="Arial"/>
        </w:rPr>
        <w:t xml:space="preserve">ee also comments below in the </w:t>
      </w:r>
      <w:r w:rsidR="00C614C4">
        <w:rPr>
          <w:rFonts w:cs="Arial"/>
        </w:rPr>
        <w:t>‘</w:t>
      </w:r>
      <w:r>
        <w:rPr>
          <w:rFonts w:cs="Arial"/>
        </w:rPr>
        <w:t>Landholder Relations</w:t>
      </w:r>
      <w:r w:rsidR="00C614C4">
        <w:rPr>
          <w:rFonts w:cs="Arial"/>
        </w:rPr>
        <w:t>’</w:t>
      </w:r>
      <w:r>
        <w:rPr>
          <w:rFonts w:cs="Arial"/>
        </w:rPr>
        <w:t xml:space="preserve"> sub-section</w:t>
      </w:r>
      <w:r w:rsidR="00ED1721">
        <w:rPr>
          <w:rFonts w:cs="Arial"/>
        </w:rPr>
        <w:t>.</w:t>
      </w:r>
    </w:p>
    <w:p w14:paraId="05CE6B0A" w14:textId="77777777" w:rsidR="00C66F7A" w:rsidRPr="007A223C" w:rsidRDefault="00C66F7A" w:rsidP="00F25864">
      <w:pPr>
        <w:pStyle w:val="Heading3"/>
        <w:ind w:firstLine="284"/>
      </w:pPr>
      <w:bookmarkStart w:id="167" w:name="_Toc135390617"/>
      <w:r w:rsidRPr="007A223C">
        <w:t>Easement Acquisition</w:t>
      </w:r>
      <w:bookmarkEnd w:id="167"/>
    </w:p>
    <w:p w14:paraId="5AED07C4" w14:textId="7601F768" w:rsidR="00C66F7A" w:rsidRDefault="00C66F7A" w:rsidP="00C66F7A">
      <w:pPr>
        <w:pStyle w:val="ListNumber"/>
        <w:numPr>
          <w:ilvl w:val="0"/>
          <w:numId w:val="0"/>
        </w:numPr>
        <w:spacing w:line="264" w:lineRule="auto"/>
        <w:ind w:left="284"/>
        <w:rPr>
          <w:rFonts w:cs="Arial"/>
        </w:rPr>
      </w:pPr>
      <w:r>
        <w:rPr>
          <w:rFonts w:cs="Arial"/>
        </w:rPr>
        <w:t xml:space="preserve">Once the proposed transmission line route is well defined, proponents will seek to secure the </w:t>
      </w:r>
      <w:r w:rsidR="00332064">
        <w:rPr>
          <w:rFonts w:cs="Arial"/>
        </w:rPr>
        <w:t xml:space="preserve">easements </w:t>
      </w:r>
      <w:r>
        <w:rPr>
          <w:rFonts w:cs="Arial"/>
        </w:rPr>
        <w:t>required to build the transmission line.</w:t>
      </w:r>
    </w:p>
    <w:p w14:paraId="524FDFB1" w14:textId="7907819D" w:rsidR="00C66F7A" w:rsidRDefault="00C66F7A" w:rsidP="00C66F7A">
      <w:pPr>
        <w:pStyle w:val="ListNumber"/>
        <w:numPr>
          <w:ilvl w:val="0"/>
          <w:numId w:val="0"/>
        </w:numPr>
        <w:spacing w:line="264" w:lineRule="auto"/>
        <w:ind w:left="284"/>
        <w:rPr>
          <w:rFonts w:cs="Arial"/>
        </w:rPr>
      </w:pPr>
      <w:r>
        <w:rPr>
          <w:rFonts w:cs="Arial"/>
        </w:rPr>
        <w:t xml:space="preserve">Generally, landholders </w:t>
      </w:r>
      <w:r w:rsidR="00332064">
        <w:rPr>
          <w:rFonts w:cs="Arial"/>
        </w:rPr>
        <w:t>who are potential hosts of</w:t>
      </w:r>
      <w:r>
        <w:rPr>
          <w:rFonts w:cs="Arial"/>
        </w:rPr>
        <w:t xml:space="preserve"> the transmission line are asked to enter into an option agreement </w:t>
      </w:r>
      <w:r w:rsidR="00332064">
        <w:rPr>
          <w:rFonts w:cs="Arial"/>
        </w:rPr>
        <w:t>that</w:t>
      </w:r>
      <w:r>
        <w:rPr>
          <w:rFonts w:cs="Arial"/>
        </w:rPr>
        <w:t xml:space="preserve"> allows the proponent to undertake further surveys and investigations on the land </w:t>
      </w:r>
      <w:r w:rsidR="00332064">
        <w:rPr>
          <w:rFonts w:cs="Arial"/>
        </w:rPr>
        <w:t>and</w:t>
      </w:r>
      <w:r>
        <w:rPr>
          <w:rFonts w:cs="Arial"/>
        </w:rPr>
        <w:t xml:space="preserve"> provides the </w:t>
      </w:r>
      <w:r w:rsidR="00332064">
        <w:rPr>
          <w:rFonts w:cs="Arial"/>
        </w:rPr>
        <w:t xml:space="preserve">proponent with the </w:t>
      </w:r>
      <w:r>
        <w:rPr>
          <w:rFonts w:cs="Arial"/>
        </w:rPr>
        <w:t>option to create the easement.</w:t>
      </w:r>
    </w:p>
    <w:p w14:paraId="5D455BF2" w14:textId="26EA2B72" w:rsidR="00C66F7A" w:rsidRDefault="00C66F7A" w:rsidP="00C66F7A">
      <w:pPr>
        <w:pStyle w:val="ListNumber"/>
        <w:numPr>
          <w:ilvl w:val="0"/>
          <w:numId w:val="0"/>
        </w:numPr>
        <w:spacing w:line="264" w:lineRule="auto"/>
        <w:ind w:left="284"/>
        <w:rPr>
          <w:rFonts w:cs="Arial"/>
        </w:rPr>
      </w:pPr>
      <w:r>
        <w:rPr>
          <w:rFonts w:cs="Arial"/>
        </w:rPr>
        <w:t xml:space="preserve">Option agreements are typically for three years, with a further term of one year. </w:t>
      </w:r>
      <w:r w:rsidR="00332064">
        <w:rPr>
          <w:rFonts w:cs="Arial"/>
        </w:rPr>
        <w:t>Landholders</w:t>
      </w:r>
      <w:r>
        <w:rPr>
          <w:rFonts w:cs="Arial"/>
        </w:rPr>
        <w:t xml:space="preserve"> are </w:t>
      </w:r>
      <w:r w:rsidR="00332064">
        <w:rPr>
          <w:rFonts w:cs="Arial"/>
        </w:rPr>
        <w:t xml:space="preserve">generally </w:t>
      </w:r>
      <w:r>
        <w:rPr>
          <w:rFonts w:cs="Arial"/>
        </w:rPr>
        <w:t xml:space="preserve">paid a one-time, non-refundable fee for entering into the </w:t>
      </w:r>
      <w:r w:rsidR="00332064">
        <w:rPr>
          <w:rFonts w:cs="Arial"/>
        </w:rPr>
        <w:t>o</w:t>
      </w:r>
      <w:r>
        <w:rPr>
          <w:rFonts w:cs="Arial"/>
        </w:rPr>
        <w:t xml:space="preserve">ption agreement and a further fee if the agreement term is extended. </w:t>
      </w:r>
      <w:r w:rsidR="00332064">
        <w:rPr>
          <w:rFonts w:cs="Arial"/>
        </w:rPr>
        <w:t>We recommend</w:t>
      </w:r>
      <w:r>
        <w:rPr>
          <w:rFonts w:cs="Arial"/>
        </w:rPr>
        <w:t xml:space="preserve"> one </w:t>
      </w:r>
      <w:r w:rsidR="00332064">
        <w:rPr>
          <w:rFonts w:cs="Arial"/>
        </w:rPr>
        <w:t>o</w:t>
      </w:r>
      <w:r>
        <w:rPr>
          <w:rFonts w:cs="Arial"/>
        </w:rPr>
        <w:t>ption agreement per property title</w:t>
      </w:r>
      <w:r w:rsidR="00332064">
        <w:rPr>
          <w:rFonts w:cs="Arial"/>
        </w:rPr>
        <w:t xml:space="preserve"> with fees payable for entry into each agreement.</w:t>
      </w:r>
    </w:p>
    <w:p w14:paraId="48E53A2A" w14:textId="2DD5EC6A" w:rsidR="00C66F7A" w:rsidRDefault="00C66F7A" w:rsidP="00C66F7A">
      <w:pPr>
        <w:pStyle w:val="ListNumber"/>
        <w:numPr>
          <w:ilvl w:val="0"/>
          <w:numId w:val="0"/>
        </w:numPr>
        <w:spacing w:line="264" w:lineRule="auto"/>
        <w:ind w:left="284"/>
        <w:rPr>
          <w:rFonts w:cs="Arial"/>
        </w:rPr>
      </w:pPr>
      <w:r>
        <w:rPr>
          <w:rFonts w:cs="Arial"/>
        </w:rPr>
        <w:t xml:space="preserve">Prior to entering into the </w:t>
      </w:r>
      <w:r w:rsidR="005A40CE">
        <w:rPr>
          <w:rFonts w:cs="Arial"/>
        </w:rPr>
        <w:t>o</w:t>
      </w:r>
      <w:r>
        <w:rPr>
          <w:rFonts w:cs="Arial"/>
        </w:rPr>
        <w:t>ption agreement, the landholder and the proponent agree on the total compensation, and its components, to be paid to the landholder in the event the option is exercised by the proponent. Th</w:t>
      </w:r>
      <w:r w:rsidR="00782F86">
        <w:rPr>
          <w:rFonts w:cs="Arial"/>
        </w:rPr>
        <w:t>is</w:t>
      </w:r>
      <w:r>
        <w:rPr>
          <w:rFonts w:cs="Arial"/>
        </w:rPr>
        <w:t xml:space="preserve"> has traditionally been a one-off payment</w:t>
      </w:r>
      <w:r w:rsidR="00782F86">
        <w:rPr>
          <w:rFonts w:cs="Arial"/>
        </w:rPr>
        <w:t xml:space="preserve"> that </w:t>
      </w:r>
      <w:r>
        <w:rPr>
          <w:rFonts w:cs="Arial"/>
        </w:rPr>
        <w:t xml:space="preserve">is separate and </w:t>
      </w:r>
      <w:r w:rsidR="00782F86">
        <w:rPr>
          <w:rFonts w:cs="Arial"/>
        </w:rPr>
        <w:t xml:space="preserve">in addition to the </w:t>
      </w:r>
      <w:r>
        <w:rPr>
          <w:rFonts w:cs="Arial"/>
        </w:rPr>
        <w:t>fee payable on signing the</w:t>
      </w:r>
      <w:r w:rsidR="00782F86">
        <w:rPr>
          <w:rFonts w:cs="Arial"/>
        </w:rPr>
        <w:t xml:space="preserve"> option</w:t>
      </w:r>
      <w:r>
        <w:rPr>
          <w:rFonts w:cs="Arial"/>
        </w:rPr>
        <w:t xml:space="preserve"> agreement. </w:t>
      </w:r>
    </w:p>
    <w:p w14:paraId="1CF542A3" w14:textId="679A7852" w:rsidR="00C66F7A" w:rsidRDefault="00C66F7A" w:rsidP="00C66F7A">
      <w:pPr>
        <w:pStyle w:val="ListNumber"/>
        <w:numPr>
          <w:ilvl w:val="0"/>
          <w:numId w:val="0"/>
        </w:numPr>
        <w:spacing w:line="264" w:lineRule="auto"/>
        <w:ind w:left="284"/>
        <w:rPr>
          <w:rFonts w:cs="Arial"/>
        </w:rPr>
      </w:pPr>
      <w:r>
        <w:rPr>
          <w:rFonts w:cs="Arial"/>
        </w:rPr>
        <w:t xml:space="preserve">The compensation </w:t>
      </w:r>
      <w:r w:rsidR="00AA1F2B">
        <w:rPr>
          <w:rFonts w:cs="Arial"/>
        </w:rPr>
        <w:t xml:space="preserve">structure may be </w:t>
      </w:r>
      <w:r>
        <w:rPr>
          <w:rFonts w:cs="Arial"/>
        </w:rPr>
        <w:t>complex depending on the agreed impacts on the landholder’s property and the financial consequences of those impacts.</w:t>
      </w:r>
    </w:p>
    <w:p w14:paraId="080A37D7" w14:textId="2CC61485" w:rsidR="00C66F7A" w:rsidRDefault="00C66F7A" w:rsidP="00C66F7A">
      <w:pPr>
        <w:pStyle w:val="ListNumber"/>
        <w:numPr>
          <w:ilvl w:val="0"/>
          <w:numId w:val="0"/>
        </w:numPr>
        <w:spacing w:line="264" w:lineRule="auto"/>
        <w:ind w:left="284"/>
        <w:rPr>
          <w:rFonts w:cs="Arial"/>
        </w:rPr>
      </w:pPr>
      <w:r>
        <w:rPr>
          <w:rFonts w:cs="Arial"/>
        </w:rPr>
        <w:t>It is not uncommon for</w:t>
      </w:r>
      <w:r w:rsidR="00AA1F2B">
        <w:rPr>
          <w:rFonts w:cs="Arial"/>
        </w:rPr>
        <w:t xml:space="preserve"> the compensation to be paid in parts, for example</w:t>
      </w:r>
      <w:r>
        <w:rPr>
          <w:rFonts w:cs="Arial"/>
        </w:rPr>
        <w:t xml:space="preserve"> 75% </w:t>
      </w:r>
      <w:r w:rsidR="00AA1F2B">
        <w:rPr>
          <w:rFonts w:cs="Arial"/>
        </w:rPr>
        <w:t xml:space="preserve">of the compensation is payable on the exercise of the option </w:t>
      </w:r>
      <w:r>
        <w:rPr>
          <w:rFonts w:cs="Arial"/>
        </w:rPr>
        <w:t xml:space="preserve">with the balance to be paid at either the registration of easement or completion of project construction.  </w:t>
      </w:r>
    </w:p>
    <w:p w14:paraId="60D4B059" w14:textId="4BA470A7" w:rsidR="00AE29A6" w:rsidRDefault="00C66F7A" w:rsidP="00AE29A6">
      <w:pPr>
        <w:pStyle w:val="ListNumber"/>
        <w:numPr>
          <w:ilvl w:val="0"/>
          <w:numId w:val="0"/>
        </w:numPr>
        <w:spacing w:line="264" w:lineRule="auto"/>
        <w:ind w:left="284"/>
        <w:rPr>
          <w:rFonts w:cs="Arial"/>
        </w:rPr>
      </w:pPr>
      <w:r>
        <w:rPr>
          <w:rFonts w:cs="Arial"/>
        </w:rPr>
        <w:t xml:space="preserve">If the landholder and the proponent cannot agree </w:t>
      </w:r>
      <w:r w:rsidR="00AE29A6">
        <w:rPr>
          <w:rFonts w:cs="Arial"/>
        </w:rPr>
        <w:t>about acquisition of the easement, including about compensation</w:t>
      </w:r>
      <w:r>
        <w:rPr>
          <w:rFonts w:cs="Arial"/>
        </w:rPr>
        <w:t xml:space="preserve">, the proponent </w:t>
      </w:r>
      <w:r w:rsidR="00AE29A6">
        <w:rPr>
          <w:rFonts w:cs="Arial"/>
        </w:rPr>
        <w:t xml:space="preserve">may </w:t>
      </w:r>
      <w:r>
        <w:rPr>
          <w:rFonts w:cs="Arial"/>
        </w:rPr>
        <w:t xml:space="preserve">seek to compulsorily acquire the easement. </w:t>
      </w:r>
      <w:r w:rsidR="00AE29A6">
        <w:rPr>
          <w:rFonts w:cs="Arial"/>
        </w:rPr>
        <w:t>Each state has its own legislative procedure for compulsory acquisition of land. It is generally a</w:t>
      </w:r>
      <w:r>
        <w:rPr>
          <w:rFonts w:cs="Arial"/>
        </w:rPr>
        <w:t xml:space="preserve"> lengthy</w:t>
      </w:r>
      <w:r w:rsidR="00AE29A6">
        <w:rPr>
          <w:rFonts w:cs="Arial"/>
        </w:rPr>
        <w:t xml:space="preserve"> </w:t>
      </w:r>
      <w:r>
        <w:rPr>
          <w:rFonts w:cs="Arial"/>
        </w:rPr>
        <w:t>process</w:t>
      </w:r>
      <w:r w:rsidR="00AE29A6">
        <w:rPr>
          <w:rFonts w:cs="Arial"/>
        </w:rPr>
        <w:t xml:space="preserve"> with opportunities for either party to make applications to court on various matters.</w:t>
      </w:r>
      <w:r>
        <w:rPr>
          <w:rFonts w:cs="Arial"/>
        </w:rPr>
        <w:t xml:space="preserve"> </w:t>
      </w:r>
    </w:p>
    <w:p w14:paraId="0B861651" w14:textId="4BFFA63B" w:rsidR="00C66F7A" w:rsidRDefault="00AE29A6" w:rsidP="00C66F7A">
      <w:pPr>
        <w:pStyle w:val="ListNumber"/>
        <w:numPr>
          <w:ilvl w:val="0"/>
          <w:numId w:val="0"/>
        </w:numPr>
        <w:spacing w:line="264" w:lineRule="auto"/>
        <w:ind w:left="284"/>
        <w:rPr>
          <w:rFonts w:cs="Arial"/>
        </w:rPr>
      </w:pPr>
      <w:r>
        <w:rPr>
          <w:rFonts w:cs="Arial"/>
        </w:rPr>
        <w:t>It</w:t>
      </w:r>
      <w:r w:rsidR="00C66F7A">
        <w:rPr>
          <w:rFonts w:cs="Arial"/>
        </w:rPr>
        <w:t xml:space="preserve"> is certainly in the best interests of all parties that the proponent develops a good working relationship with the landholder and makes a genuine effort to negotiate in good faith the voluntary agreements for land access, </w:t>
      </w:r>
      <w:r>
        <w:rPr>
          <w:rFonts w:cs="Arial"/>
        </w:rPr>
        <w:t>acquisition of the easement and compensation</w:t>
      </w:r>
      <w:r w:rsidR="00C66F7A">
        <w:rPr>
          <w:rFonts w:cs="Arial"/>
        </w:rPr>
        <w:t xml:space="preserve">. </w:t>
      </w:r>
      <w:r>
        <w:rPr>
          <w:rFonts w:cs="Arial"/>
        </w:rPr>
        <w:t xml:space="preserve">Some jurisdictions also require that the </w:t>
      </w:r>
      <w:r w:rsidR="00C66F7A">
        <w:rPr>
          <w:rFonts w:cs="Arial"/>
        </w:rPr>
        <w:t xml:space="preserve">proponent may need to demonstrate their efforts to negotiate </w:t>
      </w:r>
      <w:r>
        <w:rPr>
          <w:rFonts w:cs="Arial"/>
        </w:rPr>
        <w:t>the voluntary agreement during the</w:t>
      </w:r>
      <w:r w:rsidR="00C66F7A">
        <w:rPr>
          <w:rFonts w:cs="Arial"/>
        </w:rPr>
        <w:t xml:space="preserve"> compulsory </w:t>
      </w:r>
      <w:r>
        <w:rPr>
          <w:rFonts w:cs="Arial"/>
        </w:rPr>
        <w:t>acquisition process</w:t>
      </w:r>
      <w:r w:rsidR="00C66F7A">
        <w:rPr>
          <w:rFonts w:cs="Arial"/>
        </w:rPr>
        <w:t>.</w:t>
      </w:r>
    </w:p>
    <w:p w14:paraId="299914A1" w14:textId="70B92D3E" w:rsidR="007A223C" w:rsidRDefault="007A223C" w:rsidP="00C66F7A">
      <w:pPr>
        <w:pStyle w:val="ListNumber"/>
        <w:numPr>
          <w:ilvl w:val="0"/>
          <w:numId w:val="0"/>
        </w:numPr>
        <w:spacing w:line="264" w:lineRule="auto"/>
        <w:ind w:left="284"/>
        <w:rPr>
          <w:rFonts w:cs="Arial"/>
        </w:rPr>
      </w:pPr>
    </w:p>
    <w:p w14:paraId="0B098BAD" w14:textId="77777777" w:rsidR="007A223C" w:rsidRDefault="007A223C" w:rsidP="00C66F7A">
      <w:pPr>
        <w:pStyle w:val="ListNumber"/>
        <w:numPr>
          <w:ilvl w:val="0"/>
          <w:numId w:val="0"/>
        </w:numPr>
        <w:spacing w:line="264" w:lineRule="auto"/>
        <w:ind w:left="284"/>
        <w:rPr>
          <w:rFonts w:cs="Arial"/>
        </w:rPr>
      </w:pPr>
    </w:p>
    <w:p w14:paraId="3212E7EF" w14:textId="77777777" w:rsidR="00C66F7A" w:rsidRPr="007A223C" w:rsidRDefault="00C66F7A" w:rsidP="00F25864">
      <w:pPr>
        <w:pStyle w:val="Heading3"/>
        <w:ind w:firstLine="284"/>
      </w:pPr>
      <w:bookmarkStart w:id="168" w:name="_Toc135390618"/>
      <w:r w:rsidRPr="007A223C">
        <w:lastRenderedPageBreak/>
        <w:t>Correspondence and Communications</w:t>
      </w:r>
      <w:bookmarkEnd w:id="168"/>
    </w:p>
    <w:p w14:paraId="2D35C6F2" w14:textId="2C351123" w:rsidR="00AE29A6" w:rsidRDefault="00AE29A6" w:rsidP="00C66F7A">
      <w:pPr>
        <w:pStyle w:val="ListNumber"/>
        <w:numPr>
          <w:ilvl w:val="0"/>
          <w:numId w:val="0"/>
        </w:numPr>
        <w:spacing w:line="264" w:lineRule="auto"/>
        <w:ind w:left="284"/>
        <w:rPr>
          <w:rFonts w:cs="Arial"/>
        </w:rPr>
      </w:pPr>
      <w:r>
        <w:rPr>
          <w:rFonts w:cs="Arial"/>
        </w:rPr>
        <w:t xml:space="preserve">The Commissioner has reviewed a range of </w:t>
      </w:r>
      <w:r w:rsidR="00C66F7A">
        <w:rPr>
          <w:rFonts w:cs="Arial"/>
        </w:rPr>
        <w:t xml:space="preserve">correspondence and </w:t>
      </w:r>
      <w:r>
        <w:rPr>
          <w:rFonts w:cs="Arial"/>
        </w:rPr>
        <w:t xml:space="preserve">other </w:t>
      </w:r>
      <w:r w:rsidR="00C66F7A">
        <w:rPr>
          <w:rFonts w:cs="Arial"/>
        </w:rPr>
        <w:t xml:space="preserve">documents </w:t>
      </w:r>
      <w:r>
        <w:rPr>
          <w:rFonts w:cs="Arial"/>
        </w:rPr>
        <w:t xml:space="preserve">prepared by </w:t>
      </w:r>
      <w:r w:rsidR="00C66F7A">
        <w:rPr>
          <w:rFonts w:cs="Arial"/>
        </w:rPr>
        <w:t xml:space="preserve">transmission proponents </w:t>
      </w:r>
      <w:r>
        <w:rPr>
          <w:rFonts w:cs="Arial"/>
        </w:rPr>
        <w:t xml:space="preserve">for </w:t>
      </w:r>
      <w:r w:rsidR="00C66F7A">
        <w:rPr>
          <w:rFonts w:cs="Arial"/>
        </w:rPr>
        <w:t>landholders</w:t>
      </w:r>
      <w:r>
        <w:rPr>
          <w:rFonts w:cs="Arial"/>
        </w:rPr>
        <w:t xml:space="preserve"> and the quality of these documents is generally poor</w:t>
      </w:r>
      <w:r w:rsidR="00C66F7A">
        <w:rPr>
          <w:rFonts w:cs="Arial"/>
        </w:rPr>
        <w:t xml:space="preserve">. </w:t>
      </w:r>
    </w:p>
    <w:p w14:paraId="53025179" w14:textId="1C4917E0" w:rsidR="00C66F7A" w:rsidRDefault="00AE29A6" w:rsidP="00AE29A6">
      <w:pPr>
        <w:pStyle w:val="ListNumber"/>
        <w:numPr>
          <w:ilvl w:val="0"/>
          <w:numId w:val="0"/>
        </w:numPr>
        <w:spacing w:line="264" w:lineRule="auto"/>
        <w:ind w:left="284"/>
        <w:rPr>
          <w:rFonts w:cs="Arial"/>
        </w:rPr>
      </w:pPr>
      <w:r>
        <w:rPr>
          <w:rFonts w:cs="Arial"/>
        </w:rPr>
        <w:t xml:space="preserve">Letters </w:t>
      </w:r>
      <w:r w:rsidR="00C66F7A">
        <w:rPr>
          <w:rFonts w:cs="Arial"/>
        </w:rPr>
        <w:t xml:space="preserve">are </w:t>
      </w:r>
      <w:r>
        <w:rPr>
          <w:rFonts w:cs="Arial"/>
        </w:rPr>
        <w:t xml:space="preserve">often </w:t>
      </w:r>
      <w:r w:rsidR="00C66F7A">
        <w:rPr>
          <w:rFonts w:cs="Arial"/>
        </w:rPr>
        <w:t xml:space="preserve">written from the proponent’s perspective, </w:t>
      </w:r>
      <w:r>
        <w:rPr>
          <w:rFonts w:cs="Arial"/>
        </w:rPr>
        <w:t>rely</w:t>
      </w:r>
      <w:r w:rsidR="00C66F7A">
        <w:rPr>
          <w:rFonts w:cs="Arial"/>
        </w:rPr>
        <w:t xml:space="preserve"> on legislative powers, </w:t>
      </w:r>
      <w:r>
        <w:rPr>
          <w:rFonts w:cs="Arial"/>
        </w:rPr>
        <w:t>are</w:t>
      </w:r>
      <w:r w:rsidR="00C66F7A">
        <w:rPr>
          <w:rFonts w:cs="Arial"/>
        </w:rPr>
        <w:t xml:space="preserve"> cumbersome in structure, lack clear objectives and </w:t>
      </w:r>
      <w:r>
        <w:rPr>
          <w:rFonts w:cs="Arial"/>
        </w:rPr>
        <w:t>fail to</w:t>
      </w:r>
      <w:r w:rsidR="00C66F7A">
        <w:rPr>
          <w:rFonts w:cs="Arial"/>
        </w:rPr>
        <w:t xml:space="preserve"> succinctly convey </w:t>
      </w:r>
      <w:r>
        <w:rPr>
          <w:rFonts w:cs="Arial"/>
        </w:rPr>
        <w:t xml:space="preserve">key information. Communication </w:t>
      </w:r>
      <w:r w:rsidR="00C66F7A">
        <w:rPr>
          <w:rFonts w:cs="Arial"/>
        </w:rPr>
        <w:t>often omit</w:t>
      </w:r>
      <w:r>
        <w:rPr>
          <w:rFonts w:cs="Arial"/>
        </w:rPr>
        <w:t>s</w:t>
      </w:r>
      <w:r w:rsidR="00C66F7A">
        <w:rPr>
          <w:rFonts w:cs="Arial"/>
        </w:rPr>
        <w:t xml:space="preserve"> </w:t>
      </w:r>
      <w:r>
        <w:rPr>
          <w:rFonts w:cs="Arial"/>
        </w:rPr>
        <w:t xml:space="preserve">relevant </w:t>
      </w:r>
      <w:r w:rsidR="00C66F7A">
        <w:rPr>
          <w:rFonts w:cs="Arial"/>
        </w:rPr>
        <w:t xml:space="preserve">contact </w:t>
      </w:r>
      <w:r>
        <w:rPr>
          <w:rFonts w:cs="Arial"/>
        </w:rPr>
        <w:t>information</w:t>
      </w:r>
      <w:r w:rsidR="00C66F7A">
        <w:rPr>
          <w:rFonts w:cs="Arial"/>
        </w:rPr>
        <w:t xml:space="preserve">, </w:t>
      </w:r>
      <w:r>
        <w:rPr>
          <w:rFonts w:cs="Arial"/>
        </w:rPr>
        <w:t>details of</w:t>
      </w:r>
      <w:r w:rsidR="00C66F7A">
        <w:rPr>
          <w:rFonts w:cs="Arial"/>
        </w:rPr>
        <w:t xml:space="preserve"> next steps </w:t>
      </w:r>
      <w:r>
        <w:rPr>
          <w:rFonts w:cs="Arial"/>
        </w:rPr>
        <w:t xml:space="preserve">and </w:t>
      </w:r>
      <w:r w:rsidR="00C66F7A">
        <w:rPr>
          <w:rFonts w:cs="Arial"/>
        </w:rPr>
        <w:t xml:space="preserve">information about where to send </w:t>
      </w:r>
      <w:r>
        <w:rPr>
          <w:rFonts w:cs="Arial"/>
        </w:rPr>
        <w:t xml:space="preserve">completed </w:t>
      </w:r>
      <w:r w:rsidR="00C66F7A">
        <w:rPr>
          <w:rFonts w:cs="Arial"/>
        </w:rPr>
        <w:t xml:space="preserve">documents. </w:t>
      </w:r>
      <w:r w:rsidR="002023AC">
        <w:rPr>
          <w:rFonts w:cs="Arial"/>
        </w:rPr>
        <w:t xml:space="preserve">For example, our Office reviewed </w:t>
      </w:r>
      <w:r w:rsidR="00C66F7A">
        <w:rPr>
          <w:rFonts w:cs="Arial"/>
        </w:rPr>
        <w:t xml:space="preserve">correspondence from a proponent </w:t>
      </w:r>
      <w:r w:rsidR="002023AC">
        <w:rPr>
          <w:rFonts w:cs="Arial"/>
        </w:rPr>
        <w:t xml:space="preserve">requesting </w:t>
      </w:r>
      <w:r w:rsidR="00C66F7A">
        <w:rPr>
          <w:rFonts w:cs="Arial"/>
        </w:rPr>
        <w:t>a meeting with a landholder</w:t>
      </w:r>
      <w:r w:rsidR="002023AC">
        <w:rPr>
          <w:rFonts w:cs="Arial"/>
        </w:rPr>
        <w:t xml:space="preserve"> that failed to include any information about how the meeting would be scheduled.</w:t>
      </w:r>
      <w:r w:rsidR="00C66F7A">
        <w:rPr>
          <w:rFonts w:cs="Arial"/>
        </w:rPr>
        <w:t xml:space="preserve"> </w:t>
      </w:r>
      <w:r w:rsidR="002023AC">
        <w:rPr>
          <w:rFonts w:cs="Arial"/>
        </w:rPr>
        <w:t>A phrase such as</w:t>
      </w:r>
      <w:r w:rsidR="00C66F7A">
        <w:rPr>
          <w:rFonts w:cs="Arial"/>
        </w:rPr>
        <w:t xml:space="preserve"> ‘we will be in contact with you via telephone in the next few days with the view to schedule a meeting in the week beginning 14 February 2023’</w:t>
      </w:r>
      <w:r w:rsidR="002023AC">
        <w:rPr>
          <w:rFonts w:cs="Arial"/>
        </w:rPr>
        <w:t xml:space="preserve"> would have been sufficient.</w:t>
      </w:r>
    </w:p>
    <w:p w14:paraId="1AFC6F9E" w14:textId="0FA268A0" w:rsidR="00C66F7A" w:rsidRDefault="002023AC" w:rsidP="00C66F7A">
      <w:pPr>
        <w:pStyle w:val="ListNumber"/>
        <w:numPr>
          <w:ilvl w:val="0"/>
          <w:numId w:val="0"/>
        </w:numPr>
        <w:spacing w:line="264" w:lineRule="auto"/>
        <w:ind w:left="284"/>
        <w:rPr>
          <w:rFonts w:cs="Arial"/>
        </w:rPr>
      </w:pPr>
      <w:r>
        <w:rPr>
          <w:rFonts w:cs="Arial"/>
        </w:rPr>
        <w:t>C</w:t>
      </w:r>
      <w:r w:rsidR="00C66F7A">
        <w:rPr>
          <w:rFonts w:cs="Arial"/>
        </w:rPr>
        <w:t xml:space="preserve">orrespondence from proponents often </w:t>
      </w:r>
      <w:r>
        <w:rPr>
          <w:rFonts w:cs="Arial"/>
        </w:rPr>
        <w:t>references</w:t>
      </w:r>
      <w:r w:rsidR="00C66F7A">
        <w:rPr>
          <w:rFonts w:cs="Arial"/>
        </w:rPr>
        <w:t xml:space="preserve"> legislative powers, such as compulsory land access or acquisition</w:t>
      </w:r>
      <w:r>
        <w:rPr>
          <w:rFonts w:cs="Arial"/>
        </w:rPr>
        <w:t>. The purpose of the letter may be to invite</w:t>
      </w:r>
      <w:r w:rsidR="00C66F7A">
        <w:rPr>
          <w:rFonts w:cs="Arial"/>
        </w:rPr>
        <w:t xml:space="preserve"> the landholder to negotiate an easement acquisition </w:t>
      </w:r>
      <w:r w:rsidR="006E499A">
        <w:rPr>
          <w:rFonts w:cs="Arial"/>
        </w:rPr>
        <w:t>agreement,</w:t>
      </w:r>
      <w:r>
        <w:rPr>
          <w:rFonts w:cs="Arial"/>
        </w:rPr>
        <w:t xml:space="preserve"> </w:t>
      </w:r>
      <w:r w:rsidR="00C66F7A">
        <w:rPr>
          <w:rFonts w:cs="Arial"/>
        </w:rPr>
        <w:t>but</w:t>
      </w:r>
      <w:r>
        <w:rPr>
          <w:rFonts w:cs="Arial"/>
        </w:rPr>
        <w:t xml:space="preserve"> the letter</w:t>
      </w:r>
      <w:r w:rsidR="00C66F7A">
        <w:rPr>
          <w:rFonts w:cs="Arial"/>
        </w:rPr>
        <w:t xml:space="preserve"> is too quick to point out that if an agreement </w:t>
      </w:r>
      <w:r>
        <w:rPr>
          <w:rFonts w:cs="Arial"/>
        </w:rPr>
        <w:t>is</w:t>
      </w:r>
      <w:r w:rsidR="00C66F7A">
        <w:rPr>
          <w:rFonts w:cs="Arial"/>
        </w:rPr>
        <w:t xml:space="preserve"> </w:t>
      </w:r>
      <w:r>
        <w:rPr>
          <w:rFonts w:cs="Arial"/>
        </w:rPr>
        <w:t xml:space="preserve">not </w:t>
      </w:r>
      <w:r w:rsidR="00C66F7A">
        <w:rPr>
          <w:rFonts w:cs="Arial"/>
        </w:rPr>
        <w:t xml:space="preserve">reached </w:t>
      </w:r>
      <w:r>
        <w:rPr>
          <w:rFonts w:cs="Arial"/>
        </w:rPr>
        <w:t xml:space="preserve">the </w:t>
      </w:r>
      <w:r w:rsidR="00C66F7A">
        <w:rPr>
          <w:rFonts w:cs="Arial"/>
        </w:rPr>
        <w:t xml:space="preserve">proponent </w:t>
      </w:r>
      <w:r>
        <w:rPr>
          <w:rFonts w:cs="Arial"/>
        </w:rPr>
        <w:t xml:space="preserve">may </w:t>
      </w:r>
      <w:r w:rsidR="00C66F7A">
        <w:rPr>
          <w:rFonts w:cs="Arial"/>
        </w:rPr>
        <w:t xml:space="preserve">compulsorily acquire the easement. </w:t>
      </w:r>
      <w:r>
        <w:rPr>
          <w:rFonts w:cs="Arial"/>
        </w:rPr>
        <w:t xml:space="preserve">Landholders receiving this correspondence are likely to perceive a threat and doubt the proponent’s </w:t>
      </w:r>
      <w:r w:rsidR="00C66F7A">
        <w:rPr>
          <w:rFonts w:cs="Arial"/>
        </w:rPr>
        <w:t>spirit of genuine negotiation</w:t>
      </w:r>
      <w:r>
        <w:rPr>
          <w:rFonts w:cs="Arial"/>
        </w:rPr>
        <w:t>.</w:t>
      </w:r>
    </w:p>
    <w:p w14:paraId="29CA6D41" w14:textId="03EAA5C0" w:rsidR="009076D1" w:rsidRDefault="00C66F7A" w:rsidP="009076D1">
      <w:pPr>
        <w:pStyle w:val="ListNumber"/>
        <w:numPr>
          <w:ilvl w:val="0"/>
          <w:numId w:val="0"/>
        </w:numPr>
        <w:spacing w:line="264" w:lineRule="auto"/>
        <w:ind w:left="284"/>
        <w:rPr>
          <w:rFonts w:cs="Arial"/>
        </w:rPr>
      </w:pPr>
      <w:r>
        <w:rPr>
          <w:rFonts w:cs="Arial"/>
        </w:rPr>
        <w:t xml:space="preserve">Correspondence should be written from the landholder’s perspective, </w:t>
      </w:r>
      <w:r w:rsidR="009076D1">
        <w:rPr>
          <w:rFonts w:cs="Arial"/>
        </w:rPr>
        <w:t>clearly state its</w:t>
      </w:r>
      <w:r>
        <w:rPr>
          <w:rFonts w:cs="Arial"/>
        </w:rPr>
        <w:t xml:space="preserve"> objective </w:t>
      </w:r>
      <w:r w:rsidR="009076D1">
        <w:rPr>
          <w:rFonts w:cs="Arial"/>
        </w:rPr>
        <w:t>and</w:t>
      </w:r>
      <w:r>
        <w:rPr>
          <w:rFonts w:cs="Arial"/>
        </w:rPr>
        <w:t xml:space="preserve"> </w:t>
      </w:r>
      <w:r w:rsidR="009076D1">
        <w:rPr>
          <w:rFonts w:cs="Arial"/>
        </w:rPr>
        <w:t xml:space="preserve">provide </w:t>
      </w:r>
      <w:r>
        <w:rPr>
          <w:rFonts w:cs="Arial"/>
        </w:rPr>
        <w:t>the</w:t>
      </w:r>
      <w:r w:rsidR="009076D1">
        <w:rPr>
          <w:rFonts w:cs="Arial"/>
        </w:rPr>
        <w:t xml:space="preserve"> key information required </w:t>
      </w:r>
      <w:r>
        <w:rPr>
          <w:rFonts w:cs="Arial"/>
        </w:rPr>
        <w:t xml:space="preserve">to achieve the objective. </w:t>
      </w:r>
    </w:p>
    <w:p w14:paraId="59C0CF8A" w14:textId="3602F053" w:rsidR="009076D1" w:rsidRDefault="009076D1" w:rsidP="009076D1">
      <w:pPr>
        <w:pStyle w:val="ListNumber"/>
        <w:numPr>
          <w:ilvl w:val="0"/>
          <w:numId w:val="0"/>
        </w:numPr>
        <w:spacing w:line="264" w:lineRule="auto"/>
        <w:ind w:left="284"/>
        <w:rPr>
          <w:rFonts w:cs="Arial"/>
        </w:rPr>
      </w:pPr>
      <w:r>
        <w:rPr>
          <w:rFonts w:cs="Arial"/>
        </w:rPr>
        <w:t>Our Office is working with some proponents to develop their correspondence and we are encouraged by their willingness to improve. We would welcome opportunities to work with other proponents in this regard.</w:t>
      </w:r>
    </w:p>
    <w:p w14:paraId="2B3F2A0A" w14:textId="27CD6F38" w:rsidR="00C66F7A" w:rsidRDefault="00C66F7A" w:rsidP="004438DA">
      <w:pPr>
        <w:pStyle w:val="ListNumber"/>
        <w:numPr>
          <w:ilvl w:val="0"/>
          <w:numId w:val="0"/>
        </w:numPr>
        <w:spacing w:line="264" w:lineRule="auto"/>
        <w:ind w:left="284"/>
        <w:rPr>
          <w:rFonts w:cs="Arial"/>
        </w:rPr>
      </w:pPr>
      <w:r>
        <w:rPr>
          <w:rFonts w:cs="Arial"/>
        </w:rPr>
        <w:t xml:space="preserve">Project fact sheets and guidelines </w:t>
      </w:r>
      <w:r w:rsidR="009076D1">
        <w:rPr>
          <w:rFonts w:cs="Arial"/>
        </w:rPr>
        <w:t>prepared by proponents have been</w:t>
      </w:r>
      <w:r>
        <w:rPr>
          <w:rFonts w:cs="Arial"/>
        </w:rPr>
        <w:t xml:space="preserve"> mixed in their quality and content. </w:t>
      </w:r>
      <w:r w:rsidR="009076D1">
        <w:rPr>
          <w:rFonts w:cs="Arial"/>
        </w:rPr>
        <w:t>T</w:t>
      </w:r>
      <w:r>
        <w:rPr>
          <w:rFonts w:cs="Arial"/>
        </w:rPr>
        <w:t>hese documents should be written from the perspective of the landholder</w:t>
      </w:r>
      <w:r w:rsidR="009076D1">
        <w:rPr>
          <w:rFonts w:cs="Arial"/>
        </w:rPr>
        <w:t xml:space="preserve"> or </w:t>
      </w:r>
      <w:r>
        <w:rPr>
          <w:rFonts w:cs="Arial"/>
        </w:rPr>
        <w:t xml:space="preserve">community member and </w:t>
      </w:r>
      <w:r w:rsidR="009076D1">
        <w:rPr>
          <w:rFonts w:cs="Arial"/>
        </w:rPr>
        <w:t xml:space="preserve">should </w:t>
      </w:r>
      <w:r>
        <w:rPr>
          <w:rFonts w:cs="Arial"/>
        </w:rPr>
        <w:t>succinctly provide key information</w:t>
      </w:r>
      <w:r w:rsidR="009076D1">
        <w:rPr>
          <w:rFonts w:cs="Arial"/>
        </w:rPr>
        <w:t>.</w:t>
      </w:r>
      <w:r w:rsidR="004438DA">
        <w:rPr>
          <w:rFonts w:cs="Arial"/>
        </w:rPr>
        <w:t xml:space="preserve"> </w:t>
      </w:r>
      <w:r>
        <w:rPr>
          <w:rFonts w:cs="Arial"/>
        </w:rPr>
        <w:t xml:space="preserve">For example, </w:t>
      </w:r>
      <w:r w:rsidR="004438DA">
        <w:rPr>
          <w:rFonts w:cs="Arial"/>
        </w:rPr>
        <w:t>a</w:t>
      </w:r>
      <w:r>
        <w:rPr>
          <w:rFonts w:cs="Arial"/>
        </w:rPr>
        <w:t xml:space="preserve"> fact sheet about </w:t>
      </w:r>
      <w:r w:rsidR="004438DA">
        <w:rPr>
          <w:rFonts w:cs="Arial"/>
        </w:rPr>
        <w:t xml:space="preserve">the use of </w:t>
      </w:r>
      <w:r>
        <w:rPr>
          <w:rFonts w:cs="Arial"/>
        </w:rPr>
        <w:t xml:space="preserve">farming equipment underneath </w:t>
      </w:r>
      <w:r w:rsidR="004438DA">
        <w:rPr>
          <w:rFonts w:cs="Arial"/>
        </w:rPr>
        <w:t xml:space="preserve">a </w:t>
      </w:r>
      <w:r>
        <w:rPr>
          <w:rFonts w:cs="Arial"/>
        </w:rPr>
        <w:t>transmission line</w:t>
      </w:r>
      <w:r w:rsidR="004438DA">
        <w:rPr>
          <w:rFonts w:cs="Arial"/>
        </w:rPr>
        <w:t xml:space="preserve"> that explains the need for a permit from the transmission operator to use equipment over a certain height </w:t>
      </w:r>
      <w:r w:rsidR="000F0188">
        <w:rPr>
          <w:rFonts w:cs="Arial"/>
        </w:rPr>
        <w:t>should also</w:t>
      </w:r>
      <w:r>
        <w:rPr>
          <w:rFonts w:cs="Arial"/>
        </w:rPr>
        <w:t xml:space="preserve"> clearly explain how to obtain a permit,</w:t>
      </w:r>
      <w:r w:rsidR="004438DA">
        <w:rPr>
          <w:rFonts w:cs="Arial"/>
        </w:rPr>
        <w:t xml:space="preserve"> including the</w:t>
      </w:r>
      <w:r>
        <w:rPr>
          <w:rFonts w:cs="Arial"/>
        </w:rPr>
        <w:t xml:space="preserve"> timeframes and fees payable, along with the process to appeal a declined permit request. The height threshold should be realistic and consistent with regulator standards.</w:t>
      </w:r>
    </w:p>
    <w:p w14:paraId="313C7FD3" w14:textId="77777777" w:rsidR="00C66F7A" w:rsidRPr="007A223C" w:rsidRDefault="00C66F7A" w:rsidP="00F25864">
      <w:pPr>
        <w:pStyle w:val="Heading3"/>
        <w:ind w:firstLine="284"/>
      </w:pPr>
      <w:bookmarkStart w:id="169" w:name="_Toc135390619"/>
      <w:r w:rsidRPr="007A223C">
        <w:t>Landholder Relations</w:t>
      </w:r>
      <w:bookmarkEnd w:id="169"/>
    </w:p>
    <w:p w14:paraId="79009259" w14:textId="13BD698A" w:rsidR="00C66F7A" w:rsidRDefault="00C66F7A" w:rsidP="00C66F7A">
      <w:pPr>
        <w:pStyle w:val="ListNumber"/>
        <w:numPr>
          <w:ilvl w:val="0"/>
          <w:numId w:val="0"/>
        </w:numPr>
        <w:spacing w:line="264" w:lineRule="auto"/>
        <w:ind w:left="284"/>
        <w:rPr>
          <w:rFonts w:cs="Arial"/>
        </w:rPr>
      </w:pPr>
      <w:r>
        <w:rPr>
          <w:rFonts w:cs="Arial"/>
        </w:rPr>
        <w:t xml:space="preserve">Proponents </w:t>
      </w:r>
      <w:r w:rsidR="004331A7">
        <w:rPr>
          <w:rFonts w:cs="Arial"/>
        </w:rPr>
        <w:t xml:space="preserve">generally utilise </w:t>
      </w:r>
      <w:r>
        <w:rPr>
          <w:rFonts w:cs="Arial"/>
        </w:rPr>
        <w:t>‘Landholder Liaison Officer</w:t>
      </w:r>
      <w:r w:rsidR="004331A7">
        <w:rPr>
          <w:rFonts w:cs="Arial"/>
        </w:rPr>
        <w:t>s</w:t>
      </w:r>
      <w:r>
        <w:rPr>
          <w:rFonts w:cs="Arial"/>
        </w:rPr>
        <w:t xml:space="preserve">’ or similar </w:t>
      </w:r>
      <w:r w:rsidR="004331A7">
        <w:rPr>
          <w:rFonts w:cs="Arial"/>
        </w:rPr>
        <w:t>to engage with landholders</w:t>
      </w:r>
      <w:r>
        <w:rPr>
          <w:rFonts w:cs="Arial"/>
        </w:rPr>
        <w:t xml:space="preserve">. These </w:t>
      </w:r>
      <w:r w:rsidR="004331A7">
        <w:rPr>
          <w:rFonts w:cs="Arial"/>
        </w:rPr>
        <w:t xml:space="preserve">officers are either employed by the proponent or by a third party that is contracted by the proponent to provide these services. </w:t>
      </w:r>
      <w:r>
        <w:rPr>
          <w:rFonts w:cs="Arial"/>
        </w:rPr>
        <w:t xml:space="preserve">The scope of </w:t>
      </w:r>
      <w:r w:rsidR="004331A7">
        <w:rPr>
          <w:rFonts w:cs="Arial"/>
        </w:rPr>
        <w:t xml:space="preserve">the </w:t>
      </w:r>
      <w:r>
        <w:rPr>
          <w:rFonts w:cs="Arial"/>
        </w:rPr>
        <w:t xml:space="preserve">role </w:t>
      </w:r>
      <w:r w:rsidR="004331A7">
        <w:rPr>
          <w:rFonts w:cs="Arial"/>
        </w:rPr>
        <w:t>varies and generally includes:</w:t>
      </w:r>
    </w:p>
    <w:p w14:paraId="25FB523A" w14:textId="64868136" w:rsidR="00C66F7A" w:rsidRDefault="00C66F7A" w:rsidP="00C66F7A">
      <w:pPr>
        <w:pStyle w:val="ListNumber"/>
        <w:numPr>
          <w:ilvl w:val="0"/>
          <w:numId w:val="26"/>
        </w:numPr>
        <w:spacing w:line="264" w:lineRule="auto"/>
        <w:rPr>
          <w:rFonts w:cs="Arial"/>
        </w:rPr>
      </w:pPr>
      <w:r>
        <w:rPr>
          <w:rFonts w:cs="Arial"/>
        </w:rPr>
        <w:t>Establishing relationships with individual landholders</w:t>
      </w:r>
    </w:p>
    <w:p w14:paraId="358E3225" w14:textId="3B152E0C" w:rsidR="00C66F7A" w:rsidRDefault="00C66F7A" w:rsidP="00C66F7A">
      <w:pPr>
        <w:pStyle w:val="ListNumber"/>
        <w:numPr>
          <w:ilvl w:val="0"/>
          <w:numId w:val="26"/>
        </w:numPr>
        <w:spacing w:line="264" w:lineRule="auto"/>
        <w:rPr>
          <w:rFonts w:cs="Arial"/>
        </w:rPr>
      </w:pPr>
      <w:r>
        <w:rPr>
          <w:rFonts w:cs="Arial"/>
        </w:rPr>
        <w:t>Understanding the landholder’s situation, property</w:t>
      </w:r>
      <w:r w:rsidR="004331A7">
        <w:rPr>
          <w:rFonts w:cs="Arial"/>
        </w:rPr>
        <w:t xml:space="preserve">, </w:t>
      </w:r>
      <w:r>
        <w:rPr>
          <w:rFonts w:cs="Arial"/>
        </w:rPr>
        <w:t>farming enterprise or other land</w:t>
      </w:r>
      <w:r w:rsidR="004331A7">
        <w:rPr>
          <w:rFonts w:cs="Arial"/>
        </w:rPr>
        <w:t xml:space="preserve"> </w:t>
      </w:r>
      <w:r>
        <w:rPr>
          <w:rFonts w:cs="Arial"/>
        </w:rPr>
        <w:t>use</w:t>
      </w:r>
    </w:p>
    <w:p w14:paraId="2B267C53" w14:textId="75E67660" w:rsidR="00C66F7A" w:rsidRDefault="00C66F7A" w:rsidP="00C66F7A">
      <w:pPr>
        <w:pStyle w:val="ListNumber"/>
        <w:numPr>
          <w:ilvl w:val="0"/>
          <w:numId w:val="26"/>
        </w:numPr>
        <w:spacing w:line="264" w:lineRule="auto"/>
        <w:rPr>
          <w:rFonts w:cs="Arial"/>
        </w:rPr>
      </w:pPr>
      <w:r>
        <w:rPr>
          <w:rFonts w:cs="Arial"/>
        </w:rPr>
        <w:t xml:space="preserve">Negotiating and managing access to the property </w:t>
      </w:r>
      <w:r w:rsidR="004331A7">
        <w:rPr>
          <w:rFonts w:cs="Arial"/>
        </w:rPr>
        <w:t xml:space="preserve">to conduct </w:t>
      </w:r>
      <w:r>
        <w:rPr>
          <w:rFonts w:cs="Arial"/>
        </w:rPr>
        <w:t xml:space="preserve">surveys and assessments which may be used in route selection decisions </w:t>
      </w:r>
      <w:r w:rsidR="004331A7">
        <w:rPr>
          <w:rFonts w:cs="Arial"/>
        </w:rPr>
        <w:t>or</w:t>
      </w:r>
      <w:r>
        <w:rPr>
          <w:rFonts w:cs="Arial"/>
        </w:rPr>
        <w:t xml:space="preserve"> planning and environmental applications</w:t>
      </w:r>
    </w:p>
    <w:p w14:paraId="7E7C4F8B" w14:textId="469464B3" w:rsidR="00C66F7A" w:rsidRDefault="00C66F7A" w:rsidP="00C66F7A">
      <w:pPr>
        <w:pStyle w:val="ListNumber"/>
        <w:numPr>
          <w:ilvl w:val="0"/>
          <w:numId w:val="26"/>
        </w:numPr>
        <w:spacing w:line="264" w:lineRule="auto"/>
        <w:rPr>
          <w:rFonts w:cs="Arial"/>
        </w:rPr>
      </w:pPr>
      <w:r>
        <w:rPr>
          <w:rFonts w:cs="Arial"/>
        </w:rPr>
        <w:t xml:space="preserve">Facilitating the negotiation process for </w:t>
      </w:r>
      <w:r w:rsidR="004331A7">
        <w:rPr>
          <w:rFonts w:cs="Arial"/>
        </w:rPr>
        <w:t>option agreements</w:t>
      </w:r>
      <w:r>
        <w:rPr>
          <w:rFonts w:cs="Arial"/>
        </w:rPr>
        <w:t xml:space="preserve"> and </w:t>
      </w:r>
      <w:r w:rsidR="004331A7">
        <w:rPr>
          <w:rFonts w:cs="Arial"/>
        </w:rPr>
        <w:t>easement acquisition</w:t>
      </w:r>
    </w:p>
    <w:p w14:paraId="02048E12" w14:textId="0C995ECD" w:rsidR="00C66F7A" w:rsidRDefault="00C66F7A" w:rsidP="00C66F7A">
      <w:pPr>
        <w:pStyle w:val="ListNumber"/>
        <w:numPr>
          <w:ilvl w:val="0"/>
          <w:numId w:val="26"/>
        </w:numPr>
        <w:spacing w:line="264" w:lineRule="auto"/>
        <w:rPr>
          <w:rFonts w:cs="Arial"/>
        </w:rPr>
      </w:pPr>
      <w:r>
        <w:rPr>
          <w:rFonts w:cs="Arial"/>
        </w:rPr>
        <w:t>Being the proponent’s point of contact for the landholder and the landholder</w:t>
      </w:r>
      <w:r w:rsidR="004331A7">
        <w:rPr>
          <w:rFonts w:cs="Arial"/>
        </w:rPr>
        <w:t>’s advocate</w:t>
      </w:r>
      <w:r>
        <w:rPr>
          <w:rFonts w:cs="Arial"/>
        </w:rPr>
        <w:t xml:space="preserve"> </w:t>
      </w:r>
      <w:r w:rsidR="004331A7">
        <w:rPr>
          <w:rFonts w:cs="Arial"/>
        </w:rPr>
        <w:t>to the proponent</w:t>
      </w:r>
    </w:p>
    <w:p w14:paraId="03CB04B6" w14:textId="6A713766" w:rsidR="00C66F7A" w:rsidRDefault="00C66F7A" w:rsidP="00C66F7A">
      <w:pPr>
        <w:pStyle w:val="ListNumber"/>
        <w:numPr>
          <w:ilvl w:val="0"/>
          <w:numId w:val="0"/>
        </w:numPr>
        <w:spacing w:line="264" w:lineRule="auto"/>
        <w:ind w:left="426"/>
        <w:rPr>
          <w:rFonts w:cs="Arial"/>
        </w:rPr>
      </w:pPr>
      <w:r>
        <w:rPr>
          <w:rFonts w:cs="Arial"/>
        </w:rPr>
        <w:t>As transmission projects on this scale have not been undertaken for decades, the skills required for these critical roles are not easily found</w:t>
      </w:r>
      <w:r w:rsidR="004331A7">
        <w:rPr>
          <w:rFonts w:cs="Arial"/>
        </w:rPr>
        <w:t xml:space="preserve"> and our office has</w:t>
      </w:r>
      <w:r>
        <w:rPr>
          <w:rFonts w:cs="Arial"/>
        </w:rPr>
        <w:t xml:space="preserve"> observed mixed results in the effectiveness of these essential relationship management roles</w:t>
      </w:r>
      <w:r w:rsidR="004331A7">
        <w:rPr>
          <w:rFonts w:cs="Arial"/>
        </w:rPr>
        <w:t>.</w:t>
      </w:r>
    </w:p>
    <w:p w14:paraId="1E806821" w14:textId="2E35A190" w:rsidR="00C66F7A" w:rsidRDefault="004331A7" w:rsidP="00C66F7A">
      <w:pPr>
        <w:pStyle w:val="ListNumber"/>
        <w:numPr>
          <w:ilvl w:val="0"/>
          <w:numId w:val="0"/>
        </w:numPr>
        <w:spacing w:line="264" w:lineRule="auto"/>
        <w:ind w:left="426"/>
        <w:rPr>
          <w:rFonts w:cs="Arial"/>
        </w:rPr>
      </w:pPr>
      <w:r>
        <w:rPr>
          <w:rFonts w:cs="Arial"/>
        </w:rPr>
        <w:lastRenderedPageBreak/>
        <w:t>We recommend that the transmission industry</w:t>
      </w:r>
      <w:r w:rsidR="00C66F7A">
        <w:rPr>
          <w:rFonts w:cs="Arial"/>
        </w:rPr>
        <w:t xml:space="preserve"> revisit how to ensure these roles are effective and re-consider all aspects of the role </w:t>
      </w:r>
      <w:r>
        <w:rPr>
          <w:rFonts w:cs="Arial"/>
        </w:rPr>
        <w:t xml:space="preserve">including the ratio of officers to landholders, </w:t>
      </w:r>
      <w:r w:rsidR="00C66F7A">
        <w:rPr>
          <w:rFonts w:cs="Arial"/>
        </w:rPr>
        <w:t xml:space="preserve">recruitment, training, </w:t>
      </w:r>
      <w:r>
        <w:rPr>
          <w:rFonts w:cs="Arial"/>
        </w:rPr>
        <w:t xml:space="preserve">prior </w:t>
      </w:r>
      <w:r w:rsidR="00C66F7A">
        <w:rPr>
          <w:rFonts w:cs="Arial"/>
        </w:rPr>
        <w:t>experience, location, scope of role, performance measurement</w:t>
      </w:r>
      <w:r>
        <w:rPr>
          <w:rFonts w:cs="Arial"/>
        </w:rPr>
        <w:t>s, feedback and other parameters.</w:t>
      </w:r>
    </w:p>
    <w:p w14:paraId="5056D5BC"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2E527410" w14:textId="4A03B6A3" w:rsidR="00C66F7A" w:rsidRDefault="00C66F7A" w:rsidP="00C66F7A">
      <w:pPr>
        <w:pStyle w:val="ListParagraph"/>
        <w:numPr>
          <w:ilvl w:val="2"/>
          <w:numId w:val="8"/>
        </w:numPr>
        <w:spacing w:line="264" w:lineRule="auto"/>
        <w:ind w:left="1400" w:hanging="680"/>
        <w:rPr>
          <w:rFonts w:cs="Arial"/>
        </w:rPr>
      </w:pPr>
      <w:r w:rsidRPr="00FC45E9">
        <w:rPr>
          <w:rFonts w:cs="Arial"/>
        </w:rPr>
        <w:t>The developer should ensure that land</w:t>
      </w:r>
      <w:r>
        <w:rPr>
          <w:rFonts w:cs="Arial"/>
        </w:rPr>
        <w:t>holder</w:t>
      </w:r>
      <w:r w:rsidRPr="00FC45E9">
        <w:rPr>
          <w:rFonts w:cs="Arial"/>
        </w:rPr>
        <w:t xml:space="preserve"> expectations are properly managed from the outset of negotiations and that potential host land</w:t>
      </w:r>
      <w:r>
        <w:rPr>
          <w:rFonts w:cs="Arial"/>
        </w:rPr>
        <w:t>holders</w:t>
      </w:r>
      <w:r w:rsidRPr="00FC45E9">
        <w:rPr>
          <w:rFonts w:cs="Arial"/>
        </w:rPr>
        <w:t xml:space="preserve"> are made fully aware of risks</w:t>
      </w:r>
      <w:r w:rsidR="004331A7">
        <w:rPr>
          <w:rFonts w:cs="Arial"/>
        </w:rPr>
        <w:t xml:space="preserve"> including variations to the project plan during the development </w:t>
      </w:r>
      <w:r w:rsidR="00ED5D95">
        <w:rPr>
          <w:rFonts w:cs="Arial"/>
        </w:rPr>
        <w:t>phase</w:t>
      </w:r>
      <w:r w:rsidR="004331A7">
        <w:rPr>
          <w:rFonts w:cs="Arial"/>
        </w:rPr>
        <w:t xml:space="preserve">. Changes such as </w:t>
      </w:r>
      <w:r w:rsidR="00ED5D95">
        <w:rPr>
          <w:rFonts w:cs="Arial"/>
        </w:rPr>
        <w:t>a</w:t>
      </w:r>
      <w:r w:rsidRPr="00FC45E9">
        <w:rPr>
          <w:rFonts w:cs="Arial"/>
        </w:rPr>
        <w:t xml:space="preserve"> reduction </w:t>
      </w:r>
      <w:r w:rsidR="00ED5D95">
        <w:rPr>
          <w:rFonts w:cs="Arial"/>
        </w:rPr>
        <w:t>to</w:t>
      </w:r>
      <w:r w:rsidR="00ED5D95" w:rsidRPr="00FC45E9">
        <w:rPr>
          <w:rFonts w:cs="Arial"/>
        </w:rPr>
        <w:t xml:space="preserve"> </w:t>
      </w:r>
      <w:r>
        <w:rPr>
          <w:rFonts w:cs="Arial"/>
        </w:rPr>
        <w:t>the number of hosted assets</w:t>
      </w:r>
      <w:r w:rsidR="004331A7">
        <w:rPr>
          <w:rFonts w:cs="Arial"/>
        </w:rPr>
        <w:t xml:space="preserve"> or </w:t>
      </w:r>
      <w:r w:rsidRPr="00FC45E9">
        <w:rPr>
          <w:rFonts w:cs="Arial"/>
        </w:rPr>
        <w:t xml:space="preserve">relocation of </w:t>
      </w:r>
      <w:r>
        <w:rPr>
          <w:rFonts w:cs="Arial"/>
        </w:rPr>
        <w:t>assets</w:t>
      </w:r>
      <w:r w:rsidRPr="00FC45E9">
        <w:rPr>
          <w:rFonts w:cs="Arial"/>
        </w:rPr>
        <w:t xml:space="preserve"> </w:t>
      </w:r>
      <w:r>
        <w:rPr>
          <w:rFonts w:cs="Arial"/>
        </w:rPr>
        <w:t xml:space="preserve">on or from the landholder’s property </w:t>
      </w:r>
      <w:r w:rsidR="004331A7">
        <w:rPr>
          <w:rFonts w:cs="Arial"/>
        </w:rPr>
        <w:t>may have significant impacts for landholders.</w:t>
      </w:r>
      <w:r w:rsidRPr="00FC45E9">
        <w:rPr>
          <w:rFonts w:cs="Arial"/>
        </w:rPr>
        <w:t xml:space="preserve"> </w:t>
      </w:r>
    </w:p>
    <w:p w14:paraId="2C3B550B" w14:textId="49F28A88" w:rsidR="00C66F7A" w:rsidRPr="00FC45E9" w:rsidRDefault="00C66F7A" w:rsidP="00C66F7A">
      <w:pPr>
        <w:pStyle w:val="ListParagraph"/>
        <w:numPr>
          <w:ilvl w:val="2"/>
          <w:numId w:val="8"/>
        </w:numPr>
        <w:spacing w:line="264" w:lineRule="auto"/>
        <w:ind w:left="1400" w:hanging="680"/>
        <w:rPr>
          <w:rFonts w:cs="Arial"/>
        </w:rPr>
      </w:pPr>
      <w:r>
        <w:rPr>
          <w:rFonts w:cs="Arial"/>
        </w:rPr>
        <w:t>License a</w:t>
      </w:r>
      <w:r w:rsidRPr="00FC45E9">
        <w:rPr>
          <w:rFonts w:cs="Arial"/>
        </w:rPr>
        <w:t>greements that enable the developer to</w:t>
      </w:r>
      <w:r w:rsidR="00ED5D95">
        <w:rPr>
          <w:rFonts w:cs="Arial"/>
        </w:rPr>
        <w:t xml:space="preserve"> </w:t>
      </w:r>
      <w:r>
        <w:rPr>
          <w:rFonts w:cs="Arial"/>
        </w:rPr>
        <w:t xml:space="preserve">access and ultimately lease </w:t>
      </w:r>
      <w:r w:rsidRPr="00FC45E9">
        <w:rPr>
          <w:rFonts w:cs="Arial"/>
        </w:rPr>
        <w:t>the land</w:t>
      </w:r>
      <w:r>
        <w:rPr>
          <w:rFonts w:cs="Arial"/>
        </w:rPr>
        <w:t>holder</w:t>
      </w:r>
      <w:r w:rsidRPr="00FC45E9">
        <w:rPr>
          <w:rFonts w:cs="Arial"/>
        </w:rPr>
        <w:t>’s property should have fair and reasonable provisions</w:t>
      </w:r>
      <w:r>
        <w:rPr>
          <w:rFonts w:cs="Arial"/>
        </w:rPr>
        <w:t xml:space="preserve">, including for payments to be made to the landholder and </w:t>
      </w:r>
      <w:r w:rsidR="00ED5D95">
        <w:rPr>
          <w:rFonts w:cs="Arial"/>
        </w:rPr>
        <w:t xml:space="preserve">for the landholder </w:t>
      </w:r>
      <w:r w:rsidRPr="00FC45E9">
        <w:rPr>
          <w:rFonts w:cs="Arial"/>
        </w:rPr>
        <w:t>to terminate the agreement if expected milestones</w:t>
      </w:r>
      <w:r w:rsidR="00ED5D95">
        <w:rPr>
          <w:rFonts w:cs="Arial"/>
        </w:rPr>
        <w:t xml:space="preserve"> are not met</w:t>
      </w:r>
      <w:r w:rsidRPr="00FC45E9">
        <w:rPr>
          <w:rFonts w:cs="Arial"/>
        </w:rPr>
        <w:t xml:space="preserve"> </w:t>
      </w:r>
      <w:r w:rsidR="00ED5D95">
        <w:rPr>
          <w:rFonts w:cs="Arial"/>
        </w:rPr>
        <w:t>within</w:t>
      </w:r>
      <w:r w:rsidR="00ED5D95" w:rsidRPr="00FC45E9">
        <w:rPr>
          <w:rFonts w:cs="Arial"/>
        </w:rPr>
        <w:t xml:space="preserve"> </w:t>
      </w:r>
      <w:r w:rsidRPr="00FC45E9">
        <w:rPr>
          <w:rFonts w:cs="Arial"/>
        </w:rPr>
        <w:t>a reasonable period of time.</w:t>
      </w:r>
      <w:r>
        <w:rPr>
          <w:rFonts w:cs="Arial"/>
        </w:rPr>
        <w:t xml:space="preserve"> </w:t>
      </w:r>
      <w:r w:rsidR="00ED5D95">
        <w:rPr>
          <w:rFonts w:cs="Arial"/>
        </w:rPr>
        <w:t xml:space="preserve">Agreements should include clear timeframes for </w:t>
      </w:r>
      <w:r w:rsidRPr="00E34265">
        <w:rPr>
          <w:rFonts w:cs="Arial"/>
        </w:rPr>
        <w:t xml:space="preserve">milestones </w:t>
      </w:r>
      <w:r>
        <w:rPr>
          <w:rFonts w:cs="Arial"/>
        </w:rPr>
        <w:t xml:space="preserve">such </w:t>
      </w:r>
      <w:r w:rsidRPr="00E34265">
        <w:rPr>
          <w:rFonts w:cs="Arial"/>
        </w:rPr>
        <w:t>as</w:t>
      </w:r>
      <w:r w:rsidR="00ED5D95">
        <w:rPr>
          <w:rFonts w:cs="Arial"/>
        </w:rPr>
        <w:t xml:space="preserve"> the</w:t>
      </w:r>
      <w:r w:rsidRPr="00E34265">
        <w:rPr>
          <w:rFonts w:cs="Arial"/>
        </w:rPr>
        <w:t xml:space="preserve"> submission of permit application, financial close, commencement of construction works and expiry of </w:t>
      </w:r>
      <w:r w:rsidR="00ED5D95">
        <w:rPr>
          <w:rFonts w:cs="Arial"/>
        </w:rPr>
        <w:t xml:space="preserve">the </w:t>
      </w:r>
      <w:r>
        <w:rPr>
          <w:rFonts w:cs="Arial"/>
        </w:rPr>
        <w:t xml:space="preserve">planning </w:t>
      </w:r>
      <w:r w:rsidRPr="00E34265">
        <w:rPr>
          <w:rFonts w:cs="Arial"/>
        </w:rPr>
        <w:t>permit.</w:t>
      </w:r>
    </w:p>
    <w:p w14:paraId="7B3A488E" w14:textId="43416DD9" w:rsidR="00C66F7A" w:rsidRDefault="00C66F7A" w:rsidP="00C66F7A">
      <w:pPr>
        <w:pStyle w:val="ListParagraph"/>
        <w:numPr>
          <w:ilvl w:val="2"/>
          <w:numId w:val="8"/>
        </w:numPr>
        <w:spacing w:line="264" w:lineRule="auto"/>
        <w:ind w:left="1400" w:hanging="680"/>
        <w:rPr>
          <w:rFonts w:cs="Arial"/>
        </w:rPr>
      </w:pPr>
      <w:r>
        <w:rPr>
          <w:rFonts w:cs="Arial"/>
        </w:rPr>
        <w:t xml:space="preserve">To improve transparency, </w:t>
      </w:r>
      <w:r w:rsidRPr="00FC45E9">
        <w:rPr>
          <w:rFonts w:cs="Arial"/>
        </w:rPr>
        <w:t>developers should</w:t>
      </w:r>
      <w:r w:rsidR="00ED5D95">
        <w:rPr>
          <w:rFonts w:cs="Arial"/>
        </w:rPr>
        <w:t xml:space="preserve"> </w:t>
      </w:r>
      <w:r w:rsidRPr="00FC45E9">
        <w:rPr>
          <w:rFonts w:cs="Arial"/>
        </w:rPr>
        <w:t xml:space="preserve">consider discussing the proposed project and negotiating </w:t>
      </w:r>
      <w:r>
        <w:rPr>
          <w:rFonts w:cs="Arial"/>
        </w:rPr>
        <w:t xml:space="preserve">agreements </w:t>
      </w:r>
      <w:r w:rsidR="00ED5D95">
        <w:rPr>
          <w:rFonts w:cs="Arial"/>
        </w:rPr>
        <w:t xml:space="preserve">in an inclusive and holistic manner </w:t>
      </w:r>
      <w:r w:rsidRPr="00FC45E9">
        <w:rPr>
          <w:rFonts w:cs="Arial"/>
        </w:rPr>
        <w:t>with all potential host land</w:t>
      </w:r>
      <w:r>
        <w:rPr>
          <w:rFonts w:cs="Arial"/>
        </w:rPr>
        <w:t>holders</w:t>
      </w:r>
      <w:r w:rsidRPr="00FC45E9">
        <w:rPr>
          <w:rFonts w:cs="Arial"/>
        </w:rPr>
        <w:t xml:space="preserve"> as a group</w:t>
      </w:r>
      <w:r w:rsidR="00ED5D95">
        <w:rPr>
          <w:rFonts w:cs="Arial"/>
        </w:rPr>
        <w:t>.</w:t>
      </w:r>
      <w:r w:rsidRPr="00FC45E9">
        <w:rPr>
          <w:rFonts w:cs="Arial"/>
        </w:rPr>
        <w:t xml:space="preserve"> </w:t>
      </w:r>
    </w:p>
    <w:p w14:paraId="05FE6D52" w14:textId="27168961" w:rsidR="00C66F7A" w:rsidRPr="00FC45E9" w:rsidRDefault="00796004" w:rsidP="00C66F7A">
      <w:pPr>
        <w:pStyle w:val="ListParagraph"/>
        <w:numPr>
          <w:ilvl w:val="2"/>
          <w:numId w:val="8"/>
        </w:numPr>
        <w:spacing w:line="264" w:lineRule="auto"/>
        <w:ind w:left="1400" w:hanging="680"/>
        <w:rPr>
          <w:rFonts w:cs="Arial"/>
        </w:rPr>
      </w:pPr>
      <w:r>
        <w:rPr>
          <w:rFonts w:cs="Arial"/>
        </w:rPr>
        <w:t>Developers should consider a</w:t>
      </w:r>
      <w:r w:rsidR="00C66F7A" w:rsidRPr="00FC45E9">
        <w:rPr>
          <w:rFonts w:cs="Arial"/>
        </w:rPr>
        <w:t xml:space="preserve"> standard template </w:t>
      </w:r>
      <w:r w:rsidR="00C66F7A">
        <w:rPr>
          <w:rFonts w:cs="Arial"/>
        </w:rPr>
        <w:t xml:space="preserve">lease </w:t>
      </w:r>
      <w:r w:rsidR="00C66F7A" w:rsidRPr="00FC45E9">
        <w:rPr>
          <w:rFonts w:cs="Arial"/>
        </w:rPr>
        <w:t xml:space="preserve">agreement with consistent commercial terms </w:t>
      </w:r>
      <w:r>
        <w:rPr>
          <w:rFonts w:cs="Arial"/>
        </w:rPr>
        <w:t>which is</w:t>
      </w:r>
      <w:r w:rsidR="00C66F7A" w:rsidRPr="00FC45E9">
        <w:rPr>
          <w:rFonts w:cs="Arial"/>
        </w:rPr>
        <w:t xml:space="preserve"> supported by industry</w:t>
      </w:r>
      <w:r w:rsidR="00C66F7A">
        <w:rPr>
          <w:rFonts w:cs="Arial"/>
        </w:rPr>
        <w:t xml:space="preserve"> and the relevant legal association in each state</w:t>
      </w:r>
      <w:r w:rsidR="00C66F7A" w:rsidRPr="00FC45E9">
        <w:rPr>
          <w:rFonts w:cs="Arial"/>
        </w:rPr>
        <w:t>.</w:t>
      </w:r>
    </w:p>
    <w:p w14:paraId="0CB48E7A" w14:textId="3B4E97C9" w:rsidR="00C66F7A" w:rsidRPr="00FC45E9" w:rsidRDefault="00796004" w:rsidP="00C66F7A">
      <w:pPr>
        <w:pStyle w:val="ListParagraph"/>
        <w:numPr>
          <w:ilvl w:val="2"/>
          <w:numId w:val="8"/>
        </w:numPr>
        <w:spacing w:line="264" w:lineRule="auto"/>
        <w:ind w:left="1400" w:hanging="680"/>
        <w:rPr>
          <w:rFonts w:cs="Arial"/>
        </w:rPr>
      </w:pPr>
      <w:r>
        <w:rPr>
          <w:rFonts w:cs="Arial"/>
        </w:rPr>
        <w:t>D</w:t>
      </w:r>
      <w:r w:rsidR="00C66F7A" w:rsidRPr="00FC45E9">
        <w:rPr>
          <w:rFonts w:cs="Arial"/>
        </w:rPr>
        <w:t xml:space="preserve">evelopers should consider offering some level of </w:t>
      </w:r>
      <w:r w:rsidR="00C66F7A">
        <w:rPr>
          <w:rFonts w:cs="Arial"/>
        </w:rPr>
        <w:t xml:space="preserve">payment </w:t>
      </w:r>
      <w:r w:rsidR="00C66F7A" w:rsidRPr="00FC45E9">
        <w:rPr>
          <w:rFonts w:cs="Arial"/>
        </w:rPr>
        <w:t xml:space="preserve">to all </w:t>
      </w:r>
      <w:r w:rsidR="00C66F7A">
        <w:rPr>
          <w:rFonts w:cs="Arial"/>
        </w:rPr>
        <w:t xml:space="preserve">initially contracted </w:t>
      </w:r>
      <w:r w:rsidR="00C66F7A" w:rsidRPr="00FC45E9">
        <w:rPr>
          <w:rFonts w:cs="Arial"/>
        </w:rPr>
        <w:t>host land</w:t>
      </w:r>
      <w:r w:rsidR="00C66F7A">
        <w:rPr>
          <w:rFonts w:cs="Arial"/>
        </w:rPr>
        <w:t>holders i</w:t>
      </w:r>
      <w:r w:rsidR="00C66F7A" w:rsidRPr="00FC45E9">
        <w:rPr>
          <w:rFonts w:cs="Arial"/>
        </w:rPr>
        <w:t xml:space="preserve">f the project proceeds, regardless of final allocation of </w:t>
      </w:r>
      <w:r w:rsidR="00C66F7A">
        <w:rPr>
          <w:rFonts w:cs="Arial"/>
        </w:rPr>
        <w:t>assets</w:t>
      </w:r>
      <w:r w:rsidR="00C66F7A" w:rsidRPr="00FC45E9">
        <w:rPr>
          <w:rFonts w:cs="Arial"/>
        </w:rPr>
        <w:t xml:space="preserve"> on individual properties.</w:t>
      </w:r>
    </w:p>
    <w:p w14:paraId="05CA8DD4" w14:textId="2C1C7EF6" w:rsidR="00C66F7A" w:rsidRDefault="00C66F7A" w:rsidP="00C66F7A">
      <w:pPr>
        <w:pStyle w:val="ListParagraph"/>
        <w:numPr>
          <w:ilvl w:val="2"/>
          <w:numId w:val="8"/>
        </w:numPr>
        <w:spacing w:line="264" w:lineRule="auto"/>
        <w:ind w:left="1400" w:hanging="680"/>
        <w:rPr>
          <w:rFonts w:cs="Arial"/>
        </w:rPr>
      </w:pPr>
      <w:r w:rsidRPr="00FC45E9">
        <w:rPr>
          <w:rFonts w:cs="Arial"/>
        </w:rPr>
        <w:t>Host land</w:t>
      </w:r>
      <w:r>
        <w:rPr>
          <w:rFonts w:cs="Arial"/>
        </w:rPr>
        <w:t>holder agreements should be fair,</w:t>
      </w:r>
      <w:r w:rsidRPr="00FC45E9">
        <w:rPr>
          <w:rFonts w:cs="Arial"/>
        </w:rPr>
        <w:t xml:space="preserve"> </w:t>
      </w:r>
      <w:r w:rsidR="000F0188" w:rsidRPr="00FC45E9">
        <w:rPr>
          <w:rFonts w:cs="Arial"/>
        </w:rPr>
        <w:t>reasonable,</w:t>
      </w:r>
      <w:r>
        <w:rPr>
          <w:rFonts w:cs="Arial"/>
        </w:rPr>
        <w:t xml:space="preserve"> and</w:t>
      </w:r>
      <w:r w:rsidRPr="00FC45E9">
        <w:rPr>
          <w:rFonts w:cs="Arial"/>
        </w:rPr>
        <w:t xml:space="preserve"> written in plain English</w:t>
      </w:r>
      <w:r>
        <w:rPr>
          <w:rFonts w:cs="Arial"/>
        </w:rPr>
        <w:t>. T</w:t>
      </w:r>
      <w:r w:rsidRPr="00FC45E9">
        <w:rPr>
          <w:rFonts w:cs="Arial"/>
        </w:rPr>
        <w:t>he land</w:t>
      </w:r>
      <w:r>
        <w:rPr>
          <w:rFonts w:cs="Arial"/>
        </w:rPr>
        <w:t>holder</w:t>
      </w:r>
      <w:r w:rsidRPr="00FC45E9">
        <w:rPr>
          <w:rFonts w:cs="Arial"/>
        </w:rPr>
        <w:t xml:space="preserve"> should have access to and obtain appropriately skilled legal and financial advice before entering into any agreement. The New South Wales Government’s </w:t>
      </w:r>
      <w:r w:rsidRPr="00FC45E9">
        <w:rPr>
          <w:rFonts w:cs="Arial"/>
          <w:i/>
        </w:rPr>
        <w:t>Wind Energy Guideline for State Significant Wind Energy Development</w:t>
      </w:r>
      <w:r w:rsidRPr="00FC45E9">
        <w:rPr>
          <w:rFonts w:cs="Arial"/>
        </w:rPr>
        <w:t xml:space="preserve"> provides some discussion on this topic, particu</w:t>
      </w:r>
      <w:r>
        <w:rPr>
          <w:rFonts w:cs="Arial"/>
        </w:rPr>
        <w:t>larly within Attachment B of the</w:t>
      </w:r>
      <w:r w:rsidRPr="00FC45E9">
        <w:rPr>
          <w:rFonts w:cs="Arial"/>
        </w:rPr>
        <w:t xml:space="preserve"> publication. NSW Farmers’ Federation have produced a </w:t>
      </w:r>
      <w:r>
        <w:rPr>
          <w:rFonts w:cs="Arial"/>
          <w:i/>
        </w:rPr>
        <w:t xml:space="preserve">Renewable Energy </w:t>
      </w:r>
      <w:r w:rsidRPr="00FC45E9">
        <w:rPr>
          <w:rFonts w:cs="Arial"/>
          <w:i/>
        </w:rPr>
        <w:t>Land</w:t>
      </w:r>
      <w:r>
        <w:rPr>
          <w:rFonts w:cs="Arial"/>
          <w:i/>
        </w:rPr>
        <w:t>holder Guide</w:t>
      </w:r>
      <w:r w:rsidRPr="00FC45E9">
        <w:rPr>
          <w:rFonts w:cs="Arial"/>
        </w:rPr>
        <w:t xml:space="preserve"> (GHD Pty Ltd, </w:t>
      </w:r>
      <w:r>
        <w:rPr>
          <w:rFonts w:cs="Arial"/>
        </w:rPr>
        <w:t>updated in 2019</w:t>
      </w:r>
      <w:r w:rsidRPr="00FC45E9">
        <w:rPr>
          <w:rFonts w:cs="Arial"/>
        </w:rPr>
        <w:t>) covering topics related to host land</w:t>
      </w:r>
      <w:r>
        <w:rPr>
          <w:rFonts w:cs="Arial"/>
        </w:rPr>
        <w:t>holder</w:t>
      </w:r>
      <w:r w:rsidRPr="00FC45E9">
        <w:rPr>
          <w:rFonts w:cs="Arial"/>
        </w:rPr>
        <w:t xml:space="preserve"> agreements. </w:t>
      </w:r>
      <w:r>
        <w:rPr>
          <w:rFonts w:cs="Arial"/>
        </w:rPr>
        <w:t xml:space="preserve">Our Office also has published a guideline detailing items to check before entering into an agreement (updated in January 2023).  </w:t>
      </w:r>
    </w:p>
    <w:p w14:paraId="46AFB7A3" w14:textId="7711C30F" w:rsidR="00C66F7A" w:rsidRPr="00FC45E9" w:rsidRDefault="00C66F7A" w:rsidP="00C66F7A">
      <w:pPr>
        <w:pStyle w:val="ListParagraph"/>
        <w:numPr>
          <w:ilvl w:val="0"/>
          <w:numId w:val="0"/>
        </w:numPr>
        <w:spacing w:line="264" w:lineRule="auto"/>
        <w:ind w:left="1400"/>
        <w:rPr>
          <w:rFonts w:cs="Arial"/>
        </w:rPr>
      </w:pPr>
      <w:r w:rsidRPr="00FC45E9">
        <w:rPr>
          <w:rFonts w:cs="Arial"/>
        </w:rPr>
        <w:t>Specific areas requiring clarity in land</w:t>
      </w:r>
      <w:r w:rsidR="00796004">
        <w:rPr>
          <w:rFonts w:cs="Arial"/>
        </w:rPr>
        <w:t xml:space="preserve">holder </w:t>
      </w:r>
      <w:r w:rsidRPr="00FC45E9">
        <w:rPr>
          <w:rFonts w:cs="Arial"/>
        </w:rPr>
        <w:t>agreements include:</w:t>
      </w:r>
    </w:p>
    <w:p w14:paraId="5E24B5D7" w14:textId="7F751214" w:rsidR="00C66F7A" w:rsidRDefault="00C66F7A" w:rsidP="00C66F7A">
      <w:pPr>
        <w:pStyle w:val="ListBullet"/>
        <w:spacing w:line="264" w:lineRule="auto"/>
        <w:ind w:left="2529"/>
        <w:rPr>
          <w:rFonts w:cs="Arial"/>
        </w:rPr>
      </w:pPr>
      <w:r>
        <w:rPr>
          <w:rFonts w:cs="Arial"/>
        </w:rPr>
        <w:t>term</w:t>
      </w:r>
      <w:r w:rsidR="00796004">
        <w:rPr>
          <w:rFonts w:cs="Arial"/>
        </w:rPr>
        <w:t>s</w:t>
      </w:r>
      <w:r>
        <w:rPr>
          <w:rFonts w:cs="Arial"/>
        </w:rPr>
        <w:t xml:space="preserve"> of the agreement, extension </w:t>
      </w:r>
      <w:r w:rsidR="00796004">
        <w:rPr>
          <w:rFonts w:cs="Arial"/>
        </w:rPr>
        <w:t>and termination clauses</w:t>
      </w:r>
    </w:p>
    <w:p w14:paraId="4160D9D7" w14:textId="602EBC25" w:rsidR="00C66F7A" w:rsidRDefault="00C66F7A" w:rsidP="00C66F7A">
      <w:pPr>
        <w:pStyle w:val="ListBullet"/>
        <w:spacing w:line="264" w:lineRule="auto"/>
        <w:ind w:left="2529"/>
        <w:rPr>
          <w:rFonts w:cs="Arial"/>
        </w:rPr>
      </w:pPr>
      <w:r>
        <w:rPr>
          <w:rFonts w:cs="Arial"/>
        </w:rPr>
        <w:t>clauses that require the landholder to enter into a subsequent agreement with predetermined terms and conditions</w:t>
      </w:r>
    </w:p>
    <w:p w14:paraId="3B91D3B0" w14:textId="7BF4B6D2" w:rsidR="00C66F7A" w:rsidRDefault="00796004" w:rsidP="00C66F7A">
      <w:pPr>
        <w:pStyle w:val="ListBullet"/>
        <w:spacing w:line="264" w:lineRule="auto"/>
        <w:ind w:left="2529"/>
        <w:rPr>
          <w:rFonts w:cs="Arial"/>
        </w:rPr>
      </w:pPr>
      <w:r>
        <w:rPr>
          <w:rFonts w:cs="Arial"/>
        </w:rPr>
        <w:t xml:space="preserve">the </w:t>
      </w:r>
      <w:r w:rsidR="00C66F7A">
        <w:rPr>
          <w:rFonts w:cs="Arial"/>
        </w:rPr>
        <w:t>scope of the agreement, including clarity about the subject land, proposed location of assets, works or investigations to be done</w:t>
      </w:r>
      <w:r>
        <w:rPr>
          <w:rFonts w:cs="Arial"/>
        </w:rPr>
        <w:t xml:space="preserve"> and</w:t>
      </w:r>
      <w:r w:rsidR="00C66F7A">
        <w:rPr>
          <w:rFonts w:cs="Arial"/>
        </w:rPr>
        <w:t xml:space="preserve"> ongoing access</w:t>
      </w:r>
    </w:p>
    <w:p w14:paraId="6472E4D2" w14:textId="5CE88250" w:rsidR="00C66F7A" w:rsidRPr="00FC45E9" w:rsidRDefault="00C66F7A" w:rsidP="00C66F7A">
      <w:pPr>
        <w:pStyle w:val="ListBullet"/>
        <w:spacing w:line="264" w:lineRule="auto"/>
        <w:ind w:left="2529"/>
        <w:rPr>
          <w:rFonts w:cs="Arial"/>
        </w:rPr>
      </w:pPr>
      <w:r w:rsidRPr="00FC45E9">
        <w:rPr>
          <w:rFonts w:cs="Arial"/>
        </w:rPr>
        <w:t>fees payable to the land</w:t>
      </w:r>
      <w:r>
        <w:rPr>
          <w:rFonts w:cs="Arial"/>
        </w:rPr>
        <w:t>holder</w:t>
      </w:r>
      <w:r w:rsidRPr="00FC45E9">
        <w:rPr>
          <w:rFonts w:cs="Arial"/>
        </w:rPr>
        <w:t xml:space="preserve"> during the project development</w:t>
      </w:r>
      <w:r>
        <w:rPr>
          <w:rFonts w:cs="Arial"/>
        </w:rPr>
        <w:t xml:space="preserve"> </w:t>
      </w:r>
      <w:r w:rsidRPr="00FC45E9">
        <w:rPr>
          <w:rFonts w:cs="Arial"/>
        </w:rPr>
        <w:t>(pre-permit), financial close (post-permit), construction, operation</w:t>
      </w:r>
      <w:r>
        <w:rPr>
          <w:rFonts w:cs="Arial"/>
        </w:rPr>
        <w:t>s</w:t>
      </w:r>
      <w:r w:rsidRPr="00FC45E9">
        <w:rPr>
          <w:rFonts w:cs="Arial"/>
        </w:rPr>
        <w:t xml:space="preserve"> and decommissioning stages</w:t>
      </w:r>
      <w:r>
        <w:rPr>
          <w:rFonts w:cs="Arial"/>
        </w:rPr>
        <w:t xml:space="preserve"> or their equivalent stages in a transmission project</w:t>
      </w:r>
    </w:p>
    <w:p w14:paraId="26C13CFC" w14:textId="2876B3E9" w:rsidR="00C66F7A" w:rsidRPr="00FC45E9" w:rsidRDefault="00135823" w:rsidP="00C66F7A">
      <w:pPr>
        <w:pStyle w:val="ListBullet"/>
        <w:spacing w:line="264" w:lineRule="auto"/>
        <w:ind w:left="2529"/>
        <w:rPr>
          <w:rFonts w:cs="Arial"/>
        </w:rPr>
      </w:pPr>
      <w:r>
        <w:rPr>
          <w:rFonts w:cs="Arial"/>
        </w:rPr>
        <w:t>timing, payment and calculation of payments and due dates for payment</w:t>
      </w:r>
    </w:p>
    <w:p w14:paraId="5E4D4A37" w14:textId="52F4807C" w:rsidR="00C66F7A" w:rsidRDefault="00135823" w:rsidP="00C66F7A">
      <w:pPr>
        <w:pStyle w:val="ListBullet"/>
        <w:spacing w:line="264" w:lineRule="auto"/>
        <w:ind w:left="2529"/>
        <w:rPr>
          <w:rFonts w:cs="Arial"/>
        </w:rPr>
      </w:pPr>
      <w:r>
        <w:rPr>
          <w:rFonts w:cs="Arial"/>
        </w:rPr>
        <w:lastRenderedPageBreak/>
        <w:t xml:space="preserve">allowance for and calculation of </w:t>
      </w:r>
      <w:r w:rsidR="00CB0A9A">
        <w:rPr>
          <w:rFonts w:cs="Arial"/>
        </w:rPr>
        <w:t>increases to payment</w:t>
      </w:r>
      <w:r w:rsidR="00C66F7A">
        <w:rPr>
          <w:rFonts w:cs="Arial"/>
        </w:rPr>
        <w:t xml:space="preserve"> </w:t>
      </w:r>
      <w:r>
        <w:rPr>
          <w:rFonts w:cs="Arial"/>
        </w:rPr>
        <w:t xml:space="preserve">amounts </w:t>
      </w:r>
      <w:r w:rsidR="00C66F7A">
        <w:rPr>
          <w:rFonts w:cs="Arial"/>
        </w:rPr>
        <w:t xml:space="preserve">during the </w:t>
      </w:r>
      <w:r>
        <w:rPr>
          <w:rFonts w:cs="Arial"/>
        </w:rPr>
        <w:t xml:space="preserve">life of the </w:t>
      </w:r>
      <w:r w:rsidR="00C66F7A">
        <w:rPr>
          <w:rFonts w:cs="Arial"/>
        </w:rPr>
        <w:t xml:space="preserve">agreement, </w:t>
      </w:r>
      <w:r w:rsidR="00C66F7A" w:rsidRPr="00FC45E9">
        <w:rPr>
          <w:rFonts w:cs="Arial"/>
        </w:rPr>
        <w:t>such as a fixed annual increase or CPI increase</w:t>
      </w:r>
    </w:p>
    <w:p w14:paraId="5625026F" w14:textId="503B1A6E" w:rsidR="00C66F7A" w:rsidRDefault="00C66F7A" w:rsidP="00C66F7A">
      <w:pPr>
        <w:pStyle w:val="ListBullet"/>
        <w:spacing w:line="264" w:lineRule="auto"/>
        <w:ind w:left="2529"/>
        <w:rPr>
          <w:rFonts w:cs="Arial"/>
        </w:rPr>
      </w:pPr>
      <w:r>
        <w:rPr>
          <w:rFonts w:cs="Arial"/>
        </w:rPr>
        <w:t>timing</w:t>
      </w:r>
      <w:r w:rsidR="00135823">
        <w:rPr>
          <w:rFonts w:cs="Arial"/>
        </w:rPr>
        <w:t xml:space="preserve">, </w:t>
      </w:r>
      <w:r>
        <w:rPr>
          <w:rFonts w:cs="Arial"/>
        </w:rPr>
        <w:t>payment</w:t>
      </w:r>
      <w:r w:rsidR="00135823">
        <w:rPr>
          <w:rFonts w:cs="Arial"/>
        </w:rPr>
        <w:t xml:space="preserve"> and calculation</w:t>
      </w:r>
      <w:r>
        <w:rPr>
          <w:rFonts w:cs="Arial"/>
        </w:rPr>
        <w:t xml:space="preserve"> of other compensation</w:t>
      </w:r>
    </w:p>
    <w:p w14:paraId="64DB5016" w14:textId="07B069BE" w:rsidR="00C66F7A" w:rsidRDefault="00C66F7A" w:rsidP="00C66F7A">
      <w:pPr>
        <w:pStyle w:val="ListBullet"/>
        <w:spacing w:line="264" w:lineRule="auto"/>
        <w:ind w:left="2529"/>
        <w:rPr>
          <w:rFonts w:cs="Arial"/>
        </w:rPr>
      </w:pPr>
      <w:r>
        <w:rPr>
          <w:rFonts w:cs="Arial"/>
        </w:rPr>
        <w:t xml:space="preserve">reimbursement or payment of professional fees incurred by the landholder </w:t>
      </w:r>
      <w:r w:rsidR="006E499A">
        <w:rPr>
          <w:rFonts w:cs="Arial"/>
        </w:rPr>
        <w:t>in negotiating</w:t>
      </w:r>
      <w:r>
        <w:rPr>
          <w:rFonts w:cs="Arial"/>
        </w:rPr>
        <w:t xml:space="preserve"> agreements</w:t>
      </w:r>
    </w:p>
    <w:p w14:paraId="4C9C4E2F" w14:textId="5458C8AC" w:rsidR="00C66F7A" w:rsidRDefault="00C66F7A" w:rsidP="00C66F7A">
      <w:pPr>
        <w:pStyle w:val="ListBullet"/>
        <w:spacing w:line="264" w:lineRule="auto"/>
        <w:ind w:left="2529"/>
        <w:rPr>
          <w:rFonts w:cs="Arial"/>
        </w:rPr>
      </w:pPr>
      <w:r>
        <w:rPr>
          <w:rFonts w:cs="Arial"/>
        </w:rPr>
        <w:t>protections and indemnities provided</w:t>
      </w:r>
      <w:r w:rsidR="00135823">
        <w:rPr>
          <w:rFonts w:cs="Arial"/>
        </w:rPr>
        <w:t xml:space="preserve"> to the landholder</w:t>
      </w:r>
      <w:r>
        <w:rPr>
          <w:rFonts w:cs="Arial"/>
        </w:rPr>
        <w:t xml:space="preserve"> by the developer</w:t>
      </w:r>
    </w:p>
    <w:p w14:paraId="23703406" w14:textId="77777777" w:rsidR="00C66F7A" w:rsidRPr="00FC45E9" w:rsidRDefault="00C66F7A" w:rsidP="00C66F7A">
      <w:pPr>
        <w:pStyle w:val="ListBullet"/>
        <w:spacing w:line="264" w:lineRule="auto"/>
        <w:ind w:left="2529"/>
        <w:rPr>
          <w:rFonts w:cs="Arial"/>
        </w:rPr>
      </w:pPr>
      <w:r>
        <w:rPr>
          <w:rFonts w:cs="Arial"/>
        </w:rPr>
        <w:t>a dispute resolution mechanism</w:t>
      </w:r>
    </w:p>
    <w:p w14:paraId="22888094" w14:textId="6D175057" w:rsidR="00C66F7A" w:rsidRDefault="00135823" w:rsidP="00C66F7A">
      <w:pPr>
        <w:pStyle w:val="ListBullet"/>
        <w:spacing w:line="264" w:lineRule="auto"/>
        <w:ind w:left="2529"/>
        <w:rPr>
          <w:rFonts w:cs="Arial"/>
        </w:rPr>
      </w:pPr>
      <w:r>
        <w:rPr>
          <w:rFonts w:cs="Arial"/>
        </w:rPr>
        <w:t>implications</w:t>
      </w:r>
      <w:r w:rsidRPr="00FC45E9">
        <w:rPr>
          <w:rFonts w:cs="Arial"/>
        </w:rPr>
        <w:t xml:space="preserve"> </w:t>
      </w:r>
      <w:r w:rsidR="00C66F7A" w:rsidRPr="00FC45E9">
        <w:rPr>
          <w:rFonts w:cs="Arial"/>
        </w:rPr>
        <w:t>if the project is cancelled or materially delayed</w:t>
      </w:r>
    </w:p>
    <w:p w14:paraId="69B982A8" w14:textId="3271FBFD" w:rsidR="00C66F7A" w:rsidRPr="00FC45E9" w:rsidRDefault="00135823" w:rsidP="00C66F7A">
      <w:pPr>
        <w:pStyle w:val="ListBullet"/>
        <w:spacing w:line="264" w:lineRule="auto"/>
        <w:ind w:left="2529"/>
        <w:rPr>
          <w:rFonts w:cs="Arial"/>
        </w:rPr>
      </w:pPr>
      <w:r>
        <w:rPr>
          <w:rFonts w:cs="Arial"/>
        </w:rPr>
        <w:t xml:space="preserve">implications </w:t>
      </w:r>
      <w:r w:rsidR="00C66F7A">
        <w:rPr>
          <w:rFonts w:cs="Arial"/>
        </w:rPr>
        <w:t>if the project scope materially changes, particularly if the changes result in negative impacts for the landholder</w:t>
      </w:r>
    </w:p>
    <w:p w14:paraId="0CD65F85" w14:textId="59DCDF6B" w:rsidR="00C66F7A" w:rsidRDefault="00C66F7A" w:rsidP="00C66F7A">
      <w:pPr>
        <w:pStyle w:val="ListBullet"/>
        <w:spacing w:line="264" w:lineRule="auto"/>
        <w:ind w:left="2529"/>
        <w:rPr>
          <w:rFonts w:cs="Arial"/>
        </w:rPr>
      </w:pPr>
      <w:r w:rsidRPr="00FC45E9">
        <w:rPr>
          <w:rFonts w:cs="Arial"/>
        </w:rPr>
        <w:t xml:space="preserve">variation to fees in the event of changes to </w:t>
      </w:r>
      <w:r>
        <w:rPr>
          <w:rFonts w:cs="Arial"/>
        </w:rPr>
        <w:t xml:space="preserve">wind </w:t>
      </w:r>
      <w:r w:rsidRPr="00FC45E9">
        <w:rPr>
          <w:rFonts w:cs="Arial"/>
        </w:rPr>
        <w:t xml:space="preserve">turbine </w:t>
      </w:r>
      <w:r>
        <w:rPr>
          <w:rFonts w:cs="Arial"/>
        </w:rPr>
        <w:t xml:space="preserve">or solar array </w:t>
      </w:r>
      <w:r w:rsidRPr="00FC45E9">
        <w:rPr>
          <w:rFonts w:cs="Arial"/>
        </w:rPr>
        <w:t>layout, turbine specifications, turbine capacity and</w:t>
      </w:r>
      <w:r w:rsidR="00135823">
        <w:rPr>
          <w:rFonts w:cs="Arial"/>
        </w:rPr>
        <w:t xml:space="preserve"> the</w:t>
      </w:r>
      <w:r w:rsidRPr="00FC45E9">
        <w:rPr>
          <w:rFonts w:cs="Arial"/>
        </w:rPr>
        <w:t xml:space="preserve"> number of turbines </w:t>
      </w:r>
      <w:r>
        <w:rPr>
          <w:rFonts w:cs="Arial"/>
        </w:rPr>
        <w:t xml:space="preserve">or solar array area </w:t>
      </w:r>
      <w:r w:rsidRPr="00FC45E9">
        <w:rPr>
          <w:rFonts w:cs="Arial"/>
        </w:rPr>
        <w:t>to be hosted</w:t>
      </w:r>
    </w:p>
    <w:p w14:paraId="171B27CB" w14:textId="77777777" w:rsidR="00C66F7A" w:rsidRDefault="00C66F7A" w:rsidP="00C66F7A">
      <w:pPr>
        <w:pStyle w:val="ListBullet"/>
        <w:spacing w:line="264" w:lineRule="auto"/>
        <w:ind w:left="2529"/>
        <w:rPr>
          <w:rFonts w:cs="Arial"/>
        </w:rPr>
      </w:pPr>
      <w:r>
        <w:rPr>
          <w:rFonts w:cs="Arial"/>
        </w:rPr>
        <w:t>agreed internal road and other infrastructure locations (cabling, construction offices, substations, transmission lines etc.)</w:t>
      </w:r>
    </w:p>
    <w:p w14:paraId="07D24C40" w14:textId="77777777" w:rsidR="00C66F7A" w:rsidRDefault="00C66F7A" w:rsidP="00C66F7A">
      <w:pPr>
        <w:pStyle w:val="ListBullet"/>
        <w:spacing w:line="264" w:lineRule="auto"/>
        <w:ind w:left="2529"/>
        <w:rPr>
          <w:rFonts w:cs="Arial"/>
        </w:rPr>
      </w:pPr>
      <w:r>
        <w:rPr>
          <w:rFonts w:cs="Arial"/>
        </w:rPr>
        <w:t>arrangements for use of additional land during construction and major maintenance activities</w:t>
      </w:r>
    </w:p>
    <w:p w14:paraId="29C3DAE4" w14:textId="6D48B03F" w:rsidR="00C66F7A" w:rsidRDefault="00C66F7A" w:rsidP="00C66F7A">
      <w:pPr>
        <w:pStyle w:val="ListBullet"/>
        <w:spacing w:line="264" w:lineRule="auto"/>
        <w:ind w:left="2529"/>
        <w:rPr>
          <w:rFonts w:cs="Arial"/>
        </w:rPr>
      </w:pPr>
      <w:r>
        <w:rPr>
          <w:rFonts w:cs="Arial"/>
        </w:rPr>
        <w:t>land access plan and agreement focus</w:t>
      </w:r>
      <w:r w:rsidR="00135823">
        <w:rPr>
          <w:rFonts w:cs="Arial"/>
        </w:rPr>
        <w:t>ing on</w:t>
      </w:r>
      <w:r>
        <w:rPr>
          <w:rFonts w:cs="Arial"/>
        </w:rPr>
        <w:t xml:space="preserve"> activities</w:t>
      </w:r>
      <w:r w:rsidR="00135823">
        <w:rPr>
          <w:rFonts w:cs="Arial"/>
        </w:rPr>
        <w:t xml:space="preserve"> </w:t>
      </w:r>
      <w:r>
        <w:rPr>
          <w:rFonts w:cs="Arial"/>
        </w:rPr>
        <w:t>to determin</w:t>
      </w:r>
      <w:r w:rsidR="00135823">
        <w:rPr>
          <w:rFonts w:cs="Arial"/>
        </w:rPr>
        <w:t>e</w:t>
      </w:r>
      <w:r>
        <w:rPr>
          <w:rFonts w:cs="Arial"/>
        </w:rPr>
        <w:t xml:space="preserve"> the suitability of the site or route</w:t>
      </w:r>
    </w:p>
    <w:p w14:paraId="59B113AD" w14:textId="44EA2FE0" w:rsidR="00C66F7A" w:rsidRPr="00FC45E9" w:rsidRDefault="00C66F7A" w:rsidP="00C66F7A">
      <w:pPr>
        <w:pStyle w:val="ListBullet"/>
        <w:spacing w:line="264" w:lineRule="auto"/>
        <w:ind w:left="2529"/>
        <w:rPr>
          <w:rFonts w:cs="Arial"/>
        </w:rPr>
      </w:pPr>
      <w:r>
        <w:rPr>
          <w:rFonts w:cs="Arial"/>
        </w:rPr>
        <w:t xml:space="preserve">property management plan, </w:t>
      </w:r>
      <w:r w:rsidR="004D682B">
        <w:rPr>
          <w:rFonts w:cs="Arial"/>
        </w:rPr>
        <w:t xml:space="preserve">including </w:t>
      </w:r>
      <w:r>
        <w:rPr>
          <w:rFonts w:cs="Arial"/>
        </w:rPr>
        <w:t xml:space="preserve">developer and landholder </w:t>
      </w:r>
      <w:r w:rsidR="004D682B">
        <w:rPr>
          <w:rFonts w:cs="Arial"/>
        </w:rPr>
        <w:t>responsibilities for</w:t>
      </w:r>
      <w:r>
        <w:rPr>
          <w:rFonts w:cs="Arial"/>
        </w:rPr>
        <w:t xml:space="preserve"> key aspects of </w:t>
      </w:r>
      <w:r w:rsidR="004D682B">
        <w:rPr>
          <w:rFonts w:cs="Arial"/>
        </w:rPr>
        <w:t>property management</w:t>
      </w:r>
      <w:r>
        <w:rPr>
          <w:rFonts w:cs="Arial"/>
        </w:rPr>
        <w:t xml:space="preserve"> during the development</w:t>
      </w:r>
      <w:r w:rsidR="004D682B">
        <w:rPr>
          <w:rFonts w:cs="Arial"/>
        </w:rPr>
        <w:t xml:space="preserve">, </w:t>
      </w:r>
      <w:r>
        <w:rPr>
          <w:rFonts w:cs="Arial"/>
        </w:rPr>
        <w:t>construction</w:t>
      </w:r>
      <w:r w:rsidR="004D682B">
        <w:rPr>
          <w:rFonts w:cs="Arial"/>
        </w:rPr>
        <w:t xml:space="preserve"> and </w:t>
      </w:r>
      <w:r>
        <w:rPr>
          <w:rFonts w:cs="Arial"/>
        </w:rPr>
        <w:t xml:space="preserve">operation </w:t>
      </w:r>
      <w:r w:rsidR="004D682B">
        <w:rPr>
          <w:rFonts w:cs="Arial"/>
        </w:rPr>
        <w:t xml:space="preserve">stages such as </w:t>
      </w:r>
      <w:r>
        <w:rPr>
          <w:rFonts w:cs="Arial"/>
        </w:rPr>
        <w:t>access notice and protocols, biosecurity compliance, gate management, livestock management</w:t>
      </w:r>
      <w:r w:rsidR="004D682B">
        <w:rPr>
          <w:rFonts w:cs="Arial"/>
        </w:rPr>
        <w:t xml:space="preserve"> and</w:t>
      </w:r>
      <w:r>
        <w:rPr>
          <w:rFonts w:cs="Arial"/>
        </w:rPr>
        <w:t xml:space="preserve"> road network plan.  </w:t>
      </w:r>
    </w:p>
    <w:p w14:paraId="794CAC2F" w14:textId="670CDE19" w:rsidR="00C66F7A" w:rsidRDefault="00C66F7A" w:rsidP="00C66F7A">
      <w:pPr>
        <w:pStyle w:val="ListBullet"/>
        <w:spacing w:line="264" w:lineRule="auto"/>
        <w:ind w:left="2529"/>
        <w:rPr>
          <w:rFonts w:cs="Arial"/>
        </w:rPr>
      </w:pPr>
      <w:r>
        <w:rPr>
          <w:rFonts w:cs="Arial"/>
        </w:rPr>
        <w:t xml:space="preserve">process for making </w:t>
      </w:r>
      <w:r w:rsidRPr="00FC45E9">
        <w:rPr>
          <w:rFonts w:cs="Arial"/>
        </w:rPr>
        <w:t xml:space="preserve">changes to </w:t>
      </w:r>
      <w:r>
        <w:rPr>
          <w:rFonts w:cs="Arial"/>
        </w:rPr>
        <w:t xml:space="preserve">location and routing </w:t>
      </w:r>
      <w:r w:rsidRPr="00FC45E9">
        <w:rPr>
          <w:rFonts w:cs="Arial"/>
        </w:rPr>
        <w:t>of project infrastructure to the land</w:t>
      </w:r>
      <w:r>
        <w:rPr>
          <w:rFonts w:cs="Arial"/>
        </w:rPr>
        <w:t>holder’</w:t>
      </w:r>
      <w:r w:rsidRPr="00FC45E9">
        <w:rPr>
          <w:rFonts w:cs="Arial"/>
        </w:rPr>
        <w:t>s property (</w:t>
      </w:r>
      <w:r w:rsidR="006E499A" w:rsidRPr="00FC45E9">
        <w:rPr>
          <w:rFonts w:cs="Arial"/>
        </w:rPr>
        <w:t>e.g.,</w:t>
      </w:r>
      <w:r w:rsidRPr="00FC45E9">
        <w:rPr>
          <w:rFonts w:cs="Arial"/>
        </w:rPr>
        <w:t xml:space="preserve"> access roads</w:t>
      </w:r>
      <w:r>
        <w:rPr>
          <w:rFonts w:cs="Arial"/>
        </w:rPr>
        <w:t>, cabling</w:t>
      </w:r>
      <w:r w:rsidRPr="00FC45E9">
        <w:rPr>
          <w:rFonts w:cs="Arial"/>
        </w:rPr>
        <w:t>) and responsibilities for maintenance of such infrastructure</w:t>
      </w:r>
    </w:p>
    <w:p w14:paraId="0D768D33" w14:textId="77777777" w:rsidR="00C66F7A" w:rsidRDefault="00C66F7A" w:rsidP="00C66F7A">
      <w:pPr>
        <w:pStyle w:val="ListBullet"/>
        <w:spacing w:line="264" w:lineRule="auto"/>
        <w:ind w:left="2529"/>
        <w:rPr>
          <w:rFonts w:cs="Arial"/>
        </w:rPr>
      </w:pPr>
      <w:r>
        <w:rPr>
          <w:rFonts w:cs="Arial"/>
        </w:rPr>
        <w:t>any creation of easements that may be required</w:t>
      </w:r>
    </w:p>
    <w:p w14:paraId="18139667" w14:textId="673B6F87" w:rsidR="00C66F7A" w:rsidRDefault="00C66F7A" w:rsidP="00C66F7A">
      <w:pPr>
        <w:pStyle w:val="ListBullet"/>
        <w:spacing w:line="264" w:lineRule="auto"/>
        <w:ind w:left="2529"/>
        <w:rPr>
          <w:rFonts w:cs="Arial"/>
        </w:rPr>
      </w:pPr>
      <w:r>
        <w:rPr>
          <w:rFonts w:cs="Arial"/>
        </w:rPr>
        <w:t xml:space="preserve">access agreements required for accessing easements </w:t>
      </w:r>
    </w:p>
    <w:p w14:paraId="427D9BB9" w14:textId="6E326EFF" w:rsidR="00C66F7A" w:rsidRPr="00FC45E9" w:rsidRDefault="00C66F7A" w:rsidP="00C66F7A">
      <w:pPr>
        <w:pStyle w:val="ListBullet"/>
        <w:spacing w:line="264" w:lineRule="auto"/>
        <w:ind w:left="2529"/>
        <w:rPr>
          <w:rFonts w:cs="Arial"/>
        </w:rPr>
      </w:pPr>
      <w:r>
        <w:rPr>
          <w:rFonts w:cs="Arial"/>
        </w:rPr>
        <w:t xml:space="preserve">arrangements </w:t>
      </w:r>
      <w:r w:rsidR="00E069B6">
        <w:rPr>
          <w:rFonts w:cs="Arial"/>
        </w:rPr>
        <w:t>for</w:t>
      </w:r>
      <w:r>
        <w:rPr>
          <w:rFonts w:cs="Arial"/>
        </w:rPr>
        <w:t xml:space="preserve"> removal of ancillary infrastructure and the rehabilitation of disturbed land after the completion of construction works, such as replacement of soils over underground cabling or trenches</w:t>
      </w:r>
    </w:p>
    <w:p w14:paraId="67CBEBC9" w14:textId="4EEC7626" w:rsidR="00C66F7A" w:rsidRPr="00FC45E9" w:rsidRDefault="00C66F7A" w:rsidP="00C66F7A">
      <w:pPr>
        <w:pStyle w:val="ListBullet"/>
        <w:spacing w:line="264" w:lineRule="auto"/>
        <w:ind w:left="2529"/>
        <w:rPr>
          <w:rFonts w:cs="Arial"/>
        </w:rPr>
      </w:pPr>
      <w:r w:rsidRPr="00FC45E9">
        <w:rPr>
          <w:rFonts w:cs="Arial"/>
        </w:rPr>
        <w:t xml:space="preserve">responsibility for </w:t>
      </w:r>
      <w:r>
        <w:rPr>
          <w:rFonts w:cs="Arial"/>
        </w:rPr>
        <w:t xml:space="preserve">costs and </w:t>
      </w:r>
      <w:r w:rsidRPr="00FC45E9">
        <w:rPr>
          <w:rFonts w:cs="Arial"/>
        </w:rPr>
        <w:t>payment of additional council rates</w:t>
      </w:r>
      <w:r w:rsidR="00E069B6">
        <w:rPr>
          <w:rFonts w:cs="Arial"/>
        </w:rPr>
        <w:t xml:space="preserve">, land taxes and emergency services </w:t>
      </w:r>
      <w:r w:rsidRPr="00FC45E9">
        <w:rPr>
          <w:rFonts w:cs="Arial"/>
        </w:rPr>
        <w:t>levie</w:t>
      </w:r>
      <w:r w:rsidR="00E069B6">
        <w:rPr>
          <w:rFonts w:cs="Arial"/>
        </w:rPr>
        <w:t>s</w:t>
      </w:r>
      <w:r w:rsidRPr="00FC45E9">
        <w:rPr>
          <w:rFonts w:cs="Arial"/>
        </w:rPr>
        <w:t xml:space="preserve"> on the land</w:t>
      </w:r>
      <w:r>
        <w:rPr>
          <w:rFonts w:cs="Arial"/>
        </w:rPr>
        <w:t>holder</w:t>
      </w:r>
      <w:r w:rsidRPr="00FC45E9">
        <w:rPr>
          <w:rFonts w:cs="Arial"/>
        </w:rPr>
        <w:t xml:space="preserve"> </w:t>
      </w:r>
      <w:r w:rsidR="00E069B6">
        <w:rPr>
          <w:rFonts w:cs="Arial"/>
        </w:rPr>
        <w:t xml:space="preserve">due to </w:t>
      </w:r>
      <w:r w:rsidRPr="00FC45E9">
        <w:rPr>
          <w:rFonts w:cs="Arial"/>
        </w:rPr>
        <w:t xml:space="preserve">the </w:t>
      </w:r>
      <w:r>
        <w:rPr>
          <w:rFonts w:cs="Arial"/>
        </w:rPr>
        <w:t>project</w:t>
      </w:r>
    </w:p>
    <w:p w14:paraId="3266C032" w14:textId="452B3D8C" w:rsidR="00C66F7A" w:rsidRPr="001E1A6B" w:rsidRDefault="00C66F7A" w:rsidP="00C66F7A">
      <w:pPr>
        <w:pStyle w:val="ListBullet"/>
        <w:spacing w:line="264" w:lineRule="auto"/>
        <w:ind w:left="2529"/>
        <w:rPr>
          <w:rFonts w:cs="Arial"/>
        </w:rPr>
      </w:pPr>
      <w:r w:rsidRPr="001E1A6B">
        <w:rPr>
          <w:rFonts w:cs="Arial"/>
        </w:rPr>
        <w:t xml:space="preserve">insurances to be taken out by the project operator </w:t>
      </w:r>
    </w:p>
    <w:p w14:paraId="2AE80C77" w14:textId="26E4F35C" w:rsidR="00C66F7A" w:rsidRDefault="00C66F7A" w:rsidP="00C66F7A">
      <w:pPr>
        <w:pStyle w:val="ListBullet"/>
        <w:spacing w:line="264" w:lineRule="auto"/>
        <w:ind w:left="2529"/>
        <w:rPr>
          <w:rFonts w:cs="Arial"/>
        </w:rPr>
      </w:pPr>
      <w:r w:rsidRPr="00FC45E9">
        <w:rPr>
          <w:rFonts w:cs="Arial"/>
        </w:rPr>
        <w:t>insurances to be taken out by the land</w:t>
      </w:r>
      <w:r>
        <w:rPr>
          <w:rFonts w:cs="Arial"/>
        </w:rPr>
        <w:t>holder</w:t>
      </w:r>
      <w:r w:rsidRPr="00FC45E9">
        <w:rPr>
          <w:rFonts w:cs="Arial"/>
        </w:rPr>
        <w:t xml:space="preserve"> in respect of the </w:t>
      </w:r>
      <w:r>
        <w:rPr>
          <w:rFonts w:cs="Arial"/>
        </w:rPr>
        <w:t>project</w:t>
      </w:r>
    </w:p>
    <w:p w14:paraId="233303F4" w14:textId="3858DF8C" w:rsidR="00C66F7A" w:rsidRPr="001E1A6B" w:rsidRDefault="00C66F7A" w:rsidP="00C66F7A">
      <w:pPr>
        <w:pStyle w:val="ListBullet"/>
        <w:spacing w:line="264" w:lineRule="auto"/>
        <w:ind w:left="2529"/>
        <w:rPr>
          <w:rFonts w:cs="Arial"/>
        </w:rPr>
      </w:pPr>
      <w:r w:rsidRPr="001E1A6B">
        <w:rPr>
          <w:rFonts w:cs="Arial"/>
        </w:rPr>
        <w:t>insurances that may be required to be taken out by neighbours to the project (such as increased liability insurance)</w:t>
      </w:r>
    </w:p>
    <w:p w14:paraId="58613C64" w14:textId="584479E6" w:rsidR="00C66F7A" w:rsidRPr="00FC45E9" w:rsidRDefault="00C66F7A" w:rsidP="00C66F7A">
      <w:pPr>
        <w:pStyle w:val="ListBullet"/>
        <w:spacing w:line="264" w:lineRule="auto"/>
        <w:ind w:left="2529"/>
        <w:rPr>
          <w:rFonts w:cs="Arial"/>
        </w:rPr>
      </w:pPr>
      <w:r w:rsidRPr="00FC45E9">
        <w:rPr>
          <w:rFonts w:cs="Arial"/>
        </w:rPr>
        <w:t>land</w:t>
      </w:r>
      <w:r>
        <w:rPr>
          <w:rFonts w:cs="Arial"/>
        </w:rPr>
        <w:t>holder</w:t>
      </w:r>
      <w:r w:rsidRPr="00FC45E9">
        <w:rPr>
          <w:rFonts w:cs="Arial"/>
        </w:rPr>
        <w:t xml:space="preserve"> responsibilities </w:t>
      </w:r>
      <w:r w:rsidR="00E069B6">
        <w:rPr>
          <w:rFonts w:cs="Arial"/>
        </w:rPr>
        <w:t>when</w:t>
      </w:r>
      <w:r w:rsidRPr="00FC45E9">
        <w:rPr>
          <w:rFonts w:cs="Arial"/>
        </w:rPr>
        <w:t xml:space="preserve"> renting out the property to a </w:t>
      </w:r>
      <w:r>
        <w:rPr>
          <w:rFonts w:cs="Arial"/>
        </w:rPr>
        <w:t xml:space="preserve">third-party </w:t>
      </w:r>
      <w:r w:rsidRPr="00FC45E9">
        <w:rPr>
          <w:rFonts w:cs="Arial"/>
        </w:rPr>
        <w:t>tenant</w:t>
      </w:r>
    </w:p>
    <w:p w14:paraId="2556BFD7" w14:textId="77777777" w:rsidR="00C66F7A" w:rsidRPr="00FC45E9" w:rsidRDefault="00C66F7A" w:rsidP="00C66F7A">
      <w:pPr>
        <w:pStyle w:val="ListBullet"/>
        <w:spacing w:line="264" w:lineRule="auto"/>
        <w:ind w:left="2529"/>
        <w:rPr>
          <w:rFonts w:cs="Arial"/>
        </w:rPr>
      </w:pPr>
      <w:r w:rsidRPr="00FC45E9">
        <w:rPr>
          <w:rFonts w:cs="Arial"/>
        </w:rPr>
        <w:lastRenderedPageBreak/>
        <w:t>sale or transfer of the land by the land</w:t>
      </w:r>
      <w:r>
        <w:rPr>
          <w:rFonts w:cs="Arial"/>
        </w:rPr>
        <w:t>holder</w:t>
      </w:r>
    </w:p>
    <w:p w14:paraId="0C0A6A15" w14:textId="56054378" w:rsidR="00C66F7A" w:rsidRPr="00FC45E9" w:rsidRDefault="00C66F7A" w:rsidP="00C66F7A">
      <w:pPr>
        <w:pStyle w:val="ListBullet"/>
        <w:spacing w:line="264" w:lineRule="auto"/>
        <w:ind w:left="2529"/>
        <w:rPr>
          <w:rFonts w:cs="Arial"/>
        </w:rPr>
      </w:pPr>
      <w:r w:rsidRPr="00FC45E9">
        <w:rPr>
          <w:rFonts w:cs="Arial"/>
        </w:rPr>
        <w:t>restrictions on further development on the property</w:t>
      </w:r>
    </w:p>
    <w:p w14:paraId="06946C58" w14:textId="77777777" w:rsidR="00C66F7A" w:rsidRDefault="00C66F7A" w:rsidP="00C66F7A">
      <w:pPr>
        <w:pStyle w:val="ListBullet"/>
        <w:spacing w:line="264" w:lineRule="auto"/>
        <w:ind w:left="2529"/>
        <w:rPr>
          <w:rFonts w:cs="Arial"/>
        </w:rPr>
      </w:pPr>
      <w:r w:rsidRPr="00FC45E9">
        <w:rPr>
          <w:rFonts w:cs="Arial"/>
        </w:rPr>
        <w:t>provisions in the event of subdivision of the property</w:t>
      </w:r>
    </w:p>
    <w:p w14:paraId="070D0EBD" w14:textId="22FA4769" w:rsidR="00C66F7A" w:rsidRPr="00FC45E9" w:rsidRDefault="00C66F7A" w:rsidP="00C66F7A">
      <w:pPr>
        <w:pStyle w:val="ListBullet"/>
        <w:spacing w:line="264" w:lineRule="auto"/>
        <w:ind w:left="2529"/>
        <w:rPr>
          <w:rFonts w:cs="Arial"/>
        </w:rPr>
      </w:pPr>
      <w:r>
        <w:rPr>
          <w:rFonts w:cs="Arial"/>
        </w:rPr>
        <w:t xml:space="preserve">an agreed process and template </w:t>
      </w:r>
      <w:r w:rsidR="00E069B6">
        <w:rPr>
          <w:rFonts w:cs="Arial"/>
        </w:rPr>
        <w:t>if</w:t>
      </w:r>
      <w:r>
        <w:rPr>
          <w:rFonts w:cs="Arial"/>
        </w:rPr>
        <w:t xml:space="preserve"> a Mortgagee Consent is required</w:t>
      </w:r>
    </w:p>
    <w:p w14:paraId="1AFB26EE" w14:textId="77777777" w:rsidR="00C66F7A" w:rsidRPr="00FC45E9" w:rsidRDefault="00C66F7A" w:rsidP="00C66F7A">
      <w:pPr>
        <w:pStyle w:val="ListBullet"/>
        <w:spacing w:line="264" w:lineRule="auto"/>
        <w:ind w:left="2529"/>
        <w:rPr>
          <w:rFonts w:cs="Arial"/>
        </w:rPr>
      </w:pPr>
      <w:r>
        <w:rPr>
          <w:rFonts w:cs="Arial"/>
        </w:rPr>
        <w:t xml:space="preserve">financial </w:t>
      </w:r>
      <w:r w:rsidRPr="00FC45E9">
        <w:rPr>
          <w:rFonts w:cs="Arial"/>
        </w:rPr>
        <w:t xml:space="preserve">assurance provisions </w:t>
      </w:r>
      <w:r>
        <w:rPr>
          <w:rFonts w:cs="Arial"/>
        </w:rPr>
        <w:t xml:space="preserve">to protect the landholder </w:t>
      </w:r>
      <w:r w:rsidRPr="00FC45E9">
        <w:rPr>
          <w:rFonts w:cs="Arial"/>
        </w:rPr>
        <w:t xml:space="preserve">in the event the </w:t>
      </w:r>
      <w:r>
        <w:rPr>
          <w:rFonts w:cs="Arial"/>
        </w:rPr>
        <w:t xml:space="preserve">project </w:t>
      </w:r>
      <w:r w:rsidRPr="00FC45E9">
        <w:rPr>
          <w:rFonts w:cs="Arial"/>
        </w:rPr>
        <w:t xml:space="preserve">defaults (such as </w:t>
      </w:r>
      <w:r>
        <w:rPr>
          <w:rFonts w:cs="Arial"/>
        </w:rPr>
        <w:t xml:space="preserve">a </w:t>
      </w:r>
      <w:r w:rsidRPr="00FC45E9">
        <w:rPr>
          <w:rFonts w:cs="Arial"/>
        </w:rPr>
        <w:t>deposit or bank guarantee)</w:t>
      </w:r>
    </w:p>
    <w:p w14:paraId="301129C4" w14:textId="77777777" w:rsidR="00C66F7A" w:rsidRPr="00FC45E9" w:rsidRDefault="00C66F7A" w:rsidP="00C66F7A">
      <w:pPr>
        <w:pStyle w:val="ListBullet"/>
        <w:spacing w:line="264" w:lineRule="auto"/>
        <w:ind w:left="2529"/>
        <w:rPr>
          <w:rFonts w:cs="Arial"/>
        </w:rPr>
      </w:pPr>
      <w:r w:rsidRPr="00FC45E9">
        <w:rPr>
          <w:rFonts w:cs="Arial"/>
        </w:rPr>
        <w:t>decommissioning provisions, responsibilities of the parties and arrangements to ensure funding is assured and protected</w:t>
      </w:r>
    </w:p>
    <w:p w14:paraId="1D7C0B9D" w14:textId="76924170" w:rsidR="00C66F7A" w:rsidRPr="00FC45E9" w:rsidRDefault="00C66F7A" w:rsidP="00C66F7A">
      <w:pPr>
        <w:pStyle w:val="ListBullet"/>
        <w:spacing w:line="264" w:lineRule="auto"/>
        <w:ind w:left="2529"/>
        <w:rPr>
          <w:rFonts w:cs="Arial"/>
        </w:rPr>
      </w:pPr>
      <w:r w:rsidRPr="00FC45E9">
        <w:rPr>
          <w:rFonts w:cs="Arial"/>
        </w:rPr>
        <w:t>remedies available to the land</w:t>
      </w:r>
      <w:r>
        <w:rPr>
          <w:rFonts w:cs="Arial"/>
        </w:rPr>
        <w:t>holder</w:t>
      </w:r>
      <w:r w:rsidRPr="00FC45E9">
        <w:rPr>
          <w:rFonts w:cs="Arial"/>
        </w:rPr>
        <w:t xml:space="preserve"> in the event of default by the developer</w:t>
      </w:r>
    </w:p>
    <w:p w14:paraId="3AD63D7C" w14:textId="181F1BFA" w:rsidR="00C66F7A" w:rsidRPr="00FC45E9" w:rsidRDefault="00C66F7A" w:rsidP="00C66F7A">
      <w:pPr>
        <w:pStyle w:val="ListBullet"/>
        <w:spacing w:line="264" w:lineRule="auto"/>
        <w:ind w:left="2529"/>
        <w:rPr>
          <w:rFonts w:cs="Arial"/>
        </w:rPr>
      </w:pPr>
      <w:r w:rsidRPr="00FC45E9">
        <w:rPr>
          <w:rFonts w:cs="Arial"/>
        </w:rPr>
        <w:t>key contacts at the developer for raising and escalat</w:t>
      </w:r>
      <w:r w:rsidR="00E069B6">
        <w:rPr>
          <w:rFonts w:cs="Arial"/>
        </w:rPr>
        <w:t>ing</w:t>
      </w:r>
      <w:r w:rsidRPr="00FC45E9">
        <w:rPr>
          <w:rFonts w:cs="Arial"/>
        </w:rPr>
        <w:t xml:space="preserve"> issues and </w:t>
      </w:r>
      <w:r>
        <w:rPr>
          <w:rFonts w:cs="Arial"/>
        </w:rPr>
        <w:t xml:space="preserve">for handling </w:t>
      </w:r>
      <w:r w:rsidRPr="00FC45E9">
        <w:rPr>
          <w:rFonts w:cs="Arial"/>
        </w:rPr>
        <w:t>potential breaches of agreement.</w:t>
      </w:r>
    </w:p>
    <w:p w14:paraId="48018168" w14:textId="77777777" w:rsidR="00C66F7A" w:rsidRDefault="00C66F7A" w:rsidP="00C66F7A">
      <w:pPr>
        <w:pStyle w:val="NoSpacing"/>
        <w:spacing w:after="200" w:line="264" w:lineRule="auto"/>
        <w:ind w:left="1440"/>
        <w:rPr>
          <w:rFonts w:ascii="Arial" w:hAnsi="Arial" w:cs="Arial"/>
        </w:rPr>
      </w:pPr>
      <w:r w:rsidRPr="00FC45E9">
        <w:rPr>
          <w:rFonts w:ascii="Arial" w:hAnsi="Arial" w:cs="Arial"/>
        </w:rPr>
        <w:t xml:space="preserve">The above items could be set out in a standard template of a commercial </w:t>
      </w:r>
      <w:r>
        <w:rPr>
          <w:rFonts w:ascii="Arial" w:hAnsi="Arial" w:cs="Arial"/>
        </w:rPr>
        <w:t xml:space="preserve">lease </w:t>
      </w:r>
      <w:r w:rsidRPr="00FC45E9">
        <w:rPr>
          <w:rFonts w:ascii="Arial" w:hAnsi="Arial" w:cs="Arial"/>
        </w:rPr>
        <w:t>agreement that is managed and maintained by an appropriate lega</w:t>
      </w:r>
      <w:r>
        <w:rPr>
          <w:rFonts w:ascii="Arial" w:hAnsi="Arial" w:cs="Arial"/>
        </w:rPr>
        <w:t xml:space="preserve">l, industry or government body. </w:t>
      </w:r>
    </w:p>
    <w:p w14:paraId="7CCE57EE" w14:textId="77777777" w:rsidR="00C66F7A" w:rsidRDefault="00C66F7A" w:rsidP="00C66F7A">
      <w:pPr>
        <w:pStyle w:val="NoSpacing"/>
        <w:spacing w:after="200" w:line="264" w:lineRule="auto"/>
        <w:ind w:left="1440"/>
        <w:rPr>
          <w:rFonts w:ascii="Arial" w:hAnsi="Arial" w:cs="Arial"/>
        </w:rPr>
      </w:pPr>
      <w:r>
        <w:rPr>
          <w:rFonts w:ascii="Arial" w:hAnsi="Arial" w:cs="Arial"/>
        </w:rPr>
        <w:t xml:space="preserve">Landholders and developers should also refer to the Commissioner’s guideline: </w:t>
      </w:r>
    </w:p>
    <w:p w14:paraId="13104DE9" w14:textId="77777777" w:rsidR="00C66F7A" w:rsidRPr="001244A2" w:rsidRDefault="00C66F7A" w:rsidP="00C66F7A">
      <w:pPr>
        <w:pStyle w:val="NoSpacing"/>
        <w:spacing w:after="200" w:line="264" w:lineRule="auto"/>
        <w:ind w:left="1440"/>
        <w:rPr>
          <w:rFonts w:ascii="Arial" w:hAnsi="Arial" w:cs="Arial"/>
          <w:b/>
          <w:bCs/>
          <w:i/>
          <w:iCs/>
        </w:rPr>
      </w:pPr>
      <w:r w:rsidRPr="001244A2">
        <w:rPr>
          <w:rFonts w:ascii="Arial" w:hAnsi="Arial" w:cs="Arial"/>
          <w:b/>
          <w:bCs/>
          <w:i/>
          <w:iCs/>
        </w:rPr>
        <w:t>Considerations for Landholders before entering into Commercial Agreements</w:t>
      </w:r>
    </w:p>
    <w:p w14:paraId="73898E47" w14:textId="7C8116E4" w:rsidR="00C66F7A" w:rsidRDefault="00C66F7A" w:rsidP="00C66F7A">
      <w:pPr>
        <w:pStyle w:val="NoSpacing"/>
        <w:spacing w:after="200" w:line="264" w:lineRule="auto"/>
        <w:ind w:left="1440"/>
        <w:rPr>
          <w:rFonts w:ascii="Arial" w:hAnsi="Arial" w:cs="Arial"/>
        </w:rPr>
      </w:pPr>
      <w:r>
        <w:rPr>
          <w:rFonts w:ascii="Arial" w:hAnsi="Arial" w:cs="Arial"/>
        </w:rPr>
        <w:t xml:space="preserve">which was updated in January 2023 and </w:t>
      </w:r>
      <w:r w:rsidR="00AE5656">
        <w:rPr>
          <w:rFonts w:ascii="Arial" w:hAnsi="Arial" w:cs="Arial"/>
        </w:rPr>
        <w:t xml:space="preserve">is </w:t>
      </w:r>
      <w:r>
        <w:rPr>
          <w:rFonts w:ascii="Arial" w:hAnsi="Arial" w:cs="Arial"/>
        </w:rPr>
        <w:t>available on our website.</w:t>
      </w:r>
    </w:p>
    <w:p w14:paraId="7F242131" w14:textId="77777777" w:rsidR="00C66F7A" w:rsidRPr="00FC45E9" w:rsidRDefault="00C66F7A" w:rsidP="00C66F7A">
      <w:pPr>
        <w:pStyle w:val="NoSpacing"/>
        <w:spacing w:after="200" w:line="264" w:lineRule="auto"/>
        <w:ind w:left="1440"/>
        <w:rPr>
          <w:rFonts w:ascii="Arial" w:hAnsi="Arial" w:cs="Arial"/>
        </w:rPr>
      </w:pPr>
      <w:r>
        <w:rPr>
          <w:rFonts w:ascii="Arial" w:hAnsi="Arial" w:cs="Arial"/>
        </w:rPr>
        <w:t>Finally, landholders should be provided with an opportunity to visit a relevant project that is under construction to experience first-hand what is involved.</w:t>
      </w:r>
    </w:p>
    <w:p w14:paraId="281A481E" w14:textId="3CDD665F"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Councils and state jurisdictions should audit </w:t>
      </w:r>
      <w:r w:rsidR="00AE5656">
        <w:rPr>
          <w:rFonts w:cs="Arial"/>
        </w:rPr>
        <w:t>the current</w:t>
      </w:r>
      <w:r w:rsidR="00AE5656" w:rsidRPr="00FC45E9">
        <w:rPr>
          <w:rFonts w:cs="Arial"/>
        </w:rPr>
        <w:t xml:space="preserve"> </w:t>
      </w:r>
      <w:r w:rsidRPr="00FC45E9">
        <w:rPr>
          <w:rFonts w:cs="Arial"/>
        </w:rPr>
        <w:t xml:space="preserve">processes for re-rating properties that host </w:t>
      </w:r>
      <w:r>
        <w:rPr>
          <w:rFonts w:cs="Arial"/>
        </w:rPr>
        <w:t xml:space="preserve">projects and </w:t>
      </w:r>
      <w:r w:rsidRPr="00FC45E9">
        <w:rPr>
          <w:rFonts w:cs="Arial"/>
        </w:rPr>
        <w:t xml:space="preserve">related infrastructure and </w:t>
      </w:r>
      <w:r>
        <w:rPr>
          <w:rFonts w:cs="Arial"/>
        </w:rPr>
        <w:t xml:space="preserve">clarify </w:t>
      </w:r>
      <w:r w:rsidRPr="00FC45E9">
        <w:rPr>
          <w:rFonts w:cs="Arial"/>
        </w:rPr>
        <w:t>how those properties are valued for the purpose of calculating land taxes</w:t>
      </w:r>
      <w:r>
        <w:rPr>
          <w:rFonts w:cs="Arial"/>
        </w:rPr>
        <w:t xml:space="preserve">, levies, duties and </w:t>
      </w:r>
      <w:r w:rsidRPr="00FC45E9">
        <w:rPr>
          <w:rFonts w:cs="Arial"/>
        </w:rPr>
        <w:t>council rates.</w:t>
      </w:r>
      <w:r>
        <w:rPr>
          <w:rFonts w:cs="Arial"/>
        </w:rPr>
        <w:t xml:space="preserve"> </w:t>
      </w:r>
      <w:r w:rsidRPr="00FC45E9">
        <w:rPr>
          <w:rFonts w:cs="Arial"/>
        </w:rPr>
        <w:t>The process and calculations should be transparent to relevant stakeholders</w:t>
      </w:r>
      <w:r>
        <w:rPr>
          <w:rFonts w:cs="Arial"/>
        </w:rPr>
        <w:t xml:space="preserve">, </w:t>
      </w:r>
      <w:r w:rsidRPr="00FC45E9">
        <w:rPr>
          <w:rFonts w:cs="Arial"/>
        </w:rPr>
        <w:t xml:space="preserve">be subject to audit and </w:t>
      </w:r>
      <w:r>
        <w:rPr>
          <w:rFonts w:cs="Arial"/>
        </w:rPr>
        <w:t>have an efficient and timely process to dispute the valuation.</w:t>
      </w:r>
    </w:p>
    <w:p w14:paraId="134D6F5B" w14:textId="4A2D33CA"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Other land</w:t>
      </w:r>
      <w:r>
        <w:rPr>
          <w:rFonts w:cs="Arial"/>
        </w:rPr>
        <w:t>holder</w:t>
      </w:r>
      <w:r w:rsidRPr="00FC45E9">
        <w:rPr>
          <w:rFonts w:cs="Arial"/>
        </w:rPr>
        <w:t xml:space="preserve"> agreements (such as agreements for transmission line easements</w:t>
      </w:r>
      <w:r>
        <w:rPr>
          <w:rFonts w:cs="Arial"/>
        </w:rPr>
        <w:t>, easement access</w:t>
      </w:r>
      <w:r w:rsidRPr="00FC45E9">
        <w:rPr>
          <w:rFonts w:cs="Arial"/>
        </w:rPr>
        <w:t xml:space="preserve"> or road access) should also be negotiated and finalised with the land</w:t>
      </w:r>
      <w:r>
        <w:rPr>
          <w:rFonts w:cs="Arial"/>
        </w:rPr>
        <w:t>holders</w:t>
      </w:r>
      <w:r w:rsidRPr="00FC45E9">
        <w:rPr>
          <w:rFonts w:cs="Arial"/>
        </w:rPr>
        <w:t xml:space="preserve"> in a fair and reasonable manner, with appropriate consultation</w:t>
      </w:r>
      <w:r w:rsidR="00AE5656">
        <w:rPr>
          <w:rFonts w:cs="Arial"/>
        </w:rPr>
        <w:t xml:space="preserve"> with </w:t>
      </w:r>
      <w:r w:rsidRPr="00FC45E9">
        <w:rPr>
          <w:rFonts w:cs="Arial"/>
        </w:rPr>
        <w:t>affected land</w:t>
      </w:r>
      <w:r>
        <w:rPr>
          <w:rFonts w:cs="Arial"/>
        </w:rPr>
        <w:t>holders</w:t>
      </w:r>
      <w:r w:rsidRPr="00FC45E9">
        <w:rPr>
          <w:rFonts w:cs="Arial"/>
        </w:rPr>
        <w:t xml:space="preserve"> and neighbours </w:t>
      </w:r>
      <w:r w:rsidR="00AE5656">
        <w:rPr>
          <w:rFonts w:cs="Arial"/>
        </w:rPr>
        <w:t>to</w:t>
      </w:r>
      <w:r w:rsidR="00AE5656" w:rsidRPr="00FC45E9">
        <w:rPr>
          <w:rFonts w:cs="Arial"/>
        </w:rPr>
        <w:t xml:space="preserve"> </w:t>
      </w:r>
      <w:r w:rsidRPr="00FC45E9">
        <w:rPr>
          <w:rFonts w:cs="Arial"/>
        </w:rPr>
        <w:t>determin</w:t>
      </w:r>
      <w:r w:rsidR="00AE5656">
        <w:rPr>
          <w:rFonts w:cs="Arial"/>
        </w:rPr>
        <w:t>e</w:t>
      </w:r>
      <w:r w:rsidRPr="00FC45E9">
        <w:rPr>
          <w:rFonts w:cs="Arial"/>
        </w:rPr>
        <w:t xml:space="preserve"> the final </w:t>
      </w:r>
      <w:r w:rsidR="00AE5656">
        <w:rPr>
          <w:rFonts w:cs="Arial"/>
        </w:rPr>
        <w:t>route and design.</w:t>
      </w:r>
    </w:p>
    <w:p w14:paraId="1CB5C257" w14:textId="0B85F2F9" w:rsidR="00C66F7A" w:rsidRPr="00FC45E9" w:rsidRDefault="00C66F7A" w:rsidP="00C66F7A">
      <w:pPr>
        <w:pStyle w:val="ListParagraph"/>
        <w:numPr>
          <w:ilvl w:val="2"/>
          <w:numId w:val="8"/>
        </w:numPr>
        <w:spacing w:line="264" w:lineRule="auto"/>
        <w:ind w:left="1400" w:hanging="680"/>
        <w:rPr>
          <w:rFonts w:cs="Arial"/>
        </w:rPr>
      </w:pPr>
      <w:r>
        <w:rPr>
          <w:rFonts w:cs="Arial"/>
        </w:rPr>
        <w:t>D</w:t>
      </w:r>
      <w:r w:rsidRPr="00FC45E9">
        <w:rPr>
          <w:rFonts w:cs="Arial"/>
        </w:rPr>
        <w:t xml:space="preserve">evelopers may wish to consider other forms of </w:t>
      </w:r>
      <w:r>
        <w:rPr>
          <w:rFonts w:cs="Arial"/>
        </w:rPr>
        <w:t xml:space="preserve">commercial </w:t>
      </w:r>
      <w:r w:rsidRPr="00FC45E9">
        <w:rPr>
          <w:rFonts w:cs="Arial"/>
        </w:rPr>
        <w:t>engagement with land</w:t>
      </w:r>
      <w:r>
        <w:rPr>
          <w:rFonts w:cs="Arial"/>
        </w:rPr>
        <w:t>holders</w:t>
      </w:r>
      <w:r w:rsidRPr="00FC45E9">
        <w:rPr>
          <w:rFonts w:cs="Arial"/>
        </w:rPr>
        <w:t xml:space="preserve"> (as well as neighbours and community members) that allow for equity and/or debt participation in the project.</w:t>
      </w:r>
    </w:p>
    <w:p w14:paraId="03ED33A3" w14:textId="65F87F51"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The project’s construction plan</w:t>
      </w:r>
      <w:r>
        <w:rPr>
          <w:rFonts w:cs="Arial"/>
        </w:rPr>
        <w:t>, transportation plan</w:t>
      </w:r>
      <w:r w:rsidRPr="00FC45E9">
        <w:rPr>
          <w:rFonts w:cs="Arial"/>
        </w:rPr>
        <w:t xml:space="preserve"> and </w:t>
      </w:r>
      <w:r>
        <w:rPr>
          <w:rFonts w:cs="Arial"/>
        </w:rPr>
        <w:t xml:space="preserve">overall project </w:t>
      </w:r>
      <w:r w:rsidRPr="00FC45E9">
        <w:rPr>
          <w:rFonts w:cs="Arial"/>
        </w:rPr>
        <w:t>design should be developed in close consultation with land</w:t>
      </w:r>
      <w:r>
        <w:rPr>
          <w:rFonts w:cs="Arial"/>
        </w:rPr>
        <w:t>holders</w:t>
      </w:r>
      <w:r w:rsidRPr="00FC45E9">
        <w:rPr>
          <w:rFonts w:cs="Arial"/>
        </w:rPr>
        <w:t xml:space="preserve"> and designed to respect the land</w:t>
      </w:r>
      <w:r>
        <w:rPr>
          <w:rFonts w:cs="Arial"/>
        </w:rPr>
        <w:t>holder</w:t>
      </w:r>
      <w:r w:rsidRPr="00FC45E9">
        <w:rPr>
          <w:rFonts w:cs="Arial"/>
        </w:rPr>
        <w:t>’s need to continue primary production operations during and following constructio</w:t>
      </w:r>
      <w:r w:rsidR="00AE5656">
        <w:rPr>
          <w:rFonts w:cs="Arial"/>
        </w:rPr>
        <w:t>n</w:t>
      </w:r>
      <w:r w:rsidRPr="00FC45E9">
        <w:rPr>
          <w:rFonts w:cs="Arial"/>
        </w:rPr>
        <w:t xml:space="preserve">. Particular attention should be given to </w:t>
      </w:r>
      <w:r>
        <w:rPr>
          <w:rFonts w:cs="Arial"/>
        </w:rPr>
        <w:t xml:space="preserve">the internal road layout </w:t>
      </w:r>
      <w:r w:rsidR="00AE5656">
        <w:rPr>
          <w:rFonts w:cs="Arial"/>
        </w:rPr>
        <w:t xml:space="preserve">to </w:t>
      </w:r>
      <w:r>
        <w:rPr>
          <w:rFonts w:cs="Arial"/>
        </w:rPr>
        <w:t>minimis</w:t>
      </w:r>
      <w:r w:rsidR="00AE5656">
        <w:rPr>
          <w:rFonts w:cs="Arial"/>
        </w:rPr>
        <w:t>e</w:t>
      </w:r>
      <w:r>
        <w:rPr>
          <w:rFonts w:cs="Arial"/>
        </w:rPr>
        <w:t xml:space="preserve"> the </w:t>
      </w:r>
      <w:r w:rsidRPr="00FC45E9">
        <w:rPr>
          <w:rFonts w:cs="Arial"/>
        </w:rPr>
        <w:t>impact of access roads. Key contacts at the developer and/or its contractors should be provided to land</w:t>
      </w:r>
      <w:r>
        <w:rPr>
          <w:rFonts w:cs="Arial"/>
        </w:rPr>
        <w:t>holder</w:t>
      </w:r>
      <w:r w:rsidRPr="00FC45E9">
        <w:rPr>
          <w:rFonts w:cs="Arial"/>
        </w:rPr>
        <w:t>s to allow land</w:t>
      </w:r>
      <w:r>
        <w:rPr>
          <w:rFonts w:cs="Arial"/>
        </w:rPr>
        <w:t>holder</w:t>
      </w:r>
      <w:r w:rsidRPr="00FC45E9">
        <w:rPr>
          <w:rFonts w:cs="Arial"/>
        </w:rPr>
        <w:t>s to raise and escalate issues that arise during construction. Developers should also meet regularly with land</w:t>
      </w:r>
      <w:r>
        <w:rPr>
          <w:rFonts w:cs="Arial"/>
        </w:rPr>
        <w:t>holders</w:t>
      </w:r>
      <w:r w:rsidRPr="00FC45E9">
        <w:rPr>
          <w:rFonts w:cs="Arial"/>
        </w:rPr>
        <w:t xml:space="preserve"> during construction to </w:t>
      </w:r>
      <w:r>
        <w:rPr>
          <w:rFonts w:cs="Arial"/>
        </w:rPr>
        <w:t xml:space="preserve">proactively </w:t>
      </w:r>
      <w:r w:rsidRPr="00FC45E9">
        <w:rPr>
          <w:rFonts w:cs="Arial"/>
        </w:rPr>
        <w:t xml:space="preserve">discuss and resolve issues </w:t>
      </w:r>
      <w:r w:rsidR="00BF66B4">
        <w:rPr>
          <w:rFonts w:cs="Arial"/>
        </w:rPr>
        <w:t>and</w:t>
      </w:r>
      <w:r w:rsidRPr="00FC45E9">
        <w:rPr>
          <w:rFonts w:cs="Arial"/>
        </w:rPr>
        <w:t xml:space="preserve"> keep land</w:t>
      </w:r>
      <w:r>
        <w:rPr>
          <w:rFonts w:cs="Arial"/>
        </w:rPr>
        <w:t>holder</w:t>
      </w:r>
      <w:r w:rsidRPr="00FC45E9">
        <w:rPr>
          <w:rFonts w:cs="Arial"/>
        </w:rPr>
        <w:t>s informed of the project’s status.</w:t>
      </w:r>
    </w:p>
    <w:p w14:paraId="2F659B50" w14:textId="053EA907" w:rsidR="00BF66B4" w:rsidRDefault="00C66F7A" w:rsidP="00C66F7A">
      <w:pPr>
        <w:pStyle w:val="ListParagraph"/>
        <w:numPr>
          <w:ilvl w:val="2"/>
          <w:numId w:val="8"/>
        </w:numPr>
        <w:spacing w:line="264" w:lineRule="auto"/>
        <w:ind w:left="1400" w:hanging="680"/>
        <w:rPr>
          <w:rFonts w:cs="Arial"/>
        </w:rPr>
      </w:pPr>
      <w:r w:rsidRPr="00FC45E9">
        <w:rPr>
          <w:rFonts w:cs="Arial"/>
        </w:rPr>
        <w:t xml:space="preserve">To ensure that professional conduct standards are adhered to by </w:t>
      </w:r>
      <w:r>
        <w:rPr>
          <w:rFonts w:cs="Arial"/>
        </w:rPr>
        <w:t xml:space="preserve">project prospectors and </w:t>
      </w:r>
      <w:r w:rsidRPr="00FC45E9">
        <w:rPr>
          <w:rFonts w:cs="Arial"/>
        </w:rPr>
        <w:t xml:space="preserve">developers, state governments should </w:t>
      </w:r>
      <w:r>
        <w:rPr>
          <w:rFonts w:cs="Arial"/>
        </w:rPr>
        <w:t>develop mechanisms to promote and motivate best practice behaviour</w:t>
      </w:r>
      <w:r w:rsidR="00BF66B4">
        <w:rPr>
          <w:rFonts w:cs="Arial"/>
        </w:rPr>
        <w:t xml:space="preserve"> on issues</w:t>
      </w:r>
      <w:r>
        <w:rPr>
          <w:rFonts w:cs="Arial"/>
        </w:rPr>
        <w:t xml:space="preserve"> rang</w:t>
      </w:r>
      <w:r w:rsidR="00BF66B4">
        <w:rPr>
          <w:rFonts w:cs="Arial"/>
        </w:rPr>
        <w:t>ing</w:t>
      </w:r>
      <w:r>
        <w:rPr>
          <w:rFonts w:cs="Arial"/>
        </w:rPr>
        <w:t xml:space="preserve"> from preferred site selection through to engagement </w:t>
      </w:r>
      <w:r>
        <w:rPr>
          <w:rFonts w:cs="Arial"/>
        </w:rPr>
        <w:lastRenderedPageBreak/>
        <w:t xml:space="preserve">with landholders and community. Some examples of programs include the NSW Government’s ‘Renewable Energy Zone’ (REZ) designations, the Victorian Government’s ‘VRET’ program, ACT’s ‘Reverse Auction’ program and Queensland’s ‘RE400’ program. </w:t>
      </w:r>
    </w:p>
    <w:p w14:paraId="3DE2B840" w14:textId="76C11C1D" w:rsidR="00C66F7A" w:rsidRDefault="00BF66B4" w:rsidP="00C66F7A">
      <w:pPr>
        <w:pStyle w:val="ListParagraph"/>
        <w:numPr>
          <w:ilvl w:val="2"/>
          <w:numId w:val="8"/>
        </w:numPr>
        <w:spacing w:line="264" w:lineRule="auto"/>
        <w:ind w:left="1400" w:hanging="680"/>
        <w:rPr>
          <w:rFonts w:cs="Arial"/>
        </w:rPr>
      </w:pPr>
      <w:r>
        <w:rPr>
          <w:rFonts w:cs="Arial"/>
        </w:rPr>
        <w:t>State government</w:t>
      </w:r>
      <w:r w:rsidR="005C3BEA">
        <w:rPr>
          <w:rFonts w:cs="Arial"/>
        </w:rPr>
        <w:t>s</w:t>
      </w:r>
      <w:r>
        <w:rPr>
          <w:rFonts w:cs="Arial"/>
        </w:rPr>
        <w:t xml:space="preserve"> should consider the</w:t>
      </w:r>
      <w:r w:rsidR="00C66F7A">
        <w:rPr>
          <w:rFonts w:cs="Arial"/>
        </w:rPr>
        <w:t xml:space="preserve"> acc</w:t>
      </w:r>
      <w:r w:rsidR="00C66F7A" w:rsidRPr="00FC45E9">
        <w:rPr>
          <w:rFonts w:cs="Arial"/>
        </w:rPr>
        <w:t>redit</w:t>
      </w:r>
      <w:r w:rsidR="00C66F7A">
        <w:rPr>
          <w:rFonts w:cs="Arial"/>
        </w:rPr>
        <w:t>at</w:t>
      </w:r>
      <w:r w:rsidR="00C66F7A" w:rsidRPr="00FC45E9">
        <w:rPr>
          <w:rFonts w:cs="Arial"/>
        </w:rPr>
        <w:t>i</w:t>
      </w:r>
      <w:r w:rsidR="00C66F7A">
        <w:rPr>
          <w:rFonts w:cs="Arial"/>
        </w:rPr>
        <w:t>on</w:t>
      </w:r>
      <w:r w:rsidR="00C66F7A" w:rsidRPr="00FC45E9">
        <w:rPr>
          <w:rFonts w:cs="Arial"/>
        </w:rPr>
        <w:t xml:space="preserve"> </w:t>
      </w:r>
      <w:r w:rsidR="00C66F7A">
        <w:rPr>
          <w:rFonts w:cs="Arial"/>
        </w:rPr>
        <w:t xml:space="preserve">or licensing of </w:t>
      </w:r>
      <w:r w:rsidR="00C66F7A" w:rsidRPr="00FC45E9">
        <w:rPr>
          <w:rFonts w:cs="Arial"/>
        </w:rPr>
        <w:t xml:space="preserve">developers </w:t>
      </w:r>
      <w:r w:rsidR="00C66F7A">
        <w:rPr>
          <w:rFonts w:cs="Arial"/>
        </w:rPr>
        <w:t xml:space="preserve">(or adherence to an appropriate code of conduct) </w:t>
      </w:r>
      <w:r>
        <w:rPr>
          <w:rFonts w:cs="Arial"/>
        </w:rPr>
        <w:t xml:space="preserve">that </w:t>
      </w:r>
      <w:r w:rsidR="00C66F7A">
        <w:rPr>
          <w:rFonts w:cs="Arial"/>
        </w:rPr>
        <w:t>is overseen by an appropriate industry or regulatory body.</w:t>
      </w:r>
      <w:r w:rsidR="00C66F7A" w:rsidRPr="00FC45E9">
        <w:rPr>
          <w:rFonts w:cs="Arial"/>
        </w:rPr>
        <w:t xml:space="preserve"> </w:t>
      </w:r>
      <w:r>
        <w:rPr>
          <w:rFonts w:cs="Arial"/>
        </w:rPr>
        <w:t>A</w:t>
      </w:r>
      <w:r w:rsidR="00C66F7A">
        <w:rPr>
          <w:rFonts w:cs="Arial"/>
        </w:rPr>
        <w:t xml:space="preserve"> similar approach</w:t>
      </w:r>
      <w:r>
        <w:rPr>
          <w:rFonts w:cs="Arial"/>
        </w:rPr>
        <w:t xml:space="preserve"> </w:t>
      </w:r>
      <w:r w:rsidR="00C66F7A">
        <w:rPr>
          <w:rFonts w:cs="Arial"/>
        </w:rPr>
        <w:t xml:space="preserve">is being taken by the </w:t>
      </w:r>
      <w:r w:rsidR="006E499A">
        <w:rPr>
          <w:rFonts w:cs="Arial"/>
        </w:rPr>
        <w:t>offshore</w:t>
      </w:r>
      <w:r w:rsidR="00C66F7A">
        <w:rPr>
          <w:rFonts w:cs="Arial"/>
        </w:rPr>
        <w:t xml:space="preserve"> wind energy regulatory arrangements </w:t>
      </w:r>
      <w:r>
        <w:rPr>
          <w:rFonts w:cs="Arial"/>
        </w:rPr>
        <w:t xml:space="preserve">which </w:t>
      </w:r>
      <w:r w:rsidR="00C66F7A">
        <w:rPr>
          <w:rFonts w:cs="Arial"/>
        </w:rPr>
        <w:t>designate areas for project development that require a developer to obtain a feasibility license and ultimately a commercial operating license.</w:t>
      </w:r>
    </w:p>
    <w:p w14:paraId="3DC34664" w14:textId="044C8658" w:rsidR="00C66F7A" w:rsidRDefault="00C66F7A" w:rsidP="00C66F7A">
      <w:pPr>
        <w:pStyle w:val="ListParagraph"/>
        <w:numPr>
          <w:ilvl w:val="2"/>
          <w:numId w:val="8"/>
        </w:numPr>
        <w:spacing w:line="264" w:lineRule="auto"/>
        <w:ind w:left="1400" w:hanging="680"/>
        <w:rPr>
          <w:rFonts w:cs="Arial"/>
        </w:rPr>
      </w:pPr>
      <w:r>
        <w:rPr>
          <w:rFonts w:cs="Arial"/>
        </w:rPr>
        <w:t>Transmission developers should review their landholder relationship management arrangements and ensure that personnel have appropriate experience, training</w:t>
      </w:r>
      <w:r w:rsidR="006D29A8">
        <w:rPr>
          <w:rFonts w:cs="Arial"/>
        </w:rPr>
        <w:t xml:space="preserve"> and </w:t>
      </w:r>
      <w:r>
        <w:rPr>
          <w:rFonts w:cs="Arial"/>
        </w:rPr>
        <w:t>performance measures</w:t>
      </w:r>
      <w:r w:rsidR="006D29A8">
        <w:rPr>
          <w:rFonts w:cs="Arial"/>
        </w:rPr>
        <w:t>. Developers should establish</w:t>
      </w:r>
      <w:r>
        <w:rPr>
          <w:rFonts w:cs="Arial"/>
        </w:rPr>
        <w:t xml:space="preserve"> landholder feedback mechanisms and </w:t>
      </w:r>
      <w:r w:rsidR="006D29A8">
        <w:rPr>
          <w:rFonts w:cs="Arial"/>
        </w:rPr>
        <w:t xml:space="preserve">ensure that </w:t>
      </w:r>
      <w:r>
        <w:rPr>
          <w:rFonts w:cs="Arial"/>
        </w:rPr>
        <w:t>there are sufficient personnel in plac</w:t>
      </w:r>
      <w:r w:rsidR="006D29A8">
        <w:rPr>
          <w:rFonts w:cs="Arial"/>
        </w:rPr>
        <w:t xml:space="preserve">e and </w:t>
      </w:r>
      <w:r>
        <w:rPr>
          <w:rFonts w:cs="Arial"/>
        </w:rPr>
        <w:t>appropriately located to provide coverage of the landholder community.</w:t>
      </w:r>
    </w:p>
    <w:p w14:paraId="07704DB0" w14:textId="5851C4F9" w:rsidR="00C66F7A" w:rsidRDefault="005F6467" w:rsidP="00C66F7A">
      <w:pPr>
        <w:pStyle w:val="ListParagraph"/>
        <w:numPr>
          <w:ilvl w:val="2"/>
          <w:numId w:val="8"/>
        </w:numPr>
        <w:spacing w:line="264" w:lineRule="auto"/>
        <w:ind w:left="1400" w:hanging="680"/>
        <w:rPr>
          <w:rFonts w:cs="Arial"/>
        </w:rPr>
      </w:pPr>
      <w:r>
        <w:rPr>
          <w:rFonts w:cs="Arial"/>
        </w:rPr>
        <w:t>Proponents should develop relationships with l</w:t>
      </w:r>
      <w:r w:rsidR="00C66F7A">
        <w:rPr>
          <w:rFonts w:cs="Arial"/>
        </w:rPr>
        <w:t>andholder</w:t>
      </w:r>
      <w:r>
        <w:rPr>
          <w:rFonts w:cs="Arial"/>
        </w:rPr>
        <w:t>s</w:t>
      </w:r>
      <w:r w:rsidR="00C66F7A">
        <w:rPr>
          <w:rFonts w:cs="Arial"/>
        </w:rPr>
        <w:t xml:space="preserve"> well before the need arises </w:t>
      </w:r>
      <w:r>
        <w:rPr>
          <w:rFonts w:cs="Arial"/>
        </w:rPr>
        <w:t>to</w:t>
      </w:r>
      <w:r w:rsidR="00CE033B">
        <w:rPr>
          <w:rFonts w:cs="Arial"/>
        </w:rPr>
        <w:t xml:space="preserve"> obtain</w:t>
      </w:r>
      <w:r>
        <w:rPr>
          <w:rFonts w:cs="Arial"/>
        </w:rPr>
        <w:t xml:space="preserve"> </w:t>
      </w:r>
      <w:r w:rsidR="00C66F7A">
        <w:rPr>
          <w:rFonts w:cs="Arial"/>
        </w:rPr>
        <w:t>land access or</w:t>
      </w:r>
      <w:r>
        <w:rPr>
          <w:rFonts w:cs="Arial"/>
        </w:rPr>
        <w:t xml:space="preserve"> negotiate</w:t>
      </w:r>
      <w:r w:rsidR="00C66F7A">
        <w:rPr>
          <w:rFonts w:cs="Arial"/>
        </w:rPr>
        <w:t xml:space="preserve"> easement acquisition. If a proponent intends to rely on legislation to gain involuntary access or secure easements compulsorily, it must be prepared to demonstrate an appropriate level of genuine negotiation with the landholder before proceeding</w:t>
      </w:r>
      <w:r>
        <w:rPr>
          <w:rFonts w:cs="Arial"/>
        </w:rPr>
        <w:t>.</w:t>
      </w:r>
    </w:p>
    <w:p w14:paraId="7A6106DE" w14:textId="37481E6B" w:rsidR="00C66F7A" w:rsidRDefault="00633CE0" w:rsidP="00C66F7A">
      <w:pPr>
        <w:pStyle w:val="ListParagraph"/>
        <w:numPr>
          <w:ilvl w:val="2"/>
          <w:numId w:val="8"/>
        </w:numPr>
        <w:spacing w:line="264" w:lineRule="auto"/>
        <w:ind w:left="1400" w:hanging="680"/>
        <w:rPr>
          <w:rFonts w:cs="Arial"/>
        </w:rPr>
      </w:pPr>
      <w:r>
        <w:rPr>
          <w:rFonts w:cs="Arial"/>
        </w:rPr>
        <w:t>Proponents should ‘walk the route’, ideally with the landholder, to ensure they have assessed the proposed route fr</w:t>
      </w:r>
      <w:r w:rsidR="00F04AAB">
        <w:rPr>
          <w:rFonts w:cs="Arial"/>
        </w:rPr>
        <w:t>o</w:t>
      </w:r>
      <w:r>
        <w:rPr>
          <w:rFonts w:cs="Arial"/>
        </w:rPr>
        <w:t xml:space="preserve">m the ground. This </w:t>
      </w:r>
      <w:r w:rsidR="00C66F7A">
        <w:rPr>
          <w:rFonts w:cs="Arial"/>
        </w:rPr>
        <w:t>is also a</w:t>
      </w:r>
      <w:r>
        <w:rPr>
          <w:rFonts w:cs="Arial"/>
        </w:rPr>
        <w:t>n</w:t>
      </w:r>
      <w:r w:rsidR="00C66F7A">
        <w:rPr>
          <w:rFonts w:cs="Arial"/>
        </w:rPr>
        <w:t xml:space="preserve"> opportunity to </w:t>
      </w:r>
      <w:r>
        <w:rPr>
          <w:rFonts w:cs="Arial"/>
        </w:rPr>
        <w:t>develop</w:t>
      </w:r>
      <w:r w:rsidR="00C66F7A">
        <w:rPr>
          <w:rFonts w:cs="Arial"/>
        </w:rPr>
        <w:t xml:space="preserve"> a relationship with the landholder and gain direct knowledge about issues and opportunities regarding the potential route. </w:t>
      </w:r>
    </w:p>
    <w:p w14:paraId="775159BF" w14:textId="753C2515" w:rsidR="00C66F7A" w:rsidRDefault="00C66F7A" w:rsidP="00C66F7A">
      <w:pPr>
        <w:pStyle w:val="ListParagraph"/>
        <w:numPr>
          <w:ilvl w:val="2"/>
          <w:numId w:val="8"/>
        </w:numPr>
        <w:spacing w:line="264" w:lineRule="auto"/>
        <w:ind w:left="1400" w:hanging="680"/>
        <w:rPr>
          <w:rFonts w:cs="Arial"/>
        </w:rPr>
      </w:pPr>
      <w:r>
        <w:rPr>
          <w:rFonts w:cs="Arial"/>
        </w:rPr>
        <w:t xml:space="preserve">State regulators should ensure that there are appropriate, enforceable protocols in place to govern </w:t>
      </w:r>
      <w:r w:rsidR="00633CE0">
        <w:rPr>
          <w:rFonts w:cs="Arial"/>
        </w:rPr>
        <w:t xml:space="preserve">the </w:t>
      </w:r>
      <w:r>
        <w:rPr>
          <w:rFonts w:cs="Arial"/>
        </w:rPr>
        <w:t xml:space="preserve">use of compulsory land access </w:t>
      </w:r>
      <w:r w:rsidR="00633CE0">
        <w:rPr>
          <w:rFonts w:cs="Arial"/>
        </w:rPr>
        <w:t xml:space="preserve">or acquisition </w:t>
      </w:r>
      <w:r>
        <w:rPr>
          <w:rFonts w:cs="Arial"/>
        </w:rPr>
        <w:t>powers</w:t>
      </w:r>
      <w:r w:rsidR="00633CE0">
        <w:rPr>
          <w:rFonts w:cs="Arial"/>
        </w:rPr>
        <w:t>.</w:t>
      </w:r>
      <w:r>
        <w:rPr>
          <w:rFonts w:cs="Arial"/>
        </w:rPr>
        <w:t xml:space="preserve"> A compliance regime needs to be in place and penalties should be considered for material breaches of the protocols by the developer</w:t>
      </w:r>
      <w:r w:rsidR="00633CE0">
        <w:rPr>
          <w:rFonts w:cs="Arial"/>
        </w:rPr>
        <w:t>.</w:t>
      </w:r>
      <w:r>
        <w:rPr>
          <w:rFonts w:cs="Arial"/>
        </w:rPr>
        <w:t xml:space="preserve"> </w:t>
      </w:r>
      <w:r w:rsidR="00633CE0">
        <w:rPr>
          <w:rFonts w:cs="Arial"/>
        </w:rPr>
        <w:t>The developer should be required to justify their use of the</w:t>
      </w:r>
      <w:r>
        <w:rPr>
          <w:rFonts w:cs="Arial"/>
        </w:rPr>
        <w:t xml:space="preserve"> compulsory </w:t>
      </w:r>
      <w:r w:rsidR="00633CE0">
        <w:rPr>
          <w:rFonts w:cs="Arial"/>
        </w:rPr>
        <w:t>process.</w:t>
      </w:r>
    </w:p>
    <w:p w14:paraId="06ECF232" w14:textId="2B118C64" w:rsidR="00C66F7A" w:rsidRDefault="00C66F7A" w:rsidP="00C66F7A">
      <w:pPr>
        <w:pStyle w:val="ListParagraph"/>
        <w:numPr>
          <w:ilvl w:val="2"/>
          <w:numId w:val="8"/>
        </w:numPr>
        <w:spacing w:line="264" w:lineRule="auto"/>
        <w:ind w:left="1400" w:hanging="680"/>
        <w:rPr>
          <w:rFonts w:cs="Arial"/>
        </w:rPr>
      </w:pPr>
      <w:r>
        <w:rPr>
          <w:rFonts w:cs="Arial"/>
        </w:rPr>
        <w:t>Transmission project plans need to include an appropriate amount of time, funding and personnel for the land access surveys and assessments to be carried out effectively. The plans need to be flexible to accommodate situations where land access may not be achievable.</w:t>
      </w:r>
    </w:p>
    <w:p w14:paraId="4B141ABE" w14:textId="467BF9D7" w:rsidR="00C66F7A" w:rsidRDefault="00C66F7A" w:rsidP="00C66F7A">
      <w:pPr>
        <w:pStyle w:val="ListParagraph"/>
        <w:numPr>
          <w:ilvl w:val="2"/>
          <w:numId w:val="8"/>
        </w:numPr>
        <w:spacing w:line="264" w:lineRule="auto"/>
        <w:ind w:left="1400" w:hanging="680"/>
        <w:rPr>
          <w:rFonts w:cs="Arial"/>
        </w:rPr>
      </w:pPr>
      <w:r w:rsidRPr="00B956B1">
        <w:rPr>
          <w:rFonts w:cs="Arial"/>
        </w:rPr>
        <w:t xml:space="preserve">Transmission </w:t>
      </w:r>
      <w:r>
        <w:rPr>
          <w:rFonts w:cs="Arial"/>
        </w:rPr>
        <w:t>developer</w:t>
      </w:r>
      <w:r w:rsidR="00022194">
        <w:rPr>
          <w:rFonts w:cs="Arial"/>
        </w:rPr>
        <w:t xml:space="preserve">s should carefully review their </w:t>
      </w:r>
      <w:r>
        <w:rPr>
          <w:rFonts w:cs="Arial"/>
        </w:rPr>
        <w:t xml:space="preserve">agreements, </w:t>
      </w:r>
      <w:r w:rsidRPr="00B956B1">
        <w:rPr>
          <w:rFonts w:cs="Arial"/>
        </w:rPr>
        <w:t xml:space="preserve">correspondence and communications to landholders (such as guidelines, fact sheets, updates </w:t>
      </w:r>
      <w:r w:rsidR="00F5573E">
        <w:rPr>
          <w:rFonts w:cs="Arial"/>
        </w:rPr>
        <w:t>and</w:t>
      </w:r>
      <w:r w:rsidRPr="00B956B1">
        <w:rPr>
          <w:rFonts w:cs="Arial"/>
        </w:rPr>
        <w:t xml:space="preserve"> notices regarding land access or acquisition etc.)</w:t>
      </w:r>
      <w:r w:rsidR="00022194">
        <w:rPr>
          <w:rFonts w:cs="Arial"/>
        </w:rPr>
        <w:t xml:space="preserve">. These should </w:t>
      </w:r>
      <w:r w:rsidRPr="00B956B1">
        <w:rPr>
          <w:rFonts w:cs="Arial"/>
        </w:rPr>
        <w:t>be written from a landholder’s perspective</w:t>
      </w:r>
      <w:r w:rsidR="00022194">
        <w:rPr>
          <w:rFonts w:cs="Arial"/>
        </w:rPr>
        <w:t xml:space="preserve">, </w:t>
      </w:r>
      <w:r w:rsidRPr="00B956B1">
        <w:rPr>
          <w:rFonts w:cs="Arial"/>
        </w:rPr>
        <w:t xml:space="preserve">have a clear objective </w:t>
      </w:r>
      <w:r w:rsidR="00022194">
        <w:rPr>
          <w:rFonts w:cs="Arial"/>
        </w:rPr>
        <w:t>and effectively communicate key information.</w:t>
      </w:r>
    </w:p>
    <w:p w14:paraId="5EB7B4ED" w14:textId="1D2C88BF" w:rsidR="00B67B23" w:rsidRDefault="0081291D" w:rsidP="00C66F7A">
      <w:pPr>
        <w:pStyle w:val="ListParagraph"/>
        <w:numPr>
          <w:ilvl w:val="2"/>
          <w:numId w:val="8"/>
        </w:numPr>
        <w:spacing w:line="264" w:lineRule="auto"/>
        <w:ind w:left="1400" w:hanging="680"/>
        <w:rPr>
          <w:rFonts w:cs="Arial"/>
        </w:rPr>
      </w:pPr>
      <w:r>
        <w:rPr>
          <w:rFonts w:cs="Arial"/>
        </w:rPr>
        <w:t>T</w:t>
      </w:r>
      <w:r w:rsidR="00C66F7A">
        <w:rPr>
          <w:rFonts w:cs="Arial"/>
        </w:rPr>
        <w:t xml:space="preserve">ransmission developers and industry bodies need to complete the various agreements and templates required </w:t>
      </w:r>
      <w:r>
        <w:rPr>
          <w:rFonts w:cs="Arial"/>
        </w:rPr>
        <w:t>for easement acquisition</w:t>
      </w:r>
      <w:r w:rsidR="00C66F7A">
        <w:rPr>
          <w:rFonts w:cs="Arial"/>
        </w:rPr>
        <w:t>. Such agreements must be fair and balanced and be fully considerate of the power imbalance</w:t>
      </w:r>
      <w:r>
        <w:rPr>
          <w:rFonts w:cs="Arial"/>
        </w:rPr>
        <w:t xml:space="preserve"> between the landholder and proponent.</w:t>
      </w:r>
    </w:p>
    <w:p w14:paraId="5D52B5CD" w14:textId="49DF73C3" w:rsidR="00C66F7A" w:rsidRPr="00B67B23" w:rsidRDefault="00B67B23" w:rsidP="00D6737D">
      <w:pPr>
        <w:rPr>
          <w:rFonts w:cs="Arial"/>
        </w:rPr>
      </w:pPr>
      <w:r>
        <w:rPr>
          <w:rFonts w:cs="Arial"/>
        </w:rPr>
        <w:br w:type="page"/>
      </w:r>
    </w:p>
    <w:p w14:paraId="2373D364" w14:textId="77777777" w:rsidR="00C66F7A" w:rsidRPr="00FC45E9" w:rsidRDefault="00C66F7A" w:rsidP="00C66F7A">
      <w:pPr>
        <w:pStyle w:val="Heading2"/>
        <w:numPr>
          <w:ilvl w:val="0"/>
          <w:numId w:val="8"/>
        </w:numPr>
      </w:pPr>
      <w:bookmarkStart w:id="170" w:name="_Toc51224049"/>
      <w:bookmarkStart w:id="171" w:name="_Toc84430830"/>
      <w:bookmarkStart w:id="172" w:name="_Toc98781020"/>
      <w:bookmarkStart w:id="173" w:name="_Toc135390620"/>
      <w:r w:rsidRPr="00FC45E9">
        <w:lastRenderedPageBreak/>
        <w:t>Neighbour</w:t>
      </w:r>
      <w:bookmarkEnd w:id="170"/>
      <w:r>
        <w:t xml:space="preserve"> Matters</w:t>
      </w:r>
      <w:bookmarkEnd w:id="171"/>
      <w:bookmarkEnd w:id="172"/>
      <w:bookmarkEnd w:id="173"/>
    </w:p>
    <w:p w14:paraId="2D8157EE"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56170C91" w14:textId="77777777" w:rsidR="00C66F7A" w:rsidRPr="007A223C" w:rsidRDefault="00C66F7A" w:rsidP="00F25864">
      <w:pPr>
        <w:pStyle w:val="Heading3"/>
        <w:ind w:firstLine="360"/>
      </w:pPr>
      <w:bookmarkStart w:id="174" w:name="_Toc132641475"/>
      <w:bookmarkStart w:id="175" w:name="_Toc135390621"/>
      <w:r w:rsidRPr="007A223C">
        <w:t>Background</w:t>
      </w:r>
      <w:bookmarkEnd w:id="174"/>
      <w:bookmarkEnd w:id="175"/>
    </w:p>
    <w:p w14:paraId="4D49FEFA" w14:textId="3E779B99" w:rsidR="00C66F7A" w:rsidRDefault="00C66F7A" w:rsidP="00C66F7A">
      <w:pPr>
        <w:pStyle w:val="ListParagraph"/>
        <w:numPr>
          <w:ilvl w:val="0"/>
          <w:numId w:val="0"/>
        </w:numPr>
        <w:spacing w:line="264" w:lineRule="auto"/>
        <w:ind w:left="360"/>
        <w:rPr>
          <w:rFonts w:cs="Arial"/>
        </w:rPr>
      </w:pPr>
      <w:r w:rsidRPr="00FC45E9">
        <w:rPr>
          <w:rFonts w:cs="Arial"/>
        </w:rPr>
        <w:t xml:space="preserve">Most </w:t>
      </w:r>
      <w:r>
        <w:rPr>
          <w:rFonts w:cs="Arial"/>
        </w:rPr>
        <w:t xml:space="preserve">large-scale renewable </w:t>
      </w:r>
      <w:r w:rsidRPr="00FC45E9">
        <w:rPr>
          <w:rFonts w:cs="Arial"/>
        </w:rPr>
        <w:t xml:space="preserve">energy </w:t>
      </w:r>
      <w:r>
        <w:rPr>
          <w:rFonts w:cs="Arial"/>
        </w:rPr>
        <w:t xml:space="preserve">and transmission </w:t>
      </w:r>
      <w:r w:rsidRPr="00FC45E9">
        <w:rPr>
          <w:rFonts w:cs="Arial"/>
        </w:rPr>
        <w:t xml:space="preserve">projects will have neighbours. Neighbours are residents or owners of properties </w:t>
      </w:r>
      <w:r>
        <w:rPr>
          <w:rFonts w:cs="Arial"/>
        </w:rPr>
        <w:t>in proximity</w:t>
      </w:r>
      <w:r w:rsidRPr="00FC45E9">
        <w:rPr>
          <w:rFonts w:cs="Arial"/>
        </w:rPr>
        <w:t xml:space="preserve"> </w:t>
      </w:r>
      <w:r w:rsidR="003019F1">
        <w:rPr>
          <w:rFonts w:cs="Arial"/>
        </w:rPr>
        <w:t>of</w:t>
      </w:r>
      <w:r w:rsidR="003019F1" w:rsidRPr="00FC45E9">
        <w:rPr>
          <w:rFonts w:cs="Arial"/>
        </w:rPr>
        <w:t xml:space="preserve"> </w:t>
      </w:r>
      <w:r w:rsidRPr="00FC45E9">
        <w:rPr>
          <w:rFonts w:cs="Arial"/>
        </w:rPr>
        <w:t xml:space="preserve">the </w:t>
      </w:r>
      <w:r>
        <w:rPr>
          <w:rFonts w:cs="Arial"/>
        </w:rPr>
        <w:t xml:space="preserve">proposed project, </w:t>
      </w:r>
      <w:r w:rsidR="003019F1">
        <w:rPr>
          <w:rFonts w:cs="Arial"/>
        </w:rPr>
        <w:t>whether or not they</w:t>
      </w:r>
      <w:r w:rsidR="003019F1" w:rsidRPr="00FC45E9">
        <w:rPr>
          <w:rFonts w:cs="Arial"/>
        </w:rPr>
        <w:t xml:space="preserve"> </w:t>
      </w:r>
      <w:r w:rsidR="006E499A" w:rsidRPr="00FC45E9">
        <w:rPr>
          <w:rFonts w:cs="Arial"/>
        </w:rPr>
        <w:t>are adjoining</w:t>
      </w:r>
      <w:r w:rsidRPr="00FC45E9">
        <w:rPr>
          <w:rFonts w:cs="Arial"/>
        </w:rPr>
        <w:t xml:space="preserve"> </w:t>
      </w:r>
      <w:r w:rsidR="003019F1">
        <w:rPr>
          <w:rFonts w:cs="Arial"/>
        </w:rPr>
        <w:t>the host land</w:t>
      </w:r>
      <w:r w:rsidRPr="00FC45E9">
        <w:rPr>
          <w:rFonts w:cs="Arial"/>
        </w:rPr>
        <w:t xml:space="preserve">. There may also be neighbours that are not in proximity </w:t>
      </w:r>
      <w:r w:rsidR="003019F1">
        <w:rPr>
          <w:rFonts w:cs="Arial"/>
        </w:rPr>
        <w:t>of</w:t>
      </w:r>
      <w:r w:rsidR="003019F1" w:rsidRPr="00FC45E9">
        <w:rPr>
          <w:rFonts w:cs="Arial"/>
        </w:rPr>
        <w:t xml:space="preserve"> </w:t>
      </w:r>
      <w:r w:rsidRPr="00FC45E9">
        <w:rPr>
          <w:rFonts w:cs="Arial"/>
        </w:rPr>
        <w:t xml:space="preserve">the </w:t>
      </w:r>
      <w:r>
        <w:rPr>
          <w:rFonts w:cs="Arial"/>
        </w:rPr>
        <w:t xml:space="preserve">project </w:t>
      </w:r>
      <w:r w:rsidRPr="00FC45E9">
        <w:rPr>
          <w:rFonts w:cs="Arial"/>
        </w:rPr>
        <w:t xml:space="preserve">that </w:t>
      </w:r>
      <w:r w:rsidR="003019F1">
        <w:rPr>
          <w:rFonts w:cs="Arial"/>
        </w:rPr>
        <w:t>are</w:t>
      </w:r>
      <w:r w:rsidR="003019F1" w:rsidRPr="00FC45E9">
        <w:rPr>
          <w:rFonts w:cs="Arial"/>
        </w:rPr>
        <w:t xml:space="preserve"> </w:t>
      </w:r>
      <w:r w:rsidRPr="00FC45E9">
        <w:rPr>
          <w:rFonts w:cs="Arial"/>
        </w:rPr>
        <w:t xml:space="preserve">affected by </w:t>
      </w:r>
      <w:r>
        <w:rPr>
          <w:rFonts w:cs="Arial"/>
        </w:rPr>
        <w:t>project</w:t>
      </w:r>
      <w:r w:rsidR="003019F1">
        <w:rPr>
          <w:rFonts w:cs="Arial"/>
        </w:rPr>
        <w:t xml:space="preserve"> related</w:t>
      </w:r>
      <w:r>
        <w:rPr>
          <w:rFonts w:cs="Arial"/>
        </w:rPr>
        <w:t xml:space="preserve"> </w:t>
      </w:r>
      <w:r w:rsidRPr="00FC45E9">
        <w:rPr>
          <w:rFonts w:cs="Arial"/>
        </w:rPr>
        <w:t>infrastructure, such as high voltage power lines and road</w:t>
      </w:r>
      <w:r>
        <w:rPr>
          <w:rFonts w:cs="Arial"/>
        </w:rPr>
        <w:t xml:space="preserve">s used </w:t>
      </w:r>
      <w:r w:rsidR="003019F1">
        <w:rPr>
          <w:rFonts w:cs="Arial"/>
        </w:rPr>
        <w:t xml:space="preserve">to </w:t>
      </w:r>
      <w:r>
        <w:rPr>
          <w:rFonts w:cs="Arial"/>
        </w:rPr>
        <w:t>transport</w:t>
      </w:r>
      <w:r w:rsidRPr="00FC45E9">
        <w:rPr>
          <w:rFonts w:cs="Arial"/>
        </w:rPr>
        <w:t xml:space="preserve"> </w:t>
      </w:r>
      <w:r>
        <w:rPr>
          <w:rFonts w:cs="Arial"/>
        </w:rPr>
        <w:t>equipment and personnel to and from the project.</w:t>
      </w:r>
    </w:p>
    <w:p w14:paraId="2AC790AB" w14:textId="42F1CD8E" w:rsidR="00C66F7A" w:rsidRDefault="00C66F7A" w:rsidP="00C66F7A">
      <w:pPr>
        <w:pStyle w:val="ListParagraph"/>
        <w:numPr>
          <w:ilvl w:val="0"/>
          <w:numId w:val="0"/>
        </w:numPr>
        <w:spacing w:line="264" w:lineRule="auto"/>
        <w:ind w:left="360"/>
        <w:rPr>
          <w:rFonts w:cs="Arial"/>
        </w:rPr>
      </w:pPr>
      <w:r>
        <w:rPr>
          <w:rFonts w:cs="Arial"/>
        </w:rPr>
        <w:t xml:space="preserve">As discussed in Section 1, neighbours may have also been potential hosts for the project </w:t>
      </w:r>
      <w:r w:rsidR="003019F1">
        <w:rPr>
          <w:rFonts w:cs="Arial"/>
        </w:rPr>
        <w:t xml:space="preserve">with the </w:t>
      </w:r>
      <w:r>
        <w:rPr>
          <w:rFonts w:cs="Arial"/>
        </w:rPr>
        <w:t xml:space="preserve">expectation of a material income stream from the project. </w:t>
      </w:r>
      <w:r w:rsidR="003019F1">
        <w:rPr>
          <w:rFonts w:cs="Arial"/>
        </w:rPr>
        <w:t xml:space="preserve">If </w:t>
      </w:r>
      <w:r>
        <w:rPr>
          <w:rFonts w:cs="Arial"/>
        </w:rPr>
        <w:t>their hosting footprint has been reduced or withdrawn</w:t>
      </w:r>
      <w:r w:rsidR="003019F1">
        <w:rPr>
          <w:rFonts w:cs="Arial"/>
        </w:rPr>
        <w:t xml:space="preserve"> this has the potential to</w:t>
      </w:r>
      <w:r>
        <w:rPr>
          <w:rFonts w:cs="Arial"/>
        </w:rPr>
        <w:t xml:space="preserve"> </w:t>
      </w:r>
      <w:r w:rsidR="003019F1">
        <w:rPr>
          <w:rFonts w:cs="Arial"/>
        </w:rPr>
        <w:t xml:space="preserve">make </w:t>
      </w:r>
      <w:r>
        <w:rPr>
          <w:rFonts w:cs="Arial"/>
        </w:rPr>
        <w:t>them reluctant neighbours and possible opponents</w:t>
      </w:r>
      <w:r w:rsidR="003019F1">
        <w:rPr>
          <w:rFonts w:cs="Arial"/>
        </w:rPr>
        <w:t>.</w:t>
      </w:r>
    </w:p>
    <w:p w14:paraId="5C1924C2" w14:textId="0D5D07A1" w:rsidR="00C66F7A" w:rsidRDefault="00C66F7A" w:rsidP="00C66F7A">
      <w:pPr>
        <w:pStyle w:val="ListParagraph"/>
        <w:numPr>
          <w:ilvl w:val="0"/>
          <w:numId w:val="0"/>
        </w:numPr>
        <w:spacing w:line="264" w:lineRule="auto"/>
        <w:ind w:left="360"/>
        <w:rPr>
          <w:rFonts w:cs="Arial"/>
        </w:rPr>
      </w:pPr>
      <w:r w:rsidRPr="00FC45E9">
        <w:rPr>
          <w:rFonts w:cs="Arial"/>
        </w:rPr>
        <w:t xml:space="preserve">Neighbours may also include functional facilities, such as an airfield, where a proposed wind farm </w:t>
      </w:r>
      <w:r>
        <w:rPr>
          <w:rFonts w:cs="Arial"/>
        </w:rPr>
        <w:t xml:space="preserve">or transmission line </w:t>
      </w:r>
      <w:r w:rsidRPr="00FC45E9">
        <w:rPr>
          <w:rFonts w:cs="Arial"/>
        </w:rPr>
        <w:t>could impact on the operation and safety integrity of the facility.</w:t>
      </w:r>
      <w:r>
        <w:rPr>
          <w:rFonts w:cs="Arial"/>
        </w:rPr>
        <w:t xml:space="preserve">  </w:t>
      </w:r>
    </w:p>
    <w:p w14:paraId="4505AD6A" w14:textId="216DDABB" w:rsidR="00C66F7A" w:rsidRPr="00FC45E9" w:rsidRDefault="00C66F7A" w:rsidP="00C66F7A">
      <w:pPr>
        <w:pStyle w:val="ListParagraph"/>
        <w:numPr>
          <w:ilvl w:val="0"/>
          <w:numId w:val="0"/>
        </w:numPr>
        <w:spacing w:line="264" w:lineRule="auto"/>
        <w:ind w:left="360"/>
        <w:rPr>
          <w:rFonts w:cs="Arial"/>
        </w:rPr>
      </w:pPr>
      <w:r>
        <w:rPr>
          <w:rFonts w:cs="Arial"/>
        </w:rPr>
        <w:t>Other neighbouring facilities could include sporting precincts, schools, places of worship, community facilities, parks and gardens</w:t>
      </w:r>
      <w:r w:rsidR="009A6319">
        <w:rPr>
          <w:rFonts w:cs="Arial"/>
        </w:rPr>
        <w:t>. This is</w:t>
      </w:r>
      <w:r>
        <w:rPr>
          <w:rFonts w:cs="Arial"/>
        </w:rPr>
        <w:t xml:space="preserve"> particularl</w:t>
      </w:r>
      <w:r w:rsidR="009A6319">
        <w:rPr>
          <w:rFonts w:cs="Arial"/>
        </w:rPr>
        <w:t>y so</w:t>
      </w:r>
      <w:r>
        <w:rPr>
          <w:rFonts w:cs="Arial"/>
        </w:rPr>
        <w:t xml:space="preserve"> in the case of high voltage powerlines.</w:t>
      </w:r>
    </w:p>
    <w:p w14:paraId="05DA8551" w14:textId="03FB69E4"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Neighbours </w:t>
      </w:r>
      <w:r w:rsidR="00355C5F">
        <w:rPr>
          <w:rFonts w:cs="Arial"/>
        </w:rPr>
        <w:t>may</w:t>
      </w:r>
      <w:r w:rsidR="00355C5F" w:rsidRPr="00FC45E9">
        <w:rPr>
          <w:rFonts w:cs="Arial"/>
        </w:rPr>
        <w:t xml:space="preserve"> </w:t>
      </w:r>
      <w:r w:rsidRPr="00FC45E9">
        <w:rPr>
          <w:rFonts w:cs="Arial"/>
        </w:rPr>
        <w:t xml:space="preserve">be </w:t>
      </w:r>
      <w:r>
        <w:rPr>
          <w:rFonts w:cs="Arial"/>
        </w:rPr>
        <w:t xml:space="preserve">materially </w:t>
      </w:r>
      <w:r w:rsidRPr="00FC45E9">
        <w:rPr>
          <w:rFonts w:cs="Arial"/>
        </w:rPr>
        <w:t xml:space="preserve">impacted by the development, construction and operation of </w:t>
      </w:r>
      <w:r>
        <w:rPr>
          <w:rFonts w:cs="Arial"/>
        </w:rPr>
        <w:t xml:space="preserve">the project. </w:t>
      </w:r>
      <w:r w:rsidRPr="00FC45E9">
        <w:rPr>
          <w:rFonts w:cs="Arial"/>
        </w:rPr>
        <w:t xml:space="preserve">Impacts </w:t>
      </w:r>
      <w:r w:rsidR="00355C5F">
        <w:rPr>
          <w:rFonts w:cs="Arial"/>
        </w:rPr>
        <w:t>may</w:t>
      </w:r>
      <w:r w:rsidR="00355C5F" w:rsidRPr="00FC45E9">
        <w:rPr>
          <w:rFonts w:cs="Arial"/>
        </w:rPr>
        <w:t xml:space="preserve"> </w:t>
      </w:r>
      <w:r w:rsidR="00B5244D">
        <w:rPr>
          <w:rFonts w:cs="Arial"/>
        </w:rPr>
        <w:t>be due to</w:t>
      </w:r>
      <w:r w:rsidR="00B5244D" w:rsidRPr="00FC45E9">
        <w:rPr>
          <w:rFonts w:cs="Arial"/>
        </w:rPr>
        <w:t xml:space="preserve"> </w:t>
      </w:r>
      <w:r>
        <w:rPr>
          <w:rFonts w:cs="Arial"/>
        </w:rPr>
        <w:t>land access for surveys and investigations, project construction equipment and contractor vehicle traffic, construction noise and dust, travel disruptions,</w:t>
      </w:r>
      <w:r w:rsidRPr="00FC45E9">
        <w:rPr>
          <w:rFonts w:cs="Arial"/>
        </w:rPr>
        <w:t xml:space="preserve"> </w:t>
      </w:r>
      <w:r>
        <w:rPr>
          <w:rFonts w:cs="Arial"/>
        </w:rPr>
        <w:t xml:space="preserve">road damage, blocked roads, </w:t>
      </w:r>
      <w:r w:rsidRPr="00FC45E9">
        <w:rPr>
          <w:rFonts w:cs="Arial"/>
        </w:rPr>
        <w:t xml:space="preserve">visual amenity, </w:t>
      </w:r>
      <w:r>
        <w:rPr>
          <w:rFonts w:cs="Arial"/>
        </w:rPr>
        <w:t xml:space="preserve">operating </w:t>
      </w:r>
      <w:r w:rsidRPr="00FC45E9">
        <w:rPr>
          <w:rFonts w:cs="Arial"/>
        </w:rPr>
        <w:t>noise and economic loss</w:t>
      </w:r>
      <w:r w:rsidR="00B5244D">
        <w:rPr>
          <w:rFonts w:cs="Arial"/>
        </w:rPr>
        <w:t>. Neighbours may have c</w:t>
      </w:r>
      <w:r>
        <w:rPr>
          <w:rFonts w:cs="Arial"/>
        </w:rPr>
        <w:t>oncerns</w:t>
      </w:r>
      <w:r w:rsidRPr="00FC45E9">
        <w:rPr>
          <w:rFonts w:cs="Arial"/>
        </w:rPr>
        <w:t xml:space="preserve"> in anticipation of these impacts as well as </w:t>
      </w:r>
      <w:r w:rsidR="00B5244D">
        <w:rPr>
          <w:rFonts w:cs="Arial"/>
        </w:rPr>
        <w:t xml:space="preserve">the </w:t>
      </w:r>
      <w:r w:rsidRPr="00FC45E9">
        <w:rPr>
          <w:rFonts w:cs="Arial"/>
        </w:rPr>
        <w:t xml:space="preserve">actual impacts once the </w:t>
      </w:r>
      <w:r>
        <w:rPr>
          <w:rFonts w:cs="Arial"/>
        </w:rPr>
        <w:t xml:space="preserve">project commences construction or </w:t>
      </w:r>
      <w:r w:rsidRPr="00FC45E9">
        <w:rPr>
          <w:rFonts w:cs="Arial"/>
        </w:rPr>
        <w:t xml:space="preserve">is operating. </w:t>
      </w:r>
    </w:p>
    <w:p w14:paraId="2B3924AE" w14:textId="77777777" w:rsidR="00C66F7A" w:rsidRPr="007A223C" w:rsidRDefault="00C66F7A" w:rsidP="00F25864">
      <w:pPr>
        <w:pStyle w:val="Heading3"/>
        <w:ind w:firstLine="360"/>
      </w:pPr>
      <w:bookmarkStart w:id="176" w:name="_Toc135390622"/>
      <w:r w:rsidRPr="007A223C">
        <w:t>Consultation</w:t>
      </w:r>
      <w:bookmarkEnd w:id="176"/>
    </w:p>
    <w:p w14:paraId="28D3BEC5" w14:textId="2E06133E" w:rsidR="00B5244D" w:rsidRPr="00FC45E9" w:rsidRDefault="00C66F7A" w:rsidP="00C66F7A">
      <w:pPr>
        <w:pStyle w:val="ListParagraph"/>
        <w:numPr>
          <w:ilvl w:val="0"/>
          <w:numId w:val="0"/>
        </w:numPr>
        <w:spacing w:line="264" w:lineRule="auto"/>
        <w:ind w:left="360"/>
        <w:rPr>
          <w:rFonts w:cs="Arial"/>
        </w:rPr>
      </w:pPr>
      <w:r w:rsidRPr="00FC45E9">
        <w:rPr>
          <w:rFonts w:cs="Arial"/>
        </w:rPr>
        <w:t xml:space="preserve">While developers have generally engaged and consulted </w:t>
      </w:r>
      <w:r>
        <w:rPr>
          <w:rFonts w:cs="Arial"/>
        </w:rPr>
        <w:t xml:space="preserve">well </w:t>
      </w:r>
      <w:r w:rsidRPr="00FC45E9">
        <w:rPr>
          <w:rFonts w:cs="Arial"/>
        </w:rPr>
        <w:t>with potential host landowners</w:t>
      </w:r>
      <w:r>
        <w:rPr>
          <w:rFonts w:cs="Arial"/>
        </w:rPr>
        <w:t xml:space="preserve"> (transmission being an exception)</w:t>
      </w:r>
      <w:r w:rsidRPr="00FC45E9">
        <w:rPr>
          <w:rFonts w:cs="Arial"/>
        </w:rPr>
        <w:t xml:space="preserve">, developers have not always understood the importance of consulting and working with neighbours in proximity to a project. </w:t>
      </w:r>
      <w:r w:rsidR="002A6762">
        <w:rPr>
          <w:rFonts w:cs="Arial"/>
        </w:rPr>
        <w:t>A t</w:t>
      </w:r>
      <w:r>
        <w:rPr>
          <w:rFonts w:cs="Arial"/>
        </w:rPr>
        <w:t xml:space="preserve">ypical </w:t>
      </w:r>
      <w:r w:rsidRPr="00FC45E9">
        <w:rPr>
          <w:rFonts w:cs="Arial"/>
        </w:rPr>
        <w:t>complaint</w:t>
      </w:r>
      <w:r w:rsidR="002A6762">
        <w:rPr>
          <w:rFonts w:cs="Arial"/>
        </w:rPr>
        <w:t xml:space="preserve"> received by</w:t>
      </w:r>
      <w:r>
        <w:rPr>
          <w:rFonts w:cs="Arial"/>
        </w:rPr>
        <w:t xml:space="preserve"> our Office </w:t>
      </w:r>
      <w:r w:rsidRPr="00FC45E9">
        <w:rPr>
          <w:rFonts w:cs="Arial"/>
        </w:rPr>
        <w:t xml:space="preserve">from </w:t>
      </w:r>
      <w:r>
        <w:rPr>
          <w:rFonts w:cs="Arial"/>
        </w:rPr>
        <w:t>project n</w:t>
      </w:r>
      <w:r w:rsidRPr="00FC45E9">
        <w:rPr>
          <w:rFonts w:cs="Arial"/>
        </w:rPr>
        <w:t>eighbours is that they were not consulted by the developer</w:t>
      </w:r>
      <w:r>
        <w:rPr>
          <w:rFonts w:cs="Arial"/>
        </w:rPr>
        <w:t xml:space="preserve"> and only heard about the project from third parties</w:t>
      </w:r>
      <w:r w:rsidRPr="00FC45E9">
        <w:rPr>
          <w:rFonts w:cs="Arial"/>
        </w:rPr>
        <w:t xml:space="preserve">. Often there is limited evidence to </w:t>
      </w:r>
      <w:r>
        <w:rPr>
          <w:rFonts w:cs="Arial"/>
        </w:rPr>
        <w:t xml:space="preserve">verify </w:t>
      </w:r>
      <w:r w:rsidRPr="00FC45E9">
        <w:rPr>
          <w:rFonts w:cs="Arial"/>
        </w:rPr>
        <w:t xml:space="preserve">the </w:t>
      </w:r>
      <w:r>
        <w:rPr>
          <w:rFonts w:cs="Arial"/>
        </w:rPr>
        <w:t xml:space="preserve">degree and </w:t>
      </w:r>
      <w:r w:rsidRPr="00FC45E9">
        <w:rPr>
          <w:rFonts w:cs="Arial"/>
        </w:rPr>
        <w:t>level of consultation and interactions between the developer and neighbours</w:t>
      </w:r>
      <w:r>
        <w:rPr>
          <w:rFonts w:cs="Arial"/>
        </w:rPr>
        <w:t xml:space="preserve"> to the project</w:t>
      </w:r>
      <w:r w:rsidRPr="00FC45E9">
        <w:rPr>
          <w:rFonts w:cs="Arial"/>
        </w:rPr>
        <w:t>.</w:t>
      </w:r>
    </w:p>
    <w:p w14:paraId="7F0B0264" w14:textId="3A1CF137" w:rsidR="00C66F7A" w:rsidRPr="00B5244D" w:rsidRDefault="00C66F7A" w:rsidP="00B5244D">
      <w:pPr>
        <w:pStyle w:val="ListParagraph"/>
        <w:numPr>
          <w:ilvl w:val="0"/>
          <w:numId w:val="0"/>
        </w:numPr>
        <w:spacing w:line="264" w:lineRule="auto"/>
        <w:ind w:left="360"/>
      </w:pPr>
      <w:r w:rsidRPr="00B5244D">
        <w:t>Consultation activities with neighbour</w:t>
      </w:r>
      <w:r w:rsidR="002A6762">
        <w:t>s</w:t>
      </w:r>
      <w:r w:rsidRPr="00B5244D">
        <w:t xml:space="preserve"> include a wide range of topics, such as:</w:t>
      </w:r>
    </w:p>
    <w:p w14:paraId="6467A66B" w14:textId="035E8D99" w:rsidR="00C66F7A" w:rsidRDefault="00C66F7A" w:rsidP="00C66F7A">
      <w:pPr>
        <w:pStyle w:val="ListBullet"/>
        <w:numPr>
          <w:ilvl w:val="0"/>
          <w:numId w:val="10"/>
        </w:numPr>
        <w:spacing w:line="264" w:lineRule="auto"/>
        <w:rPr>
          <w:rFonts w:cs="Arial"/>
        </w:rPr>
      </w:pPr>
      <w:r w:rsidRPr="00FC45E9">
        <w:rPr>
          <w:rFonts w:cs="Arial"/>
        </w:rPr>
        <w:t xml:space="preserve">consulting with neighbours on the </w:t>
      </w:r>
      <w:r>
        <w:rPr>
          <w:rFonts w:cs="Arial"/>
        </w:rPr>
        <w:t>project</w:t>
      </w:r>
      <w:r w:rsidRPr="00FC45E9">
        <w:rPr>
          <w:rFonts w:cs="Arial"/>
        </w:rPr>
        <w:t xml:space="preserve">’s design and layout, especially during the early scoping and design stages, </w:t>
      </w:r>
      <w:r>
        <w:rPr>
          <w:rFonts w:cs="Arial"/>
        </w:rPr>
        <w:t xml:space="preserve">to </w:t>
      </w:r>
      <w:r w:rsidRPr="00FC45E9">
        <w:rPr>
          <w:rFonts w:cs="Arial"/>
        </w:rPr>
        <w:t>enable a fact-based discussion about landscape/amenity impacts</w:t>
      </w:r>
    </w:p>
    <w:p w14:paraId="77684CE1" w14:textId="77777777" w:rsidR="00C66F7A" w:rsidRDefault="00C66F7A" w:rsidP="00C66F7A">
      <w:pPr>
        <w:pStyle w:val="ListBullet"/>
        <w:numPr>
          <w:ilvl w:val="0"/>
          <w:numId w:val="10"/>
        </w:numPr>
        <w:spacing w:line="264" w:lineRule="auto"/>
        <w:rPr>
          <w:rFonts w:cs="Arial"/>
        </w:rPr>
      </w:pPr>
      <w:r>
        <w:rPr>
          <w:rFonts w:cs="Arial"/>
        </w:rPr>
        <w:t>identifying dwellings on the neighbour’s property and ensuring that appropriate set back distances have been accommodated in the project’s design</w:t>
      </w:r>
    </w:p>
    <w:p w14:paraId="775A5729" w14:textId="21648FC2" w:rsidR="00C66F7A" w:rsidRDefault="002A6762" w:rsidP="00C66F7A">
      <w:pPr>
        <w:pStyle w:val="ListBullet"/>
        <w:numPr>
          <w:ilvl w:val="0"/>
          <w:numId w:val="10"/>
        </w:numPr>
        <w:spacing w:line="264" w:lineRule="auto"/>
        <w:rPr>
          <w:rFonts w:cs="Arial"/>
        </w:rPr>
      </w:pPr>
      <w:r>
        <w:rPr>
          <w:rFonts w:cs="Arial"/>
        </w:rPr>
        <w:t>e</w:t>
      </w:r>
      <w:r w:rsidR="00C66F7A">
        <w:rPr>
          <w:rFonts w:cs="Arial"/>
        </w:rPr>
        <w:t>ntering into agreements with neighbours where set-back distances</w:t>
      </w:r>
      <w:r>
        <w:rPr>
          <w:rFonts w:cs="Arial"/>
        </w:rPr>
        <w:t xml:space="preserve"> and</w:t>
      </w:r>
      <w:r w:rsidR="00C66F7A">
        <w:rPr>
          <w:rFonts w:cs="Arial"/>
        </w:rPr>
        <w:t xml:space="preserve"> noise levels would be in breach of the planning guideline</w:t>
      </w:r>
    </w:p>
    <w:p w14:paraId="5FCEB0CF" w14:textId="77777777" w:rsidR="00C66F7A" w:rsidRPr="00FC45E9" w:rsidRDefault="00C66F7A" w:rsidP="00C66F7A">
      <w:pPr>
        <w:pStyle w:val="ListBullet"/>
        <w:numPr>
          <w:ilvl w:val="0"/>
          <w:numId w:val="10"/>
        </w:numPr>
        <w:spacing w:line="264" w:lineRule="auto"/>
        <w:rPr>
          <w:rFonts w:cs="Arial"/>
        </w:rPr>
      </w:pPr>
      <w:r>
        <w:rPr>
          <w:rFonts w:cs="Arial"/>
        </w:rPr>
        <w:t>consulting with neighbours to explain the planning process and opportunities for neighbours to engage in that process</w:t>
      </w:r>
    </w:p>
    <w:p w14:paraId="1761EB37" w14:textId="77777777" w:rsidR="00C66F7A" w:rsidRPr="00FC45E9" w:rsidRDefault="00C66F7A" w:rsidP="00C66F7A">
      <w:pPr>
        <w:pStyle w:val="ListBullet"/>
        <w:numPr>
          <w:ilvl w:val="0"/>
          <w:numId w:val="10"/>
        </w:numPr>
        <w:spacing w:line="264" w:lineRule="auto"/>
        <w:rPr>
          <w:rFonts w:cs="Arial"/>
        </w:rPr>
      </w:pPr>
      <w:r w:rsidRPr="00FC45E9">
        <w:rPr>
          <w:rFonts w:cs="Arial"/>
        </w:rPr>
        <w:t xml:space="preserve">consulting with neighbours on the process and oversight of </w:t>
      </w:r>
      <w:r>
        <w:rPr>
          <w:rFonts w:cs="Arial"/>
        </w:rPr>
        <w:t xml:space="preserve">specific </w:t>
      </w:r>
      <w:r w:rsidRPr="00FC45E9">
        <w:rPr>
          <w:rFonts w:cs="Arial"/>
        </w:rPr>
        <w:t>activities</w:t>
      </w:r>
      <w:r>
        <w:rPr>
          <w:rFonts w:cs="Arial"/>
        </w:rPr>
        <w:t>,</w:t>
      </w:r>
      <w:r w:rsidRPr="00FC45E9">
        <w:rPr>
          <w:rFonts w:cs="Arial"/>
        </w:rPr>
        <w:t xml:space="preserve"> such as </w:t>
      </w:r>
      <w:r>
        <w:rPr>
          <w:rFonts w:cs="Arial"/>
        </w:rPr>
        <w:t xml:space="preserve">site or route selection, </w:t>
      </w:r>
      <w:r w:rsidRPr="00FC45E9">
        <w:rPr>
          <w:rFonts w:cs="Arial"/>
        </w:rPr>
        <w:t xml:space="preserve">predictive noise assessments, post construction noise testing, environment, aviation, </w:t>
      </w:r>
      <w:r>
        <w:rPr>
          <w:rFonts w:cs="Arial"/>
        </w:rPr>
        <w:t xml:space="preserve">transport management plan, </w:t>
      </w:r>
      <w:r w:rsidRPr="00FC45E9">
        <w:rPr>
          <w:rFonts w:cs="Arial"/>
        </w:rPr>
        <w:t>shadow flicker and visual amenity assessments</w:t>
      </w:r>
    </w:p>
    <w:p w14:paraId="228953AE" w14:textId="77777777" w:rsidR="00C66F7A" w:rsidRPr="00FC45E9" w:rsidRDefault="00C66F7A" w:rsidP="00C66F7A">
      <w:pPr>
        <w:pStyle w:val="ListBullet"/>
        <w:numPr>
          <w:ilvl w:val="0"/>
          <w:numId w:val="10"/>
        </w:numPr>
        <w:spacing w:line="264" w:lineRule="auto"/>
        <w:rPr>
          <w:rFonts w:cs="Arial"/>
        </w:rPr>
      </w:pPr>
      <w:r w:rsidRPr="00FC45E9">
        <w:rPr>
          <w:rFonts w:cs="Arial"/>
        </w:rPr>
        <w:t xml:space="preserve">advising and consulting on subsequent proposed changes to the </w:t>
      </w:r>
      <w:r>
        <w:rPr>
          <w:rFonts w:cs="Arial"/>
        </w:rPr>
        <w:t xml:space="preserve">project’s </w:t>
      </w:r>
      <w:r w:rsidRPr="00FC45E9">
        <w:rPr>
          <w:rFonts w:cs="Arial"/>
        </w:rPr>
        <w:t xml:space="preserve">design, layout and </w:t>
      </w:r>
      <w:r>
        <w:rPr>
          <w:rFonts w:cs="Arial"/>
        </w:rPr>
        <w:t xml:space="preserve">equipment </w:t>
      </w:r>
      <w:r w:rsidRPr="00FC45E9">
        <w:rPr>
          <w:rFonts w:cs="Arial"/>
        </w:rPr>
        <w:t>selection</w:t>
      </w:r>
    </w:p>
    <w:p w14:paraId="095C049E" w14:textId="2225572B" w:rsidR="00C66F7A" w:rsidRPr="00FC45E9" w:rsidRDefault="00C66F7A" w:rsidP="00C66F7A">
      <w:pPr>
        <w:pStyle w:val="ListBullet"/>
        <w:numPr>
          <w:ilvl w:val="0"/>
          <w:numId w:val="10"/>
        </w:numPr>
        <w:spacing w:line="264" w:lineRule="auto"/>
        <w:rPr>
          <w:rFonts w:cs="Arial"/>
        </w:rPr>
      </w:pPr>
      <w:r w:rsidRPr="00FC45E9">
        <w:rPr>
          <w:rFonts w:cs="Arial"/>
        </w:rPr>
        <w:lastRenderedPageBreak/>
        <w:t xml:space="preserve">ensuring background and operating noise testing </w:t>
      </w:r>
      <w:r>
        <w:rPr>
          <w:rFonts w:cs="Arial"/>
        </w:rPr>
        <w:t xml:space="preserve">(for wind farms) at neighbour properties </w:t>
      </w:r>
      <w:r w:rsidRPr="00FC45E9">
        <w:rPr>
          <w:rFonts w:cs="Arial"/>
        </w:rPr>
        <w:t xml:space="preserve">is undertaken and results are provided in a timely fashion and appropriate format </w:t>
      </w:r>
    </w:p>
    <w:p w14:paraId="2A29E30A" w14:textId="0D8DE3EA" w:rsidR="00C66F7A" w:rsidRPr="00FC45E9" w:rsidRDefault="00C66F7A" w:rsidP="00C66F7A">
      <w:pPr>
        <w:pStyle w:val="ListBullet"/>
        <w:numPr>
          <w:ilvl w:val="0"/>
          <w:numId w:val="10"/>
        </w:numPr>
        <w:spacing w:line="264" w:lineRule="auto"/>
        <w:rPr>
          <w:rFonts w:cs="Arial"/>
        </w:rPr>
      </w:pPr>
      <w:r w:rsidRPr="00FC45E9">
        <w:rPr>
          <w:rFonts w:cs="Arial"/>
        </w:rPr>
        <w:t>providing information to address questions and concerns raised by neighbours</w:t>
      </w:r>
    </w:p>
    <w:p w14:paraId="23F7AE9B" w14:textId="347AF005" w:rsidR="00C66F7A" w:rsidRDefault="00C66F7A" w:rsidP="00C66F7A">
      <w:pPr>
        <w:pStyle w:val="ListBullet"/>
        <w:numPr>
          <w:ilvl w:val="0"/>
          <w:numId w:val="10"/>
        </w:numPr>
        <w:spacing w:line="264" w:lineRule="auto"/>
        <w:rPr>
          <w:rFonts w:cs="Arial"/>
        </w:rPr>
      </w:pPr>
      <w:r w:rsidRPr="00FC45E9">
        <w:rPr>
          <w:rFonts w:cs="Arial"/>
        </w:rPr>
        <w:t xml:space="preserve">facilitating site visits to operating </w:t>
      </w:r>
      <w:r>
        <w:rPr>
          <w:rFonts w:cs="Arial"/>
        </w:rPr>
        <w:t xml:space="preserve">projects </w:t>
      </w:r>
      <w:r w:rsidRPr="00FC45E9">
        <w:rPr>
          <w:rFonts w:cs="Arial"/>
        </w:rPr>
        <w:t xml:space="preserve">to allow the neighbour to experience a </w:t>
      </w:r>
      <w:r>
        <w:rPr>
          <w:rFonts w:cs="Arial"/>
        </w:rPr>
        <w:t xml:space="preserve">completed project </w:t>
      </w:r>
      <w:r w:rsidRPr="00FC45E9">
        <w:rPr>
          <w:rFonts w:cs="Arial"/>
        </w:rPr>
        <w:t>first-hand</w:t>
      </w:r>
      <w:r w:rsidR="002A6762">
        <w:rPr>
          <w:rFonts w:cs="Arial"/>
        </w:rPr>
        <w:t xml:space="preserve">, a </w:t>
      </w:r>
      <w:r>
        <w:rPr>
          <w:rFonts w:cs="Arial"/>
        </w:rPr>
        <w:t>site visit to a project under construction may also be helpful</w:t>
      </w:r>
    </w:p>
    <w:p w14:paraId="6FF23E15" w14:textId="6B56ACD8" w:rsidR="00C66F7A" w:rsidRPr="00FC45E9" w:rsidRDefault="00C66F7A" w:rsidP="00C66F7A">
      <w:pPr>
        <w:pStyle w:val="ListBullet"/>
        <w:numPr>
          <w:ilvl w:val="0"/>
          <w:numId w:val="10"/>
        </w:numPr>
        <w:spacing w:line="264" w:lineRule="auto"/>
        <w:rPr>
          <w:rFonts w:cs="Arial"/>
        </w:rPr>
      </w:pPr>
      <w:r>
        <w:rPr>
          <w:rFonts w:cs="Arial"/>
        </w:rPr>
        <w:t>a</w:t>
      </w:r>
      <w:r w:rsidRPr="00FC45E9">
        <w:rPr>
          <w:rFonts w:cs="Arial"/>
        </w:rPr>
        <w:t xml:space="preserve">lternately, </w:t>
      </w:r>
      <w:r>
        <w:rPr>
          <w:rFonts w:cs="Arial"/>
        </w:rPr>
        <w:t>utilising devices such as portable w</w:t>
      </w:r>
      <w:r w:rsidRPr="00FC45E9">
        <w:rPr>
          <w:rFonts w:cs="Arial"/>
        </w:rPr>
        <w:t xml:space="preserve">ind farm noise simulators to enable neighbours and other stakeholders the opportunity to experience noise outputs of a wind farm in a wide range of </w:t>
      </w:r>
      <w:r>
        <w:rPr>
          <w:rFonts w:cs="Arial"/>
        </w:rPr>
        <w:t xml:space="preserve">modelled </w:t>
      </w:r>
      <w:r w:rsidRPr="00FC45E9">
        <w:rPr>
          <w:rFonts w:cs="Arial"/>
        </w:rPr>
        <w:t>scenarios</w:t>
      </w:r>
    </w:p>
    <w:p w14:paraId="3B449A4C" w14:textId="1DC565EE" w:rsidR="00C66F7A" w:rsidRPr="00FC45E9" w:rsidRDefault="00C66F7A" w:rsidP="00C66F7A">
      <w:pPr>
        <w:pStyle w:val="ListParagraph"/>
        <w:numPr>
          <w:ilvl w:val="0"/>
          <w:numId w:val="0"/>
        </w:numPr>
        <w:spacing w:line="264" w:lineRule="auto"/>
        <w:ind w:left="360"/>
        <w:rPr>
          <w:rFonts w:cs="Arial"/>
        </w:rPr>
      </w:pPr>
      <w:r w:rsidRPr="00FC45E9">
        <w:rPr>
          <w:rFonts w:cs="Arial"/>
        </w:rPr>
        <w:t>Lack of effective consultation with neighbours can lead to material issues for a project, including conspicuous opposition to the project</w:t>
      </w:r>
      <w:r>
        <w:rPr>
          <w:rFonts w:cs="Arial"/>
        </w:rPr>
        <w:t xml:space="preserve"> (and any modifications to the proposed project)</w:t>
      </w:r>
      <w:r w:rsidRPr="00FC45E9">
        <w:rPr>
          <w:rFonts w:cs="Arial"/>
        </w:rPr>
        <w:t>, formal objections that may lead to planning</w:t>
      </w:r>
      <w:r w:rsidR="0025372B">
        <w:rPr>
          <w:rFonts w:cs="Arial"/>
        </w:rPr>
        <w:t xml:space="preserve"> </w:t>
      </w:r>
      <w:r w:rsidRPr="00FC45E9">
        <w:rPr>
          <w:rFonts w:cs="Arial"/>
        </w:rPr>
        <w:t xml:space="preserve">approval delays and appeals, </w:t>
      </w:r>
      <w:r>
        <w:rPr>
          <w:rFonts w:cs="Arial"/>
        </w:rPr>
        <w:t xml:space="preserve">legal actions against the project or planning authority, </w:t>
      </w:r>
      <w:r w:rsidRPr="00FC45E9">
        <w:rPr>
          <w:rFonts w:cs="Arial"/>
        </w:rPr>
        <w:t>the project (or elements of the project) not being approved as well as negative media coverage about the project and the industry more broadly.</w:t>
      </w:r>
    </w:p>
    <w:p w14:paraId="51E03A63" w14:textId="77777777" w:rsidR="00C66F7A" w:rsidRPr="007A223C" w:rsidRDefault="00C66F7A" w:rsidP="00F25864">
      <w:pPr>
        <w:pStyle w:val="Heading3"/>
        <w:ind w:firstLine="360"/>
      </w:pPr>
      <w:bookmarkStart w:id="177" w:name="_Toc135390623"/>
      <w:r w:rsidRPr="007A223C">
        <w:t>Neighbour Agreements</w:t>
      </w:r>
      <w:bookmarkEnd w:id="177"/>
    </w:p>
    <w:p w14:paraId="222CCD92" w14:textId="08C9DC79" w:rsidR="00C66F7A" w:rsidRDefault="00C66F7A" w:rsidP="00C66F7A">
      <w:pPr>
        <w:pStyle w:val="ListParagraph"/>
        <w:numPr>
          <w:ilvl w:val="0"/>
          <w:numId w:val="0"/>
        </w:numPr>
        <w:spacing w:line="264" w:lineRule="auto"/>
        <w:ind w:left="360"/>
        <w:rPr>
          <w:rFonts w:cs="Arial"/>
        </w:rPr>
      </w:pPr>
      <w:r w:rsidRPr="00FC45E9">
        <w:rPr>
          <w:rFonts w:cs="Arial"/>
        </w:rPr>
        <w:t xml:space="preserve">In addition to more effective consultation with neighbours throughout the </w:t>
      </w:r>
      <w:r>
        <w:rPr>
          <w:rFonts w:cs="Arial"/>
        </w:rPr>
        <w:t>project</w:t>
      </w:r>
      <w:r w:rsidRPr="00FC45E9">
        <w:rPr>
          <w:rFonts w:cs="Arial"/>
        </w:rPr>
        <w:t xml:space="preserve">’s development, some developers have introduced the concept of ‘neighbour </w:t>
      </w:r>
      <w:r w:rsidR="00737F39" w:rsidRPr="00FC45E9">
        <w:rPr>
          <w:rFonts w:cs="Arial"/>
        </w:rPr>
        <w:t>agreements</w:t>
      </w:r>
      <w:r w:rsidRPr="00FC45E9">
        <w:rPr>
          <w:rFonts w:cs="Arial"/>
        </w:rPr>
        <w:t xml:space="preserve">. These agreements provide a commercial arrangement between the </w:t>
      </w:r>
      <w:r>
        <w:rPr>
          <w:rFonts w:cs="Arial"/>
        </w:rPr>
        <w:t xml:space="preserve">project </w:t>
      </w:r>
      <w:r w:rsidRPr="00FC45E9">
        <w:rPr>
          <w:rFonts w:cs="Arial"/>
        </w:rPr>
        <w:t xml:space="preserve">and neighbour that recognises the possible impacts of the </w:t>
      </w:r>
      <w:r>
        <w:rPr>
          <w:rFonts w:cs="Arial"/>
        </w:rPr>
        <w:t>project o</w:t>
      </w:r>
      <w:r w:rsidRPr="00FC45E9">
        <w:rPr>
          <w:rFonts w:cs="Arial"/>
        </w:rPr>
        <w:t>n the neighbour</w:t>
      </w:r>
      <w:r w:rsidR="0025372B">
        <w:rPr>
          <w:rFonts w:cs="Arial"/>
        </w:rPr>
        <w:t>.</w:t>
      </w:r>
    </w:p>
    <w:p w14:paraId="2BD71935" w14:textId="098F5544" w:rsidR="00C66F7A" w:rsidRPr="00FC45E9" w:rsidRDefault="00886A57" w:rsidP="00C66F7A">
      <w:pPr>
        <w:pStyle w:val="ListParagraph"/>
        <w:numPr>
          <w:ilvl w:val="0"/>
          <w:numId w:val="0"/>
        </w:numPr>
        <w:spacing w:line="264" w:lineRule="auto"/>
        <w:ind w:left="360"/>
        <w:rPr>
          <w:rFonts w:cs="Arial"/>
        </w:rPr>
      </w:pPr>
      <w:r>
        <w:rPr>
          <w:rFonts w:cs="Arial"/>
        </w:rPr>
        <w:t>Developer’s may be required to enter into neighbour a</w:t>
      </w:r>
      <w:r w:rsidR="00C66F7A" w:rsidRPr="00FC45E9">
        <w:rPr>
          <w:rFonts w:cs="Arial"/>
        </w:rPr>
        <w:t xml:space="preserve">greements to gain permit approval </w:t>
      </w:r>
      <w:r>
        <w:rPr>
          <w:rFonts w:cs="Arial"/>
        </w:rPr>
        <w:t xml:space="preserve">if </w:t>
      </w:r>
      <w:r w:rsidR="00C66F7A" w:rsidRPr="00FC45E9">
        <w:rPr>
          <w:rFonts w:cs="Arial"/>
        </w:rPr>
        <w:t xml:space="preserve">the neighbour is at a risk of experiencing impacts from the </w:t>
      </w:r>
      <w:r w:rsidR="00C66F7A">
        <w:rPr>
          <w:rFonts w:cs="Arial"/>
        </w:rPr>
        <w:t xml:space="preserve">project that </w:t>
      </w:r>
      <w:r w:rsidR="00C66F7A" w:rsidRPr="00FC45E9">
        <w:rPr>
          <w:rFonts w:cs="Arial"/>
        </w:rPr>
        <w:t>exce</w:t>
      </w:r>
      <w:r w:rsidR="00C66F7A">
        <w:rPr>
          <w:rFonts w:cs="Arial"/>
        </w:rPr>
        <w:t>ed</w:t>
      </w:r>
      <w:r w:rsidR="00C66F7A" w:rsidRPr="00FC45E9">
        <w:rPr>
          <w:rFonts w:cs="Arial"/>
        </w:rPr>
        <w:t xml:space="preserve"> permit limits or </w:t>
      </w:r>
      <w:r w:rsidR="00C66F7A">
        <w:rPr>
          <w:rFonts w:cs="Arial"/>
        </w:rPr>
        <w:t xml:space="preserve">if they </w:t>
      </w:r>
      <w:r w:rsidR="00C66F7A" w:rsidRPr="00FC45E9">
        <w:rPr>
          <w:rFonts w:cs="Arial"/>
        </w:rPr>
        <w:t xml:space="preserve">reside within a default setback distance zone. </w:t>
      </w:r>
    </w:p>
    <w:p w14:paraId="75EEBE72"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The content of a neighbour agreement is typically confidential to the parties, but may include one or more of the following:</w:t>
      </w:r>
      <w:r>
        <w:rPr>
          <w:rFonts w:cs="Arial"/>
        </w:rPr>
        <w:t xml:space="preserve"> </w:t>
      </w:r>
    </w:p>
    <w:p w14:paraId="630D2475" w14:textId="77777777" w:rsidR="00C66F7A" w:rsidRPr="00FC45E9" w:rsidRDefault="00C66F7A" w:rsidP="00C66F7A">
      <w:pPr>
        <w:pStyle w:val="ListParagraph"/>
        <w:numPr>
          <w:ilvl w:val="0"/>
          <w:numId w:val="9"/>
        </w:numPr>
        <w:spacing w:line="264" w:lineRule="auto"/>
        <w:rPr>
          <w:rFonts w:cs="Arial"/>
        </w:rPr>
      </w:pPr>
      <w:r w:rsidRPr="00FC45E9">
        <w:rPr>
          <w:rFonts w:cs="Arial"/>
        </w:rPr>
        <w:t xml:space="preserve">annual payments to the neighbour for the life of the </w:t>
      </w:r>
      <w:r>
        <w:rPr>
          <w:rFonts w:cs="Arial"/>
        </w:rPr>
        <w:t>project</w:t>
      </w:r>
      <w:r w:rsidRPr="00FC45E9">
        <w:rPr>
          <w:rFonts w:cs="Arial"/>
        </w:rPr>
        <w:t xml:space="preserve"> (including payments during the development, construction and operating phases of the </w:t>
      </w:r>
      <w:r>
        <w:rPr>
          <w:rFonts w:cs="Arial"/>
        </w:rPr>
        <w:t>project</w:t>
      </w:r>
      <w:r w:rsidRPr="00FC45E9">
        <w:rPr>
          <w:rFonts w:cs="Arial"/>
        </w:rPr>
        <w:t>)</w:t>
      </w:r>
    </w:p>
    <w:p w14:paraId="0A3C7EE3" w14:textId="77777777" w:rsidR="00C66F7A" w:rsidRPr="00FC45E9" w:rsidRDefault="00C66F7A" w:rsidP="00C66F7A">
      <w:pPr>
        <w:pStyle w:val="ListParagraph"/>
        <w:numPr>
          <w:ilvl w:val="0"/>
          <w:numId w:val="9"/>
        </w:numPr>
        <w:spacing w:line="264" w:lineRule="auto"/>
        <w:rPr>
          <w:rFonts w:cs="Arial"/>
        </w:rPr>
      </w:pPr>
      <w:r w:rsidRPr="00FC45E9">
        <w:rPr>
          <w:rFonts w:cs="Arial"/>
        </w:rPr>
        <w:t>a one-time payment at the commencement of the agreement</w:t>
      </w:r>
    </w:p>
    <w:p w14:paraId="4DDC90E6" w14:textId="5AC6C600" w:rsidR="00C66F7A" w:rsidRPr="00FC45E9" w:rsidRDefault="00C66F7A" w:rsidP="00C66F7A">
      <w:pPr>
        <w:pStyle w:val="ListParagraph"/>
        <w:numPr>
          <w:ilvl w:val="0"/>
          <w:numId w:val="9"/>
        </w:numPr>
        <w:spacing w:line="264" w:lineRule="auto"/>
        <w:rPr>
          <w:rFonts w:cs="Arial"/>
        </w:rPr>
      </w:pPr>
      <w:r w:rsidRPr="00FC45E9">
        <w:rPr>
          <w:rFonts w:cs="Arial"/>
        </w:rPr>
        <w:t xml:space="preserve">reimbursement of reasonable legal fees incurred by the neighbour for </w:t>
      </w:r>
      <w:r w:rsidR="00886A57">
        <w:rPr>
          <w:rFonts w:cs="Arial"/>
        </w:rPr>
        <w:t xml:space="preserve">negotiation </w:t>
      </w:r>
      <w:r w:rsidRPr="00FC45E9">
        <w:rPr>
          <w:rFonts w:cs="Arial"/>
        </w:rPr>
        <w:t>of the agreement</w:t>
      </w:r>
    </w:p>
    <w:p w14:paraId="21AF9781" w14:textId="16A6E5F7" w:rsidR="00C66F7A" w:rsidRDefault="00C66F7A" w:rsidP="00C66F7A">
      <w:pPr>
        <w:pStyle w:val="ListParagraph"/>
        <w:numPr>
          <w:ilvl w:val="0"/>
          <w:numId w:val="9"/>
        </w:numPr>
        <w:spacing w:line="264" w:lineRule="auto"/>
        <w:rPr>
          <w:rFonts w:cs="Arial"/>
        </w:rPr>
      </w:pPr>
      <w:r w:rsidRPr="00FC45E9">
        <w:rPr>
          <w:rFonts w:cs="Arial"/>
        </w:rPr>
        <w:t>reimbursement for, or provision of, items such as visual screening, insulation, double-glazing, air-conditioning, energy efficiency programs, solar panels, electricity consumption</w:t>
      </w:r>
    </w:p>
    <w:p w14:paraId="6854026F" w14:textId="0B9A0C51" w:rsidR="00C66F7A" w:rsidRPr="00FC45E9" w:rsidRDefault="00C66F7A" w:rsidP="00C66F7A">
      <w:pPr>
        <w:pStyle w:val="ListParagraph"/>
        <w:numPr>
          <w:ilvl w:val="0"/>
          <w:numId w:val="9"/>
        </w:numPr>
        <w:spacing w:line="264" w:lineRule="auto"/>
        <w:rPr>
          <w:rFonts w:cs="Arial"/>
        </w:rPr>
      </w:pPr>
      <w:r>
        <w:rPr>
          <w:rFonts w:cs="Arial"/>
        </w:rPr>
        <w:t xml:space="preserve">reimbursement for increased </w:t>
      </w:r>
      <w:r w:rsidR="001D3DD7">
        <w:rPr>
          <w:rFonts w:cs="Arial"/>
        </w:rPr>
        <w:t xml:space="preserve">public liability insurance </w:t>
      </w:r>
      <w:r>
        <w:rPr>
          <w:rFonts w:cs="Arial"/>
        </w:rPr>
        <w:t>premiums levied to the neighbour due to the presence of the wind or solar farm</w:t>
      </w:r>
    </w:p>
    <w:p w14:paraId="79EE3C9B" w14:textId="2FD72890" w:rsidR="00C66F7A" w:rsidRPr="00FC45E9" w:rsidRDefault="00C66F7A" w:rsidP="00C66F7A">
      <w:pPr>
        <w:pStyle w:val="ListParagraph"/>
        <w:numPr>
          <w:ilvl w:val="0"/>
          <w:numId w:val="9"/>
        </w:numPr>
        <w:spacing w:line="264" w:lineRule="auto"/>
        <w:rPr>
          <w:rFonts w:cs="Arial"/>
        </w:rPr>
      </w:pPr>
      <w:r w:rsidRPr="00FC45E9">
        <w:rPr>
          <w:rFonts w:cs="Arial"/>
        </w:rPr>
        <w:t xml:space="preserve">an option for the neighbour to request that the developer acquire </w:t>
      </w:r>
      <w:r>
        <w:rPr>
          <w:rFonts w:cs="Arial"/>
        </w:rPr>
        <w:t>the neighbour’s</w:t>
      </w:r>
      <w:r w:rsidRPr="00FC45E9">
        <w:rPr>
          <w:rFonts w:cs="Arial"/>
        </w:rPr>
        <w:t xml:space="preserve"> property</w:t>
      </w:r>
    </w:p>
    <w:p w14:paraId="4397EFCF" w14:textId="6C3BEB6F" w:rsidR="00C66F7A" w:rsidRPr="00FC45E9" w:rsidRDefault="00C66F7A" w:rsidP="00C66F7A">
      <w:pPr>
        <w:pStyle w:val="ListParagraph"/>
        <w:numPr>
          <w:ilvl w:val="0"/>
          <w:numId w:val="9"/>
        </w:numPr>
        <w:spacing w:line="264" w:lineRule="auto"/>
        <w:rPr>
          <w:rFonts w:cs="Arial"/>
        </w:rPr>
      </w:pPr>
      <w:r w:rsidRPr="00FC45E9">
        <w:rPr>
          <w:rFonts w:cs="Arial"/>
        </w:rPr>
        <w:t>ability for a neighbour to terminate an agreement without penalty</w:t>
      </w:r>
    </w:p>
    <w:p w14:paraId="36D7A873" w14:textId="2DA97199" w:rsidR="00C66F7A" w:rsidRPr="00FC45E9" w:rsidRDefault="00C66F7A" w:rsidP="00C66F7A">
      <w:pPr>
        <w:pStyle w:val="ListParagraph"/>
        <w:numPr>
          <w:ilvl w:val="0"/>
          <w:numId w:val="0"/>
        </w:numPr>
        <w:spacing w:line="264" w:lineRule="auto"/>
        <w:ind w:left="360"/>
        <w:rPr>
          <w:rFonts w:cs="Arial"/>
        </w:rPr>
      </w:pPr>
      <w:r>
        <w:rPr>
          <w:rFonts w:cs="Arial"/>
        </w:rPr>
        <w:t>Most</w:t>
      </w:r>
      <w:r w:rsidRPr="00FC45E9">
        <w:rPr>
          <w:rFonts w:cs="Arial"/>
        </w:rPr>
        <w:t xml:space="preserve"> neighbour agreements are </w:t>
      </w:r>
      <w:r w:rsidR="006E499A" w:rsidRPr="00FC45E9">
        <w:rPr>
          <w:rFonts w:cs="Arial"/>
        </w:rPr>
        <w:t>voluntary,</w:t>
      </w:r>
      <w:r w:rsidRPr="00FC45E9">
        <w:rPr>
          <w:rFonts w:cs="Arial"/>
        </w:rPr>
        <w:t xml:space="preserve"> and it is up to the developer to propose and negotiate </w:t>
      </w:r>
      <w:r w:rsidR="001D3DD7">
        <w:rPr>
          <w:rFonts w:cs="Arial"/>
        </w:rPr>
        <w:t>them with the neighbour</w:t>
      </w:r>
      <w:r w:rsidRPr="00FC45E9">
        <w:rPr>
          <w:rFonts w:cs="Arial"/>
        </w:rPr>
        <w:t xml:space="preserve">. Some </w:t>
      </w:r>
      <w:r w:rsidR="001D3DD7">
        <w:rPr>
          <w:rFonts w:cs="Arial"/>
        </w:rPr>
        <w:t xml:space="preserve">wind farm </w:t>
      </w:r>
      <w:r w:rsidRPr="00FC45E9">
        <w:rPr>
          <w:rFonts w:cs="Arial"/>
        </w:rPr>
        <w:t xml:space="preserve">developers have </w:t>
      </w:r>
      <w:r>
        <w:rPr>
          <w:rFonts w:cs="Arial"/>
        </w:rPr>
        <w:t xml:space="preserve">designed </w:t>
      </w:r>
      <w:r w:rsidRPr="00FC45E9">
        <w:rPr>
          <w:rFonts w:cs="Arial"/>
        </w:rPr>
        <w:t xml:space="preserve">neighbour agreement payments based </w:t>
      </w:r>
      <w:r>
        <w:rPr>
          <w:rFonts w:cs="Arial"/>
        </w:rPr>
        <w:t xml:space="preserve">on </w:t>
      </w:r>
      <w:r w:rsidRPr="00FC45E9">
        <w:rPr>
          <w:rFonts w:cs="Arial"/>
        </w:rPr>
        <w:t xml:space="preserve">a formula </w:t>
      </w:r>
      <w:r>
        <w:rPr>
          <w:rFonts w:cs="Arial"/>
        </w:rPr>
        <w:t xml:space="preserve">comprising the </w:t>
      </w:r>
      <w:r w:rsidRPr="00FC45E9">
        <w:rPr>
          <w:rFonts w:cs="Arial"/>
        </w:rPr>
        <w:t>distance from a residence to the turbine(s) and the number of turbines located within that distance.</w:t>
      </w:r>
      <w:r>
        <w:rPr>
          <w:rFonts w:cs="Arial"/>
        </w:rPr>
        <w:t xml:space="preserve"> </w:t>
      </w:r>
    </w:p>
    <w:p w14:paraId="048FF344" w14:textId="186D43F4" w:rsidR="001D3DD7" w:rsidRPr="00FC45E9" w:rsidRDefault="001D3DD7" w:rsidP="00C66F7A">
      <w:pPr>
        <w:pStyle w:val="ListParagraph"/>
        <w:numPr>
          <w:ilvl w:val="0"/>
          <w:numId w:val="0"/>
        </w:numPr>
        <w:spacing w:line="264" w:lineRule="auto"/>
        <w:ind w:left="360"/>
        <w:rPr>
          <w:rFonts w:cs="Arial"/>
        </w:rPr>
      </w:pPr>
      <w:r>
        <w:rPr>
          <w:rFonts w:cs="Arial"/>
        </w:rPr>
        <w:t>Our</w:t>
      </w:r>
      <w:r w:rsidRPr="00FC45E9">
        <w:rPr>
          <w:rFonts w:cs="Arial"/>
        </w:rPr>
        <w:t xml:space="preserve"> </w:t>
      </w:r>
      <w:r w:rsidR="00C66F7A" w:rsidRPr="00FC45E9">
        <w:rPr>
          <w:rFonts w:cs="Arial"/>
        </w:rPr>
        <w:t xml:space="preserve">Office has observed some proposed neighbour agreements </w:t>
      </w:r>
      <w:r w:rsidR="00C66F7A">
        <w:rPr>
          <w:rFonts w:cs="Arial"/>
        </w:rPr>
        <w:t xml:space="preserve">that </w:t>
      </w:r>
      <w:r w:rsidR="00C66F7A" w:rsidRPr="00FC45E9">
        <w:rPr>
          <w:rFonts w:cs="Arial"/>
        </w:rPr>
        <w:t xml:space="preserve">contain clauses </w:t>
      </w:r>
      <w:r w:rsidR="00C66F7A">
        <w:rPr>
          <w:rFonts w:cs="Arial"/>
        </w:rPr>
        <w:t>which</w:t>
      </w:r>
      <w:r w:rsidR="00C66F7A" w:rsidRPr="00FC45E9">
        <w:rPr>
          <w:rFonts w:cs="Arial"/>
        </w:rPr>
        <w:t xml:space="preserve"> may not be fair and reasonable to the neighbour. Such clauses include the right for the </w:t>
      </w:r>
      <w:r w:rsidR="00C66F7A">
        <w:rPr>
          <w:rFonts w:cs="Arial"/>
        </w:rPr>
        <w:t xml:space="preserve">project </w:t>
      </w:r>
      <w:r w:rsidR="00C66F7A" w:rsidRPr="00FC45E9">
        <w:rPr>
          <w:rFonts w:cs="Arial"/>
        </w:rPr>
        <w:t>to</w:t>
      </w:r>
      <w:r>
        <w:rPr>
          <w:rFonts w:cs="Arial"/>
        </w:rPr>
        <w:t xml:space="preserve"> not</w:t>
      </w:r>
      <w:r w:rsidR="00C66F7A" w:rsidRPr="00FC45E9">
        <w:rPr>
          <w:rFonts w:cs="Arial"/>
        </w:rPr>
        <w:t xml:space="preserve"> </w:t>
      </w:r>
      <w:r>
        <w:rPr>
          <w:rFonts w:cs="Arial"/>
        </w:rPr>
        <w:t>comply</w:t>
      </w:r>
      <w:r w:rsidRPr="00FC45E9">
        <w:rPr>
          <w:rFonts w:cs="Arial"/>
        </w:rPr>
        <w:t xml:space="preserve"> </w:t>
      </w:r>
      <w:r>
        <w:rPr>
          <w:rFonts w:cs="Arial"/>
        </w:rPr>
        <w:t>with</w:t>
      </w:r>
      <w:r w:rsidR="00C66F7A" w:rsidRPr="00FC45E9">
        <w:rPr>
          <w:rFonts w:cs="Arial"/>
        </w:rPr>
        <w:t xml:space="preserve"> </w:t>
      </w:r>
      <w:r w:rsidR="00C66F7A" w:rsidRPr="00FC45E9">
        <w:rPr>
          <w:rFonts w:cs="Arial"/>
        </w:rPr>
        <w:lastRenderedPageBreak/>
        <w:t xml:space="preserve">permit conditions (including noise levels and shadow flicker), the ability for the </w:t>
      </w:r>
      <w:r w:rsidR="00C66F7A">
        <w:rPr>
          <w:rFonts w:cs="Arial"/>
        </w:rPr>
        <w:t xml:space="preserve">developer </w:t>
      </w:r>
      <w:r w:rsidR="00C66F7A" w:rsidRPr="00FC45E9">
        <w:rPr>
          <w:rFonts w:cs="Arial"/>
        </w:rPr>
        <w:t xml:space="preserve">to terminate the agreement while the </w:t>
      </w:r>
      <w:r w:rsidR="00C66F7A">
        <w:rPr>
          <w:rFonts w:cs="Arial"/>
        </w:rPr>
        <w:t xml:space="preserve">project </w:t>
      </w:r>
      <w:r w:rsidR="00C66F7A" w:rsidRPr="00FC45E9">
        <w:rPr>
          <w:rFonts w:cs="Arial"/>
        </w:rPr>
        <w:t>is still operating</w:t>
      </w:r>
      <w:r w:rsidR="00C66F7A">
        <w:rPr>
          <w:rFonts w:cs="Arial"/>
        </w:rPr>
        <w:t xml:space="preserve"> </w:t>
      </w:r>
      <w:r>
        <w:rPr>
          <w:rFonts w:cs="Arial"/>
        </w:rPr>
        <w:t>(</w:t>
      </w:r>
      <w:r w:rsidR="00C66F7A">
        <w:rPr>
          <w:rFonts w:cs="Arial"/>
        </w:rPr>
        <w:t xml:space="preserve">either </w:t>
      </w:r>
      <w:r w:rsidR="00C66F7A" w:rsidRPr="00FC45E9">
        <w:rPr>
          <w:rFonts w:cs="Arial"/>
        </w:rPr>
        <w:t>without cause or with questionable cause</w:t>
      </w:r>
      <w:r>
        <w:rPr>
          <w:rFonts w:cs="Arial"/>
        </w:rPr>
        <w:t>)</w:t>
      </w:r>
      <w:r w:rsidR="00C66F7A">
        <w:rPr>
          <w:rFonts w:cs="Arial"/>
        </w:rPr>
        <w:t xml:space="preserve"> </w:t>
      </w:r>
      <w:r>
        <w:rPr>
          <w:rFonts w:cs="Arial"/>
        </w:rPr>
        <w:t>and</w:t>
      </w:r>
      <w:r w:rsidR="00C66F7A" w:rsidRPr="00FC45E9">
        <w:rPr>
          <w:rFonts w:cs="Arial"/>
        </w:rPr>
        <w:t xml:space="preserve"> clauses that </w:t>
      </w:r>
      <w:r>
        <w:rPr>
          <w:rFonts w:cs="Arial"/>
        </w:rPr>
        <w:t>may</w:t>
      </w:r>
      <w:r w:rsidRPr="00FC45E9">
        <w:rPr>
          <w:rFonts w:cs="Arial"/>
        </w:rPr>
        <w:t xml:space="preserve"> </w:t>
      </w:r>
      <w:r w:rsidR="00C66F7A" w:rsidRPr="00FC45E9">
        <w:rPr>
          <w:rFonts w:cs="Arial"/>
        </w:rPr>
        <w:t>restrict the neighbour’s right to make a complaint.</w:t>
      </w:r>
      <w:r>
        <w:rPr>
          <w:rFonts w:cs="Arial"/>
        </w:rPr>
        <w:t xml:space="preserve"> </w:t>
      </w:r>
    </w:p>
    <w:p w14:paraId="07E1C6B9" w14:textId="66EC8BF3" w:rsidR="00C66F7A" w:rsidRPr="001D3DD7" w:rsidRDefault="001D3DD7" w:rsidP="001D3DD7">
      <w:pPr>
        <w:pStyle w:val="ListParagraph"/>
        <w:numPr>
          <w:ilvl w:val="0"/>
          <w:numId w:val="0"/>
        </w:numPr>
        <w:spacing w:line="264" w:lineRule="auto"/>
        <w:ind w:left="360"/>
      </w:pPr>
      <w:r w:rsidRPr="001D3DD7">
        <w:t>S</w:t>
      </w:r>
      <w:r w:rsidR="00C66F7A" w:rsidRPr="001D3DD7">
        <w:t xml:space="preserve">ome neighbour agreements seek to impose stringent planning restrictions on the neighbour for any new development or construction on the neighbour’s property. The Commissioner’s view is that these clauses are </w:t>
      </w:r>
      <w:r w:rsidR="006E499A" w:rsidRPr="001D3DD7">
        <w:t>unnecessary,</w:t>
      </w:r>
      <w:r w:rsidR="00C66F7A" w:rsidRPr="001D3DD7">
        <w:t xml:space="preserve"> and the neighbour should simply be required to comply with the planning rules and laws of the jurisdiction.</w:t>
      </w:r>
    </w:p>
    <w:p w14:paraId="7B916BD7" w14:textId="7650D963" w:rsidR="00C66F7A" w:rsidRPr="00FC45E9" w:rsidRDefault="00AC1D21" w:rsidP="00C66F7A">
      <w:pPr>
        <w:pStyle w:val="ListParagraph"/>
        <w:numPr>
          <w:ilvl w:val="0"/>
          <w:numId w:val="0"/>
        </w:numPr>
        <w:spacing w:line="264" w:lineRule="auto"/>
        <w:ind w:left="360"/>
        <w:rPr>
          <w:rFonts w:cs="Arial"/>
        </w:rPr>
      </w:pPr>
      <w:r>
        <w:rPr>
          <w:rFonts w:cs="Arial"/>
        </w:rPr>
        <w:t>The inclusion by developers of actual or</w:t>
      </w:r>
      <w:r w:rsidR="00C66F7A" w:rsidRPr="00FC45E9">
        <w:rPr>
          <w:rFonts w:cs="Arial"/>
        </w:rPr>
        <w:t xml:space="preserve"> perceived unfair clauses</w:t>
      </w:r>
      <w:r>
        <w:rPr>
          <w:rFonts w:cs="Arial"/>
        </w:rPr>
        <w:t xml:space="preserve"> in neighbour agreements</w:t>
      </w:r>
      <w:r w:rsidR="00C66F7A" w:rsidRPr="00FC45E9">
        <w:rPr>
          <w:rFonts w:cs="Arial"/>
        </w:rPr>
        <w:t xml:space="preserve"> </w:t>
      </w:r>
      <w:r>
        <w:rPr>
          <w:rFonts w:cs="Arial"/>
        </w:rPr>
        <w:t xml:space="preserve">may </w:t>
      </w:r>
      <w:r w:rsidR="00C66F7A" w:rsidRPr="00FC45E9">
        <w:rPr>
          <w:rFonts w:cs="Arial"/>
        </w:rPr>
        <w:t xml:space="preserve">significantly impair the </w:t>
      </w:r>
      <w:r>
        <w:rPr>
          <w:rFonts w:cs="Arial"/>
        </w:rPr>
        <w:t xml:space="preserve">neighbour’s </w:t>
      </w:r>
      <w:r w:rsidR="00C66F7A" w:rsidRPr="00FC45E9">
        <w:rPr>
          <w:rFonts w:cs="Arial"/>
        </w:rPr>
        <w:t>ability to negotiate a fair and reasonable agreement</w:t>
      </w:r>
      <w:r>
        <w:rPr>
          <w:rFonts w:cs="Arial"/>
        </w:rPr>
        <w:t>. This has an adverse impact on the project as it</w:t>
      </w:r>
      <w:r w:rsidR="00C66F7A">
        <w:rPr>
          <w:rFonts w:cs="Arial"/>
        </w:rPr>
        <w:t xml:space="preserve"> </w:t>
      </w:r>
      <w:r w:rsidR="00C66F7A" w:rsidRPr="00FC45E9">
        <w:rPr>
          <w:rFonts w:cs="Arial"/>
        </w:rPr>
        <w:t>creat</w:t>
      </w:r>
      <w:r>
        <w:rPr>
          <w:rFonts w:cs="Arial"/>
        </w:rPr>
        <w:t>es</w:t>
      </w:r>
      <w:r w:rsidR="00C66F7A" w:rsidRPr="00FC45E9">
        <w:rPr>
          <w:rFonts w:cs="Arial"/>
        </w:rPr>
        <w:t xml:space="preserve"> distrust and anxiety amongst neighbours</w:t>
      </w:r>
      <w:r>
        <w:rPr>
          <w:rFonts w:cs="Arial"/>
        </w:rPr>
        <w:t xml:space="preserve"> </w:t>
      </w:r>
      <w:r w:rsidR="00C66F7A">
        <w:rPr>
          <w:rFonts w:cs="Arial"/>
        </w:rPr>
        <w:t>and the broader community</w:t>
      </w:r>
      <w:r>
        <w:rPr>
          <w:rFonts w:cs="Arial"/>
        </w:rPr>
        <w:t>.</w:t>
      </w:r>
    </w:p>
    <w:p w14:paraId="14E2FFA2" w14:textId="5086C07B" w:rsidR="00C66F7A" w:rsidRDefault="00AC1D21" w:rsidP="00C66F7A">
      <w:pPr>
        <w:pStyle w:val="ListParagraph"/>
        <w:numPr>
          <w:ilvl w:val="0"/>
          <w:numId w:val="0"/>
        </w:numPr>
        <w:spacing w:line="264" w:lineRule="auto"/>
        <w:ind w:left="360"/>
        <w:rPr>
          <w:rFonts w:cs="Arial"/>
        </w:rPr>
      </w:pPr>
      <w:r>
        <w:rPr>
          <w:rFonts w:cs="Arial"/>
        </w:rPr>
        <w:t xml:space="preserve">Neighbours and developers </w:t>
      </w:r>
      <w:r w:rsidR="00C66F7A" w:rsidRPr="00FC45E9">
        <w:rPr>
          <w:rFonts w:cs="Arial"/>
        </w:rPr>
        <w:t xml:space="preserve">may benefit from a standard template for ‘neighbour agreements’ that is established and maintained by an appropriate body and available for use by </w:t>
      </w:r>
      <w:r w:rsidR="00C66F7A">
        <w:rPr>
          <w:rFonts w:cs="Arial"/>
        </w:rPr>
        <w:t xml:space="preserve">the </w:t>
      </w:r>
      <w:r w:rsidR="00C66F7A" w:rsidRPr="00FC45E9">
        <w:rPr>
          <w:rFonts w:cs="Arial"/>
        </w:rPr>
        <w:t>industry</w:t>
      </w:r>
      <w:r w:rsidR="00C66F7A">
        <w:rPr>
          <w:rFonts w:cs="Arial"/>
        </w:rPr>
        <w:t xml:space="preserve"> and the legal profession</w:t>
      </w:r>
      <w:r w:rsidR="00C66F7A" w:rsidRPr="00FC45E9">
        <w:rPr>
          <w:rFonts w:cs="Arial"/>
        </w:rPr>
        <w:t>.</w:t>
      </w:r>
      <w:r w:rsidR="00C66F7A">
        <w:rPr>
          <w:rFonts w:cs="Arial"/>
        </w:rPr>
        <w:t xml:space="preserve"> Neighbours and proponents may also benefit from our </w:t>
      </w:r>
      <w:r w:rsidR="00C66F7A" w:rsidRPr="001D7D47">
        <w:rPr>
          <w:rFonts w:cs="Arial"/>
          <w:i/>
          <w:iCs/>
        </w:rPr>
        <w:t>Landholder Guideline</w:t>
      </w:r>
      <w:r w:rsidR="00C66F7A">
        <w:rPr>
          <w:rFonts w:cs="Arial"/>
        </w:rPr>
        <w:t xml:space="preserve"> </w:t>
      </w:r>
      <w:r>
        <w:rPr>
          <w:rFonts w:cs="Arial"/>
        </w:rPr>
        <w:t xml:space="preserve">referred to </w:t>
      </w:r>
      <w:r w:rsidR="00C66F7A">
        <w:rPr>
          <w:rFonts w:cs="Arial"/>
        </w:rPr>
        <w:t>in Section 1.</w:t>
      </w:r>
    </w:p>
    <w:p w14:paraId="6375AC50" w14:textId="77777777" w:rsidR="00C66F7A" w:rsidRPr="007A223C" w:rsidRDefault="00C66F7A" w:rsidP="00F25864">
      <w:pPr>
        <w:pStyle w:val="Heading3"/>
        <w:ind w:firstLine="360"/>
      </w:pPr>
      <w:bookmarkStart w:id="178" w:name="_Toc135390624"/>
      <w:r w:rsidRPr="007A223C">
        <w:t>Visual Impacts and Screening</w:t>
      </w:r>
      <w:bookmarkEnd w:id="178"/>
    </w:p>
    <w:p w14:paraId="34605753" w14:textId="40CEFD5E" w:rsidR="00C66F7A" w:rsidRDefault="004D4408" w:rsidP="00C66F7A">
      <w:pPr>
        <w:pStyle w:val="ListParagraph"/>
        <w:numPr>
          <w:ilvl w:val="0"/>
          <w:numId w:val="0"/>
        </w:numPr>
        <w:spacing w:line="264" w:lineRule="auto"/>
        <w:ind w:left="360"/>
        <w:rPr>
          <w:rFonts w:cs="Arial"/>
        </w:rPr>
      </w:pPr>
      <w:r>
        <w:rPr>
          <w:rFonts w:cs="Arial"/>
        </w:rPr>
        <w:t>C</w:t>
      </w:r>
      <w:r w:rsidR="00C66F7A">
        <w:rPr>
          <w:rFonts w:cs="Arial"/>
        </w:rPr>
        <w:t xml:space="preserve">oncerns about visual impacts </w:t>
      </w:r>
      <w:r>
        <w:rPr>
          <w:rFonts w:cs="Arial"/>
        </w:rPr>
        <w:t>of wind farms have increased in parallel to the increasing span and height of assets. Common concerns include</w:t>
      </w:r>
      <w:r w:rsidR="00C66F7A">
        <w:rPr>
          <w:rFonts w:cs="Arial"/>
        </w:rPr>
        <w:t xml:space="preserve"> impairment of views, light pollution from aviation safety lighting and, to a lesser extent, shadow flicker. </w:t>
      </w:r>
      <w:r w:rsidR="00793573">
        <w:rPr>
          <w:rFonts w:cs="Arial"/>
        </w:rPr>
        <w:t>C</w:t>
      </w:r>
      <w:r w:rsidR="00C66F7A">
        <w:rPr>
          <w:rFonts w:cs="Arial"/>
        </w:rPr>
        <w:t>oncerns about the visual impact of new, large scale transmission towers are also prevalent.</w:t>
      </w:r>
    </w:p>
    <w:p w14:paraId="6F02D1F5" w14:textId="04D11D98" w:rsidR="00C66F7A" w:rsidRDefault="00C66F7A" w:rsidP="00C66F7A">
      <w:pPr>
        <w:pStyle w:val="ListParagraph"/>
        <w:numPr>
          <w:ilvl w:val="0"/>
          <w:numId w:val="0"/>
        </w:numPr>
        <w:spacing w:line="264" w:lineRule="auto"/>
        <w:ind w:left="360"/>
        <w:rPr>
          <w:rFonts w:cs="Arial"/>
        </w:rPr>
      </w:pPr>
      <w:r>
        <w:rPr>
          <w:rFonts w:cs="Arial"/>
        </w:rPr>
        <w:t xml:space="preserve">These impacts are commonly assessed during the planning process. However, </w:t>
      </w:r>
      <w:r w:rsidR="00793573">
        <w:rPr>
          <w:rFonts w:cs="Arial"/>
        </w:rPr>
        <w:t xml:space="preserve">neighbour sensitivity to these concerns may </w:t>
      </w:r>
      <w:r>
        <w:rPr>
          <w:rFonts w:cs="Arial"/>
        </w:rPr>
        <w:t>require special attention by the developer</w:t>
      </w:r>
      <w:r w:rsidR="00793573">
        <w:rPr>
          <w:rFonts w:cs="Arial"/>
        </w:rPr>
        <w:t xml:space="preserve"> who should ensure that q</w:t>
      </w:r>
      <w:r>
        <w:rPr>
          <w:rFonts w:cs="Arial"/>
        </w:rPr>
        <w:t>uality predictive assessments are undertaken</w:t>
      </w:r>
      <w:r w:rsidR="00793573">
        <w:rPr>
          <w:rFonts w:cs="Arial"/>
        </w:rPr>
        <w:t xml:space="preserve">. Developers should engage in </w:t>
      </w:r>
      <w:r>
        <w:rPr>
          <w:rFonts w:cs="Arial"/>
        </w:rPr>
        <w:t xml:space="preserve">a </w:t>
      </w:r>
      <w:r w:rsidR="00793573">
        <w:rPr>
          <w:rFonts w:cs="Arial"/>
        </w:rPr>
        <w:t xml:space="preserve">high </w:t>
      </w:r>
      <w:r>
        <w:rPr>
          <w:rFonts w:cs="Arial"/>
        </w:rPr>
        <w:t>degree of consultation with potentially affected landholders and neighbours</w:t>
      </w:r>
      <w:r w:rsidR="00774BB0">
        <w:rPr>
          <w:rFonts w:cs="Arial"/>
        </w:rPr>
        <w:t xml:space="preserve"> about these issues.</w:t>
      </w:r>
    </w:p>
    <w:p w14:paraId="05DF6277" w14:textId="195B9288" w:rsidR="004D4408" w:rsidRDefault="004D4408" w:rsidP="00C66F7A">
      <w:pPr>
        <w:pStyle w:val="ListParagraph"/>
        <w:numPr>
          <w:ilvl w:val="0"/>
          <w:numId w:val="0"/>
        </w:numPr>
        <w:spacing w:line="264" w:lineRule="auto"/>
        <w:ind w:left="360"/>
        <w:rPr>
          <w:rFonts w:cs="Arial"/>
        </w:rPr>
      </w:pPr>
      <w:r>
        <w:rPr>
          <w:rFonts w:cs="Arial"/>
        </w:rPr>
        <w:t>Developers routinely conduct visual screening assessment, design and implement solutions. These processes may demand significant resources and may not meet community expectations.</w:t>
      </w:r>
    </w:p>
    <w:p w14:paraId="5A3D96CB" w14:textId="2B42E0D2" w:rsidR="00C66F7A" w:rsidRDefault="004D4408" w:rsidP="00C66F7A">
      <w:pPr>
        <w:pStyle w:val="ListParagraph"/>
        <w:numPr>
          <w:ilvl w:val="0"/>
          <w:numId w:val="0"/>
        </w:numPr>
        <w:spacing w:line="264" w:lineRule="auto"/>
        <w:ind w:left="360"/>
        <w:rPr>
          <w:rFonts w:cs="Arial"/>
        </w:rPr>
      </w:pPr>
      <w:r>
        <w:rPr>
          <w:rFonts w:cs="Arial"/>
        </w:rPr>
        <w:t>Developers commonly propose s</w:t>
      </w:r>
      <w:r w:rsidR="00C66F7A" w:rsidRPr="00FC45E9">
        <w:rPr>
          <w:rFonts w:cs="Arial"/>
        </w:rPr>
        <w:t>creening of the visual impact</w:t>
      </w:r>
      <w:r w:rsidR="00C66F7A">
        <w:rPr>
          <w:rFonts w:cs="Arial"/>
        </w:rPr>
        <w:t xml:space="preserve">s </w:t>
      </w:r>
      <w:r>
        <w:rPr>
          <w:rFonts w:cs="Arial"/>
        </w:rPr>
        <w:t>of wind</w:t>
      </w:r>
      <w:r w:rsidR="00C66F7A" w:rsidRPr="00FC45E9">
        <w:rPr>
          <w:rFonts w:cs="Arial"/>
        </w:rPr>
        <w:t xml:space="preserve"> </w:t>
      </w:r>
      <w:r w:rsidR="00C66F7A">
        <w:rPr>
          <w:rFonts w:cs="Arial"/>
        </w:rPr>
        <w:t xml:space="preserve">or solar </w:t>
      </w:r>
      <w:r w:rsidR="00C66F7A" w:rsidRPr="00FC45E9">
        <w:rPr>
          <w:rFonts w:cs="Arial"/>
        </w:rPr>
        <w:t>farm by planting trees</w:t>
      </w:r>
      <w:r>
        <w:rPr>
          <w:rFonts w:cs="Arial"/>
        </w:rPr>
        <w:t xml:space="preserve">. </w:t>
      </w:r>
      <w:r w:rsidR="00C66F7A" w:rsidRPr="00FC45E9">
        <w:rPr>
          <w:rFonts w:cs="Arial"/>
        </w:rPr>
        <w:t xml:space="preserve"> </w:t>
      </w:r>
      <w:r>
        <w:rPr>
          <w:rFonts w:cs="Arial"/>
        </w:rPr>
        <w:t>This</w:t>
      </w:r>
      <w:r w:rsidR="00C66F7A" w:rsidRPr="00FC45E9">
        <w:rPr>
          <w:rFonts w:cs="Arial"/>
        </w:rPr>
        <w:t xml:space="preserve"> may also be a mandatory requirement of the permit. A</w:t>
      </w:r>
      <w:r w:rsidR="00C66F7A">
        <w:rPr>
          <w:rFonts w:cs="Arial"/>
        </w:rPr>
        <w:t>n often-cited</w:t>
      </w:r>
      <w:r w:rsidR="00C66F7A" w:rsidRPr="00FC45E9">
        <w:rPr>
          <w:rFonts w:cs="Arial"/>
        </w:rPr>
        <w:t xml:space="preserve"> issue is the </w:t>
      </w:r>
      <w:r w:rsidR="00C66F7A">
        <w:rPr>
          <w:rFonts w:cs="Arial"/>
        </w:rPr>
        <w:t xml:space="preserve">predicted </w:t>
      </w:r>
      <w:r w:rsidR="00C66F7A" w:rsidRPr="00FC45E9">
        <w:rPr>
          <w:rFonts w:cs="Arial"/>
        </w:rPr>
        <w:t xml:space="preserve">length of time for a newly planted tree to grow to provide sufficient screening, bringing into question the effectiveness of such mitigation. </w:t>
      </w:r>
    </w:p>
    <w:p w14:paraId="23C4910F" w14:textId="37F0329F" w:rsidR="00C66F7A" w:rsidRPr="004D4408" w:rsidRDefault="00C66F7A" w:rsidP="004D4408">
      <w:pPr>
        <w:pStyle w:val="ListParagraph"/>
        <w:numPr>
          <w:ilvl w:val="0"/>
          <w:numId w:val="0"/>
        </w:numPr>
        <w:spacing w:line="264" w:lineRule="auto"/>
        <w:ind w:left="360"/>
      </w:pPr>
      <w:r>
        <w:rPr>
          <w:rFonts w:cs="Arial"/>
        </w:rPr>
        <w:t>Other mitigations, such as permanent screening, pergolas</w:t>
      </w:r>
      <w:r w:rsidR="004D4408">
        <w:rPr>
          <w:rFonts w:cs="Arial"/>
        </w:rPr>
        <w:t xml:space="preserve"> and</w:t>
      </w:r>
      <w:r>
        <w:rPr>
          <w:rFonts w:cs="Arial"/>
        </w:rPr>
        <w:t xml:space="preserve"> blinds </w:t>
      </w:r>
      <w:r w:rsidR="004D4408">
        <w:rPr>
          <w:rFonts w:cs="Arial"/>
        </w:rPr>
        <w:t xml:space="preserve">should </w:t>
      </w:r>
      <w:r>
        <w:rPr>
          <w:rFonts w:cs="Arial"/>
        </w:rPr>
        <w:t>also be consider</w:t>
      </w:r>
      <w:r w:rsidR="004D4408">
        <w:rPr>
          <w:rFonts w:cs="Arial"/>
        </w:rPr>
        <w:t>ed</w:t>
      </w:r>
      <w:r>
        <w:rPr>
          <w:rFonts w:cs="Arial"/>
        </w:rPr>
        <w:t xml:space="preserve">. </w:t>
      </w:r>
      <w:r w:rsidRPr="00FC45E9">
        <w:rPr>
          <w:rFonts w:cs="Arial"/>
        </w:rPr>
        <w:t xml:space="preserve">Appendix 2 of the New South Wales Government’s </w:t>
      </w:r>
      <w:r w:rsidRPr="0093447D">
        <w:rPr>
          <w:rFonts w:cs="Arial"/>
          <w:i/>
        </w:rPr>
        <w:t>Wind Energy:</w:t>
      </w:r>
      <w:r>
        <w:rPr>
          <w:rFonts w:cs="Arial"/>
        </w:rPr>
        <w:t xml:space="preserve"> </w:t>
      </w:r>
      <w:r w:rsidRPr="00FC45E9">
        <w:rPr>
          <w:rFonts w:cs="Arial"/>
          <w:i/>
        </w:rPr>
        <w:t>Visual Assessment Bulletin</w:t>
      </w:r>
      <w:r w:rsidRPr="00FC45E9">
        <w:rPr>
          <w:rFonts w:cs="Arial"/>
        </w:rPr>
        <w:t xml:space="preserve"> (NSW Department of Planning, 2016) outlines a range of potential mitigation measures that may be applied</w:t>
      </w:r>
      <w:r w:rsidRPr="004D4408">
        <w:t xml:space="preserve">. </w:t>
      </w:r>
    </w:p>
    <w:p w14:paraId="46FDC457" w14:textId="72875967" w:rsidR="00C66F7A" w:rsidRDefault="00C66F7A" w:rsidP="00C66F7A">
      <w:pPr>
        <w:pStyle w:val="ListParagraph"/>
        <w:numPr>
          <w:ilvl w:val="0"/>
          <w:numId w:val="0"/>
        </w:numPr>
        <w:spacing w:line="264" w:lineRule="auto"/>
        <w:ind w:left="360"/>
      </w:pPr>
      <w:r w:rsidRPr="00FC45E9">
        <w:rPr>
          <w:rFonts w:cs="Arial"/>
        </w:rPr>
        <w:t xml:space="preserve">An alternative </w:t>
      </w:r>
      <w:r w:rsidR="004D4408">
        <w:rPr>
          <w:rFonts w:cs="Arial"/>
        </w:rPr>
        <w:t>to developer driven solution implementation</w:t>
      </w:r>
      <w:r w:rsidRPr="00FC45E9">
        <w:rPr>
          <w:rFonts w:cs="Arial"/>
        </w:rPr>
        <w:t xml:space="preserve"> is </w:t>
      </w:r>
      <w:r w:rsidR="004D4408">
        <w:rPr>
          <w:rFonts w:cs="Arial"/>
        </w:rPr>
        <w:t xml:space="preserve">for developers </w:t>
      </w:r>
      <w:r w:rsidRPr="00FC45E9">
        <w:rPr>
          <w:rFonts w:cs="Arial"/>
        </w:rPr>
        <w:t>to provide neighbour</w:t>
      </w:r>
      <w:r w:rsidR="004D4408">
        <w:rPr>
          <w:rFonts w:cs="Arial"/>
        </w:rPr>
        <w:t>s</w:t>
      </w:r>
      <w:r w:rsidRPr="00FC45E9">
        <w:rPr>
          <w:rFonts w:cs="Arial"/>
        </w:rPr>
        <w:t xml:space="preserve"> with the option of a </w:t>
      </w:r>
      <w:r>
        <w:rPr>
          <w:rFonts w:cs="Arial"/>
        </w:rPr>
        <w:t>one-off</w:t>
      </w:r>
      <w:r w:rsidRPr="00FC45E9">
        <w:rPr>
          <w:rFonts w:cs="Arial"/>
        </w:rPr>
        <w:t xml:space="preserve"> payment in lieu of the screening program</w:t>
      </w:r>
      <w:r w:rsidR="004D4408">
        <w:rPr>
          <w:rFonts w:cs="Arial"/>
        </w:rPr>
        <w:t xml:space="preserve">. This payment </w:t>
      </w:r>
      <w:r w:rsidRPr="00FC45E9">
        <w:rPr>
          <w:rFonts w:cs="Arial"/>
        </w:rPr>
        <w:t>empower</w:t>
      </w:r>
      <w:r w:rsidR="004D4408">
        <w:rPr>
          <w:rFonts w:cs="Arial"/>
        </w:rPr>
        <w:t>s</w:t>
      </w:r>
      <w:r w:rsidRPr="00FC45E9">
        <w:rPr>
          <w:rFonts w:cs="Arial"/>
        </w:rPr>
        <w:t xml:space="preserve"> the neighbour to decide how best to apply the funds to address the situation.</w:t>
      </w:r>
      <w:r w:rsidRPr="00724C41">
        <w:t xml:space="preserve"> </w:t>
      </w:r>
      <w:r w:rsidRPr="00E34265">
        <w:t xml:space="preserve">This approach </w:t>
      </w:r>
      <w:r w:rsidR="004D4408">
        <w:t>may</w:t>
      </w:r>
      <w:r w:rsidR="004D4408" w:rsidRPr="00E34265">
        <w:t xml:space="preserve"> </w:t>
      </w:r>
      <w:r w:rsidRPr="00E34265">
        <w:t>also alleviate difficulties within a community</w:t>
      </w:r>
      <w:r>
        <w:t xml:space="preserve"> </w:t>
      </w:r>
      <w:r w:rsidR="004D4408">
        <w:t>such as perceived inequity if</w:t>
      </w:r>
      <w:r>
        <w:t xml:space="preserve"> </w:t>
      </w:r>
      <w:r w:rsidRPr="00E34265">
        <w:t xml:space="preserve">some residents have proactively planted trees </w:t>
      </w:r>
      <w:r>
        <w:t xml:space="preserve">and </w:t>
      </w:r>
      <w:r w:rsidR="004D4408">
        <w:t xml:space="preserve">are </w:t>
      </w:r>
      <w:r>
        <w:t>ineligible for the program</w:t>
      </w:r>
      <w:r w:rsidR="004D4408">
        <w:t>.</w:t>
      </w:r>
    </w:p>
    <w:p w14:paraId="106219EC" w14:textId="77777777" w:rsidR="00C66F7A" w:rsidRPr="007A223C" w:rsidRDefault="00C66F7A" w:rsidP="00F25864">
      <w:pPr>
        <w:pStyle w:val="Heading3"/>
        <w:ind w:firstLine="360"/>
      </w:pPr>
      <w:bookmarkStart w:id="179" w:name="_Toc135390625"/>
      <w:r w:rsidRPr="007A223C">
        <w:t>Transmission Considerations</w:t>
      </w:r>
      <w:bookmarkEnd w:id="179"/>
    </w:p>
    <w:p w14:paraId="1E891DD2" w14:textId="06866DFD" w:rsidR="00C66F7A" w:rsidRDefault="00C66F7A" w:rsidP="00C66F7A">
      <w:pPr>
        <w:pStyle w:val="ListParagraph"/>
        <w:numPr>
          <w:ilvl w:val="0"/>
          <w:numId w:val="0"/>
        </w:numPr>
        <w:spacing w:line="264" w:lineRule="auto"/>
        <w:ind w:left="360"/>
      </w:pPr>
      <w:r>
        <w:t xml:space="preserve">Large-scale transmission projects can create unique neighbour scenarios. </w:t>
      </w:r>
      <w:r w:rsidR="00960557">
        <w:t>If</w:t>
      </w:r>
      <w:r>
        <w:t xml:space="preserve"> a transmission line is built along a property boundary, the landholder hosting the transmission line would be compensated for the easement and other impacts to the landholder and their </w:t>
      </w:r>
      <w:r w:rsidR="00960557">
        <w:t>land use</w:t>
      </w:r>
      <w:r>
        <w:t xml:space="preserve">. The landholder </w:t>
      </w:r>
      <w:r w:rsidR="00960557">
        <w:t xml:space="preserve">can </w:t>
      </w:r>
      <w:r>
        <w:t xml:space="preserve">also </w:t>
      </w:r>
      <w:r w:rsidR="00960557">
        <w:t xml:space="preserve">likely </w:t>
      </w:r>
      <w:r>
        <w:t>provide input to the final positioning of the route and towers.</w:t>
      </w:r>
    </w:p>
    <w:p w14:paraId="0D49C5C7" w14:textId="5D99553F" w:rsidR="00C66F7A" w:rsidRDefault="00960557" w:rsidP="00C66F7A">
      <w:pPr>
        <w:pStyle w:val="ListParagraph"/>
        <w:numPr>
          <w:ilvl w:val="0"/>
          <w:numId w:val="0"/>
        </w:numPr>
        <w:spacing w:line="264" w:lineRule="auto"/>
        <w:ind w:left="360"/>
      </w:pPr>
      <w:r>
        <w:lastRenderedPageBreak/>
        <w:t>On</w:t>
      </w:r>
      <w:r w:rsidR="00C66F7A">
        <w:t xml:space="preserve"> the other side of the property boundary</w:t>
      </w:r>
      <w:r>
        <w:t xml:space="preserve">, </w:t>
      </w:r>
      <w:r w:rsidR="00C66F7A">
        <w:t xml:space="preserve">the neighbour </w:t>
      </w:r>
      <w:r>
        <w:t xml:space="preserve">(sometimes called the ‘first neighbour’) </w:t>
      </w:r>
      <w:r w:rsidR="00C66F7A">
        <w:t xml:space="preserve">is not entitled to any compensation </w:t>
      </w:r>
      <w:r>
        <w:t xml:space="preserve">and does not </w:t>
      </w:r>
      <w:r w:rsidR="00C66F7A">
        <w:t>ha</w:t>
      </w:r>
      <w:r>
        <w:t xml:space="preserve">ve </w:t>
      </w:r>
      <w:r w:rsidR="00C66F7A">
        <w:t xml:space="preserve">a ‘seat at the table’ to negotiate line and tower locations. </w:t>
      </w:r>
      <w:r>
        <w:t>Generally, n</w:t>
      </w:r>
      <w:r w:rsidR="00C66F7A">
        <w:t>eighbours do not have access to land liaison officers as a point of contact with the proponent.</w:t>
      </w:r>
    </w:p>
    <w:p w14:paraId="62351784" w14:textId="5C931842" w:rsidR="00C66F7A" w:rsidRDefault="00960557" w:rsidP="00C66F7A">
      <w:pPr>
        <w:pStyle w:val="ListParagraph"/>
        <w:numPr>
          <w:ilvl w:val="0"/>
          <w:numId w:val="0"/>
        </w:numPr>
        <w:spacing w:line="264" w:lineRule="auto"/>
        <w:ind w:left="360"/>
      </w:pPr>
      <w:r>
        <w:t xml:space="preserve">The Commissioner has observed situations where a </w:t>
      </w:r>
      <w:r w:rsidR="00C66F7A">
        <w:t>neighbour’s residence</w:t>
      </w:r>
      <w:r>
        <w:t xml:space="preserve"> is closer to the transmission line than the </w:t>
      </w:r>
      <w:r w:rsidR="006E499A">
        <w:t>landholder and</w:t>
      </w:r>
      <w:r>
        <w:t xml:space="preserve"> may be as little as</w:t>
      </w:r>
      <w:r w:rsidR="00C66F7A">
        <w:t xml:space="preserve"> 100m from </w:t>
      </w:r>
      <w:r>
        <w:t xml:space="preserve">the </w:t>
      </w:r>
      <w:r w:rsidR="00C66F7A">
        <w:t>easement</w:t>
      </w:r>
      <w:r>
        <w:t xml:space="preserve">. </w:t>
      </w:r>
      <w:r w:rsidR="00C66F7A">
        <w:t>While setback distance</w:t>
      </w:r>
      <w:r>
        <w:t>s</w:t>
      </w:r>
      <w:r w:rsidR="00C66F7A">
        <w:t xml:space="preserve"> could avoid or improve this situation (see Section 5 of this Appendix), proponents and other project stakeholders need to proactively identify and work with this category of neighbour</w:t>
      </w:r>
      <w:r>
        <w:t xml:space="preserve"> </w:t>
      </w:r>
      <w:r w:rsidR="00C66F7A">
        <w:t>to implement best practice approaches</w:t>
      </w:r>
      <w:r>
        <w:t>. Proponents should</w:t>
      </w:r>
      <w:r w:rsidR="00C66F7A">
        <w:t xml:space="preserve"> communicate and establish relationships with neighbours to find solutions to these issues. The implementation of appropriate planning guidelines for large scale transmission should also assist all parties.</w:t>
      </w:r>
    </w:p>
    <w:p w14:paraId="29D413F2"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480E0175" w14:textId="66D59F10"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Developers </w:t>
      </w:r>
      <w:r w:rsidR="003673FA">
        <w:rPr>
          <w:rFonts w:cs="Arial"/>
        </w:rPr>
        <w:t>should</w:t>
      </w:r>
      <w:r w:rsidR="001C4F1D">
        <w:rPr>
          <w:rFonts w:cs="Arial"/>
        </w:rPr>
        <w:t xml:space="preserve"> </w:t>
      </w:r>
      <w:r w:rsidRPr="00FC45E9">
        <w:rPr>
          <w:rFonts w:cs="Arial"/>
        </w:rPr>
        <w:t xml:space="preserve">proactively identify all potential neighbours at the commencement of development activity and implement an effective, ongoing consultation program with all contactable neighbours throughout the project’s development. </w:t>
      </w:r>
      <w:r w:rsidR="003673FA">
        <w:rPr>
          <w:rFonts w:cs="Arial"/>
        </w:rPr>
        <w:t>P</w:t>
      </w:r>
      <w:r>
        <w:rPr>
          <w:rFonts w:cs="Arial"/>
        </w:rPr>
        <w:t xml:space="preserve">otentially </w:t>
      </w:r>
      <w:r w:rsidRPr="00FC45E9">
        <w:rPr>
          <w:rFonts w:cs="Arial"/>
        </w:rPr>
        <w:t xml:space="preserve">affected </w:t>
      </w:r>
      <w:r>
        <w:rPr>
          <w:rFonts w:cs="Arial"/>
        </w:rPr>
        <w:t xml:space="preserve">neighbours </w:t>
      </w:r>
      <w:r w:rsidRPr="00FC45E9">
        <w:rPr>
          <w:rFonts w:cs="Arial"/>
        </w:rPr>
        <w:t xml:space="preserve">may include residents and landowners in a proximity range of 0 km to 5 km from potential </w:t>
      </w:r>
      <w:r>
        <w:rPr>
          <w:rFonts w:cs="Arial"/>
        </w:rPr>
        <w:t xml:space="preserve">project asset </w:t>
      </w:r>
      <w:r w:rsidRPr="00FC45E9">
        <w:rPr>
          <w:rFonts w:cs="Arial"/>
        </w:rPr>
        <w:t>locations</w:t>
      </w:r>
      <w:r>
        <w:rPr>
          <w:rFonts w:cs="Arial"/>
        </w:rPr>
        <w:t>,</w:t>
      </w:r>
      <w:r w:rsidRPr="00FC45E9">
        <w:rPr>
          <w:rFonts w:cs="Arial"/>
        </w:rPr>
        <w:t xml:space="preserve"> as well as residents in proximity to </w:t>
      </w:r>
      <w:r>
        <w:rPr>
          <w:rFonts w:cs="Arial"/>
        </w:rPr>
        <w:t xml:space="preserve">project </w:t>
      </w:r>
      <w:r w:rsidRPr="00FC45E9">
        <w:rPr>
          <w:rFonts w:cs="Arial"/>
        </w:rPr>
        <w:t xml:space="preserve">related infrastructure, such as power transmission or supply infrastructure. </w:t>
      </w:r>
      <w:r w:rsidR="003673FA">
        <w:rPr>
          <w:rFonts w:cs="Arial"/>
        </w:rPr>
        <w:t>The</w:t>
      </w:r>
      <w:r w:rsidRPr="00FC45E9">
        <w:rPr>
          <w:rFonts w:cs="Arial"/>
        </w:rPr>
        <w:t xml:space="preserve"> range for consultation may need</w:t>
      </w:r>
      <w:r>
        <w:rPr>
          <w:rFonts w:cs="Arial"/>
        </w:rPr>
        <w:t xml:space="preserve"> to</w:t>
      </w:r>
      <w:r w:rsidRPr="00FC45E9">
        <w:rPr>
          <w:rFonts w:cs="Arial"/>
        </w:rPr>
        <w:t xml:space="preserve"> be greater in situations where, for instance, </w:t>
      </w:r>
      <w:r>
        <w:rPr>
          <w:rFonts w:cs="Arial"/>
        </w:rPr>
        <w:t xml:space="preserve">wind </w:t>
      </w:r>
      <w:r w:rsidRPr="00FC45E9">
        <w:rPr>
          <w:rFonts w:cs="Arial"/>
        </w:rPr>
        <w:t>turbines are proposed to be erected on an elevated ridge.</w:t>
      </w:r>
    </w:p>
    <w:p w14:paraId="5C5AB779" w14:textId="2C4427F8"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Key stakeholders </w:t>
      </w:r>
      <w:r>
        <w:rPr>
          <w:rFonts w:cs="Arial"/>
        </w:rPr>
        <w:t xml:space="preserve">in the development of a </w:t>
      </w:r>
      <w:r w:rsidRPr="00FC45E9">
        <w:rPr>
          <w:rFonts w:cs="Arial"/>
        </w:rPr>
        <w:t>project (for example, project buyers, planning authorities, investors, debt providers, local councils</w:t>
      </w:r>
      <w:r w:rsidR="001C4F1D">
        <w:rPr>
          <w:rFonts w:cs="Arial"/>
        </w:rPr>
        <w:t xml:space="preserve"> and </w:t>
      </w:r>
      <w:r w:rsidRPr="00FC45E9">
        <w:rPr>
          <w:rFonts w:cs="Arial"/>
        </w:rPr>
        <w:t>regulators) should seek and consider evidence of neighbour identification and effective neighbour consultations as part of any due diligence and approval criteria.</w:t>
      </w:r>
    </w:p>
    <w:p w14:paraId="1F3D9239" w14:textId="30D35EC6"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Developers should consider appropriate </w:t>
      </w:r>
      <w:r w:rsidRPr="00C66C5A">
        <w:rPr>
          <w:rFonts w:cs="Arial"/>
          <w:i/>
          <w:iCs/>
        </w:rPr>
        <w:t>neighbour agreements</w:t>
      </w:r>
      <w:r w:rsidRPr="00FC45E9">
        <w:rPr>
          <w:rFonts w:cs="Arial"/>
        </w:rPr>
        <w:t xml:space="preserve"> as a potential component of </w:t>
      </w:r>
      <w:r w:rsidR="001C4F1D">
        <w:rPr>
          <w:rFonts w:cs="Arial"/>
        </w:rPr>
        <w:t xml:space="preserve">their </w:t>
      </w:r>
      <w:r w:rsidRPr="00FC45E9">
        <w:rPr>
          <w:rFonts w:cs="Arial"/>
        </w:rPr>
        <w:t xml:space="preserve">overall neighbour and community consultations and project strategy. </w:t>
      </w:r>
      <w:r w:rsidR="001C4F1D">
        <w:rPr>
          <w:rFonts w:cs="Arial"/>
        </w:rPr>
        <w:t>N</w:t>
      </w:r>
      <w:r w:rsidRPr="00FC45E9">
        <w:rPr>
          <w:rFonts w:cs="Arial"/>
        </w:rPr>
        <w:t xml:space="preserve">eighbour agreements should be negotiable, fair and reasonable, written in plain English and the neighbour should have access to and obtain appropriate legal and financial advice before entering into </w:t>
      </w:r>
      <w:r w:rsidR="001C4F1D">
        <w:rPr>
          <w:rFonts w:cs="Arial"/>
        </w:rPr>
        <w:t>the</w:t>
      </w:r>
      <w:r w:rsidR="001C4F1D" w:rsidRPr="00FC45E9">
        <w:rPr>
          <w:rFonts w:cs="Arial"/>
        </w:rPr>
        <w:t xml:space="preserve"> </w:t>
      </w:r>
      <w:r w:rsidRPr="00FC45E9">
        <w:rPr>
          <w:rFonts w:cs="Arial"/>
        </w:rPr>
        <w:t xml:space="preserve">agreement. Standard agreements should not restrict the neighbour from being able to raise issues and concerns about the </w:t>
      </w:r>
      <w:r>
        <w:rPr>
          <w:rFonts w:cs="Arial"/>
        </w:rPr>
        <w:t>project</w:t>
      </w:r>
      <w:r w:rsidRPr="00FC45E9">
        <w:rPr>
          <w:rFonts w:cs="Arial"/>
        </w:rPr>
        <w:t xml:space="preserve">, including changes to the </w:t>
      </w:r>
      <w:r>
        <w:rPr>
          <w:rFonts w:cs="Arial"/>
        </w:rPr>
        <w:t>project</w:t>
      </w:r>
      <w:r w:rsidRPr="00FC45E9">
        <w:rPr>
          <w:rFonts w:cs="Arial"/>
        </w:rPr>
        <w:t xml:space="preserve"> design. Neighbours should be able to make complaints about the </w:t>
      </w:r>
      <w:r>
        <w:rPr>
          <w:rFonts w:cs="Arial"/>
        </w:rPr>
        <w:t xml:space="preserve">project </w:t>
      </w:r>
      <w:r w:rsidRPr="00FC45E9">
        <w:rPr>
          <w:rFonts w:cs="Arial"/>
        </w:rPr>
        <w:t xml:space="preserve">and not be subjected to conditions that exceed normal planning standards and permit requirements. There may be existing operating </w:t>
      </w:r>
      <w:r>
        <w:rPr>
          <w:rFonts w:cs="Arial"/>
        </w:rPr>
        <w:t xml:space="preserve">projects </w:t>
      </w:r>
      <w:r w:rsidRPr="00FC45E9">
        <w:rPr>
          <w:rFonts w:cs="Arial"/>
        </w:rPr>
        <w:t>where a retrospective neighbour agreement should be considered. Developers may, alternately, opt for a broader community support model that benefits a wider group of community members</w:t>
      </w:r>
      <w:r w:rsidR="001C4F1D">
        <w:rPr>
          <w:rFonts w:cs="Arial"/>
        </w:rPr>
        <w:t>.</w:t>
      </w:r>
    </w:p>
    <w:p w14:paraId="181F5273" w14:textId="37E78CF9"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Screening solutions proposed by developers should be realistic and effective. If trees are proposed, trees should be planted in a timely fashion and well maintained to provide effective visual screening within a reasonable timeframe. Other screening solutions, such as structures or shutter blinds, should also be considered when proposing and negotiating a visual screening agreement. Neighbours may prefer a </w:t>
      </w:r>
      <w:r>
        <w:rPr>
          <w:rFonts w:cs="Arial"/>
        </w:rPr>
        <w:t xml:space="preserve">one-off </w:t>
      </w:r>
      <w:r w:rsidRPr="00FC45E9">
        <w:rPr>
          <w:rFonts w:cs="Arial"/>
        </w:rPr>
        <w:t>payment option in lieu of the developer designing and installing the screening solution.</w:t>
      </w:r>
    </w:p>
    <w:p w14:paraId="04AAD308" w14:textId="7C0B5F00" w:rsidR="00C66F7A" w:rsidRPr="00FC45E9" w:rsidRDefault="001C4F1D" w:rsidP="00C66F7A">
      <w:pPr>
        <w:pStyle w:val="ListParagraph"/>
        <w:numPr>
          <w:ilvl w:val="2"/>
          <w:numId w:val="8"/>
        </w:numPr>
        <w:spacing w:line="264" w:lineRule="auto"/>
        <w:ind w:left="1400" w:hanging="680"/>
        <w:rPr>
          <w:rFonts w:cs="Arial"/>
        </w:rPr>
      </w:pPr>
      <w:r>
        <w:rPr>
          <w:rFonts w:cs="Arial"/>
        </w:rPr>
        <w:t>D</w:t>
      </w:r>
      <w:r w:rsidR="00C66F7A" w:rsidRPr="00FC45E9">
        <w:rPr>
          <w:rFonts w:cs="Arial"/>
        </w:rPr>
        <w:t>eveloper</w:t>
      </w:r>
      <w:r>
        <w:rPr>
          <w:rFonts w:cs="Arial"/>
        </w:rPr>
        <w:t>s</w:t>
      </w:r>
      <w:r w:rsidR="00C66F7A" w:rsidRPr="00FC45E9">
        <w:rPr>
          <w:rFonts w:cs="Arial"/>
        </w:rPr>
        <w:t xml:space="preserve"> should recognise that some neighbours may have been potential host landowners for the </w:t>
      </w:r>
      <w:r w:rsidR="00C66F7A">
        <w:rPr>
          <w:rFonts w:cs="Arial"/>
        </w:rPr>
        <w:t>proj</w:t>
      </w:r>
      <w:r w:rsidR="00C66F7A" w:rsidRPr="00FC45E9">
        <w:rPr>
          <w:rFonts w:cs="Arial"/>
        </w:rPr>
        <w:t xml:space="preserve">ect’s </w:t>
      </w:r>
      <w:r w:rsidR="00C66F7A">
        <w:rPr>
          <w:rFonts w:cs="Arial"/>
        </w:rPr>
        <w:t xml:space="preserve">initial </w:t>
      </w:r>
      <w:r w:rsidR="00C66F7A" w:rsidRPr="00FC45E9">
        <w:rPr>
          <w:rFonts w:cs="Arial"/>
        </w:rPr>
        <w:t xml:space="preserve">design and should take the time to understand the neighbour’s history of involvement with the project. Developers should document all conversations and interactions with neighbours and maintain records future reference. </w:t>
      </w:r>
      <w:r>
        <w:rPr>
          <w:rFonts w:cs="Arial"/>
        </w:rPr>
        <w:t>N</w:t>
      </w:r>
      <w:r w:rsidR="00C66F7A" w:rsidRPr="00E34265">
        <w:rPr>
          <w:rFonts w:cs="Arial"/>
        </w:rPr>
        <w:t xml:space="preserve">eighbours who have been approached by developers should </w:t>
      </w:r>
      <w:r w:rsidR="00C66F7A">
        <w:rPr>
          <w:rFonts w:cs="Arial"/>
        </w:rPr>
        <w:t xml:space="preserve">also </w:t>
      </w:r>
      <w:r w:rsidR="00C66F7A" w:rsidRPr="00E34265">
        <w:rPr>
          <w:rFonts w:cs="Arial"/>
        </w:rPr>
        <w:t>ensure that they have documented all offers and agreements presented to them.</w:t>
      </w:r>
      <w:r w:rsidR="00C66F7A">
        <w:rPr>
          <w:rFonts w:cs="Arial"/>
        </w:rPr>
        <w:t xml:space="preserve"> </w:t>
      </w:r>
    </w:p>
    <w:p w14:paraId="286E97CC" w14:textId="0892C459" w:rsidR="00C66F7A" w:rsidRDefault="00C66F7A" w:rsidP="00C66F7A">
      <w:pPr>
        <w:pStyle w:val="ListParagraph"/>
        <w:numPr>
          <w:ilvl w:val="2"/>
          <w:numId w:val="8"/>
        </w:numPr>
        <w:spacing w:line="264" w:lineRule="auto"/>
        <w:ind w:left="1400" w:hanging="680"/>
        <w:rPr>
          <w:rFonts w:cs="Arial"/>
        </w:rPr>
      </w:pPr>
      <w:r w:rsidRPr="00FC45E9">
        <w:rPr>
          <w:rFonts w:cs="Arial"/>
        </w:rPr>
        <w:lastRenderedPageBreak/>
        <w:t>Neighbours should be appropriately represented in any project</w:t>
      </w:r>
      <w:r>
        <w:rPr>
          <w:rFonts w:cs="Arial"/>
        </w:rPr>
        <w:t>-</w:t>
      </w:r>
      <w:r w:rsidRPr="00FC45E9">
        <w:rPr>
          <w:rFonts w:cs="Arial"/>
        </w:rPr>
        <w:t>related committees, such as Community Consultative Committees and Community Engagement Fund Committees, to help ensure that neighbours have a voice</w:t>
      </w:r>
      <w:r w:rsidR="001C4F1D">
        <w:rPr>
          <w:rFonts w:cs="Arial"/>
        </w:rPr>
        <w:t xml:space="preserve"> and</w:t>
      </w:r>
      <w:r w:rsidRPr="00FC45E9">
        <w:rPr>
          <w:rFonts w:cs="Arial"/>
        </w:rPr>
        <w:t xml:space="preserve"> the opportunity to be positively engaged with the</w:t>
      </w:r>
      <w:r w:rsidR="001C4F1D">
        <w:rPr>
          <w:rFonts w:cs="Arial"/>
        </w:rPr>
        <w:t xml:space="preserve"> </w:t>
      </w:r>
      <w:r w:rsidRPr="00FC45E9">
        <w:rPr>
          <w:rFonts w:cs="Arial"/>
        </w:rPr>
        <w:t>various aspects of the project across the community.</w:t>
      </w:r>
    </w:p>
    <w:p w14:paraId="35C2484C" w14:textId="27925E2D" w:rsidR="00C66F7A" w:rsidRDefault="00C66F7A" w:rsidP="00C66F7A">
      <w:pPr>
        <w:pStyle w:val="ListParagraph"/>
        <w:numPr>
          <w:ilvl w:val="2"/>
          <w:numId w:val="8"/>
        </w:numPr>
        <w:spacing w:line="264" w:lineRule="auto"/>
        <w:ind w:left="1400" w:hanging="680"/>
        <w:rPr>
          <w:rFonts w:cs="Arial"/>
        </w:rPr>
      </w:pPr>
      <w:r w:rsidRPr="00695895">
        <w:rPr>
          <w:rFonts w:cs="Arial"/>
        </w:rPr>
        <w:t xml:space="preserve">Special consideration should be given to large-scale transmission </w:t>
      </w:r>
      <w:r>
        <w:rPr>
          <w:rFonts w:cs="Arial"/>
        </w:rPr>
        <w:t xml:space="preserve">project </w:t>
      </w:r>
      <w:r w:rsidRPr="00695895">
        <w:rPr>
          <w:rFonts w:cs="Arial"/>
        </w:rPr>
        <w:t xml:space="preserve">neighbours that reside along </w:t>
      </w:r>
      <w:r>
        <w:rPr>
          <w:rFonts w:cs="Arial"/>
        </w:rPr>
        <w:t xml:space="preserve">host </w:t>
      </w:r>
      <w:r w:rsidRPr="00695895">
        <w:rPr>
          <w:rFonts w:cs="Arial"/>
        </w:rPr>
        <w:t>property boundaries</w:t>
      </w:r>
      <w:r w:rsidR="00B6261D">
        <w:rPr>
          <w:rFonts w:cs="Arial"/>
        </w:rPr>
        <w:t>. Developer</w:t>
      </w:r>
      <w:r w:rsidR="006E0F28">
        <w:rPr>
          <w:rFonts w:cs="Arial"/>
        </w:rPr>
        <w:t>s</w:t>
      </w:r>
      <w:r w:rsidR="00B6261D">
        <w:rPr>
          <w:rFonts w:cs="Arial"/>
        </w:rPr>
        <w:t xml:space="preserve"> should </w:t>
      </w:r>
      <w:r w:rsidRPr="00695895">
        <w:rPr>
          <w:rFonts w:cs="Arial"/>
        </w:rPr>
        <w:t xml:space="preserve">ensure there is a </w:t>
      </w:r>
      <w:r w:rsidR="00B6261D">
        <w:rPr>
          <w:rFonts w:cs="Arial"/>
        </w:rPr>
        <w:t>process</w:t>
      </w:r>
      <w:r w:rsidRPr="00695895">
        <w:rPr>
          <w:rFonts w:cs="Arial"/>
        </w:rPr>
        <w:t xml:space="preserve"> to identify neighbours and develop solutions to </w:t>
      </w:r>
      <w:r>
        <w:rPr>
          <w:rFonts w:cs="Arial"/>
        </w:rPr>
        <w:t xml:space="preserve">real or perceived impacts arising from </w:t>
      </w:r>
      <w:r w:rsidRPr="00695895">
        <w:rPr>
          <w:rFonts w:cs="Arial"/>
        </w:rPr>
        <w:t>these situations.</w:t>
      </w:r>
    </w:p>
    <w:p w14:paraId="795C679E" w14:textId="12167332" w:rsidR="00B67B23" w:rsidRDefault="00C66F7A" w:rsidP="00C66F7A">
      <w:pPr>
        <w:pStyle w:val="ListParagraph"/>
        <w:numPr>
          <w:ilvl w:val="2"/>
          <w:numId w:val="8"/>
        </w:numPr>
        <w:spacing w:line="264" w:lineRule="auto"/>
        <w:ind w:left="1400" w:hanging="680"/>
        <w:rPr>
          <w:rFonts w:cs="Arial"/>
        </w:rPr>
      </w:pPr>
      <w:r>
        <w:rPr>
          <w:rFonts w:cs="Arial"/>
        </w:rPr>
        <w:t xml:space="preserve">Planning authorities should produce </w:t>
      </w:r>
      <w:r w:rsidR="00B6261D">
        <w:rPr>
          <w:rFonts w:cs="Arial"/>
        </w:rPr>
        <w:t xml:space="preserve">and </w:t>
      </w:r>
      <w:r>
        <w:rPr>
          <w:rFonts w:cs="Arial"/>
        </w:rPr>
        <w:t xml:space="preserve">update their planning guidelines for large scale transmission projects </w:t>
      </w:r>
      <w:r w:rsidR="00B6261D">
        <w:rPr>
          <w:rFonts w:cs="Arial"/>
        </w:rPr>
        <w:t xml:space="preserve">to </w:t>
      </w:r>
      <w:r>
        <w:rPr>
          <w:rFonts w:cs="Arial"/>
        </w:rPr>
        <w:t>clearly include provisions for fairly and appropriately minimising the impacts on existing neighbours to the project. Setback distances are discussed in Section 5 of this Appendix.</w:t>
      </w:r>
    </w:p>
    <w:p w14:paraId="15244847" w14:textId="710B0827" w:rsidR="00C66F7A" w:rsidRPr="00B67B23" w:rsidRDefault="00B67B23" w:rsidP="00D6737D">
      <w:pPr>
        <w:rPr>
          <w:rFonts w:cs="Arial"/>
        </w:rPr>
      </w:pPr>
      <w:r>
        <w:rPr>
          <w:rFonts w:cs="Arial"/>
        </w:rPr>
        <w:br w:type="page"/>
      </w:r>
    </w:p>
    <w:p w14:paraId="440D1A12" w14:textId="77777777" w:rsidR="00C66F7A" w:rsidRPr="00FC45E9" w:rsidRDefault="00C66F7A" w:rsidP="00C66F7A">
      <w:pPr>
        <w:pStyle w:val="Heading2"/>
        <w:numPr>
          <w:ilvl w:val="0"/>
          <w:numId w:val="8"/>
        </w:numPr>
      </w:pPr>
      <w:bookmarkStart w:id="180" w:name="_Toc51224050"/>
      <w:bookmarkStart w:id="181" w:name="_Toc84430831"/>
      <w:bookmarkStart w:id="182" w:name="_Toc98781021"/>
      <w:bookmarkStart w:id="183" w:name="_Toc135390626"/>
      <w:r w:rsidRPr="00FC45E9">
        <w:lastRenderedPageBreak/>
        <w:t>Community Engagement</w:t>
      </w:r>
      <w:bookmarkEnd w:id="180"/>
      <w:bookmarkEnd w:id="181"/>
      <w:bookmarkEnd w:id="182"/>
      <w:bookmarkEnd w:id="183"/>
    </w:p>
    <w:p w14:paraId="45AE0499"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3FF3362D" w14:textId="77777777" w:rsidR="00C66F7A" w:rsidRPr="007A223C" w:rsidRDefault="00C66F7A" w:rsidP="00F25864">
      <w:pPr>
        <w:pStyle w:val="Heading3"/>
        <w:ind w:firstLine="360"/>
      </w:pPr>
      <w:bookmarkStart w:id="184" w:name="_Toc132641481"/>
      <w:bookmarkStart w:id="185" w:name="_Toc135390627"/>
      <w:r w:rsidRPr="007A223C">
        <w:t>Background</w:t>
      </w:r>
      <w:bookmarkEnd w:id="184"/>
      <w:bookmarkEnd w:id="185"/>
    </w:p>
    <w:p w14:paraId="707238F5" w14:textId="2E0DBD03" w:rsidR="00C66F7A" w:rsidRDefault="00C66F7A" w:rsidP="00C66F7A">
      <w:pPr>
        <w:pStyle w:val="ListParagraph"/>
        <w:numPr>
          <w:ilvl w:val="0"/>
          <w:numId w:val="0"/>
        </w:numPr>
        <w:spacing w:line="264" w:lineRule="auto"/>
        <w:ind w:left="360"/>
        <w:rPr>
          <w:rFonts w:cs="Arial"/>
        </w:rPr>
      </w:pPr>
      <w:r w:rsidRPr="00FC45E9">
        <w:rPr>
          <w:rFonts w:cs="Arial"/>
        </w:rPr>
        <w:t xml:space="preserve">Effective community consultation and engagement is essential for </w:t>
      </w:r>
      <w:r>
        <w:rPr>
          <w:rFonts w:cs="Arial"/>
        </w:rPr>
        <w:t xml:space="preserve">large-scale renewable energy and transmission </w:t>
      </w:r>
      <w:r w:rsidRPr="00FC45E9">
        <w:rPr>
          <w:rFonts w:cs="Arial"/>
        </w:rPr>
        <w:t xml:space="preserve">projects </w:t>
      </w:r>
      <w:r>
        <w:rPr>
          <w:rFonts w:cs="Arial"/>
        </w:rPr>
        <w:t xml:space="preserve">to </w:t>
      </w:r>
      <w:r w:rsidRPr="00FC45E9">
        <w:rPr>
          <w:rFonts w:cs="Arial"/>
        </w:rPr>
        <w:t xml:space="preserve">earn the ‘social license’ to operate within the community. To be effective in community engagement, </w:t>
      </w:r>
      <w:r w:rsidR="00155454">
        <w:rPr>
          <w:rFonts w:cs="Arial"/>
        </w:rPr>
        <w:t xml:space="preserve">developers </w:t>
      </w:r>
      <w:r>
        <w:rPr>
          <w:rFonts w:cs="Arial"/>
        </w:rPr>
        <w:t xml:space="preserve">need to </w:t>
      </w:r>
      <w:r w:rsidRPr="00FC45E9">
        <w:rPr>
          <w:rFonts w:cs="Arial"/>
        </w:rPr>
        <w:t xml:space="preserve">‘engage the community’ and involve the community wherever possible in the design and execution of programs related to the </w:t>
      </w:r>
      <w:r>
        <w:rPr>
          <w:rFonts w:cs="Arial"/>
        </w:rPr>
        <w:t>project (but not necessarily the project itself)</w:t>
      </w:r>
      <w:r w:rsidRPr="00FC45E9">
        <w:rPr>
          <w:rFonts w:cs="Arial"/>
        </w:rPr>
        <w:t>.</w:t>
      </w:r>
    </w:p>
    <w:p w14:paraId="68FFFC52" w14:textId="024E0921" w:rsidR="00C66F7A" w:rsidRPr="00FC45E9" w:rsidRDefault="00155454" w:rsidP="00C66F7A">
      <w:pPr>
        <w:pStyle w:val="ListParagraph"/>
        <w:numPr>
          <w:ilvl w:val="0"/>
          <w:numId w:val="0"/>
        </w:numPr>
        <w:spacing w:line="264" w:lineRule="auto"/>
        <w:ind w:left="360"/>
        <w:rPr>
          <w:rFonts w:cs="Arial"/>
        </w:rPr>
      </w:pPr>
      <w:r>
        <w:rPr>
          <w:rFonts w:cs="Arial"/>
        </w:rPr>
        <w:t>Absent or p</w:t>
      </w:r>
      <w:r w:rsidR="00C66F7A">
        <w:rPr>
          <w:rFonts w:cs="Arial"/>
        </w:rPr>
        <w:t>oor community engagement allow</w:t>
      </w:r>
      <w:r>
        <w:rPr>
          <w:rFonts w:cs="Arial"/>
        </w:rPr>
        <w:t>s</w:t>
      </w:r>
      <w:r w:rsidR="00C66F7A">
        <w:rPr>
          <w:rFonts w:cs="Arial"/>
        </w:rPr>
        <w:t xml:space="preserve"> misinformation and community opposition to gain momentum. This can lead to projects not proceeding </w:t>
      </w:r>
      <w:r>
        <w:rPr>
          <w:rFonts w:cs="Arial"/>
        </w:rPr>
        <w:t>due to</w:t>
      </w:r>
      <w:r w:rsidR="00C66F7A">
        <w:rPr>
          <w:rFonts w:cs="Arial"/>
        </w:rPr>
        <w:t xml:space="preserve"> objections lodged in the planning and environmental process</w:t>
      </w:r>
      <w:r>
        <w:rPr>
          <w:rFonts w:cs="Arial"/>
        </w:rPr>
        <w:t xml:space="preserve"> and </w:t>
      </w:r>
      <w:r w:rsidR="00C66F7A">
        <w:rPr>
          <w:rFonts w:cs="Arial"/>
        </w:rPr>
        <w:t>delays from lengthy and costly legal challenges</w:t>
      </w:r>
      <w:r>
        <w:rPr>
          <w:rFonts w:cs="Arial"/>
        </w:rPr>
        <w:t xml:space="preserve"> to the project. It may also impact on the reputation of the sector within the community and may result in broader community opposition to the industry.</w:t>
      </w:r>
    </w:p>
    <w:p w14:paraId="3F7FD697" w14:textId="6D5B015B" w:rsidR="00C66F7A" w:rsidRDefault="00C66F7A" w:rsidP="00C66F7A">
      <w:pPr>
        <w:pStyle w:val="ListParagraph"/>
        <w:numPr>
          <w:ilvl w:val="0"/>
          <w:numId w:val="0"/>
        </w:numPr>
        <w:spacing w:line="264" w:lineRule="auto"/>
        <w:ind w:left="360"/>
        <w:rPr>
          <w:rFonts w:cs="Arial"/>
        </w:rPr>
      </w:pPr>
      <w:r w:rsidRPr="00FC45E9">
        <w:rPr>
          <w:rFonts w:cs="Arial"/>
        </w:rPr>
        <w:t>The</w:t>
      </w:r>
      <w:r w:rsidR="00155454">
        <w:rPr>
          <w:rFonts w:cs="Arial"/>
        </w:rPr>
        <w:t xml:space="preserve"> Commissioner has observed significant variety in the</w:t>
      </w:r>
      <w:r w:rsidRPr="00FC45E9">
        <w:rPr>
          <w:rFonts w:cs="Arial"/>
        </w:rPr>
        <w:t xml:space="preserve"> level of community engagement by developers </w:t>
      </w:r>
      <w:r w:rsidR="00155454">
        <w:rPr>
          <w:rFonts w:cs="Arial"/>
        </w:rPr>
        <w:t>to</w:t>
      </w:r>
      <w:r w:rsidRPr="00FC45E9">
        <w:rPr>
          <w:rFonts w:cs="Arial"/>
        </w:rPr>
        <w:t xml:space="preserve"> date. </w:t>
      </w:r>
      <w:r w:rsidR="00155454">
        <w:rPr>
          <w:rFonts w:cs="Arial"/>
        </w:rPr>
        <w:t>I</w:t>
      </w:r>
      <w:r w:rsidRPr="00FC45E9">
        <w:rPr>
          <w:rFonts w:cs="Arial"/>
        </w:rPr>
        <w:t>nit</w:t>
      </w:r>
      <w:r>
        <w:rPr>
          <w:rFonts w:cs="Arial"/>
        </w:rPr>
        <w:t xml:space="preserve">iating </w:t>
      </w:r>
      <w:r w:rsidRPr="00FC45E9">
        <w:rPr>
          <w:rFonts w:cs="Arial"/>
        </w:rPr>
        <w:t>project developers</w:t>
      </w:r>
      <w:r>
        <w:rPr>
          <w:rFonts w:cs="Arial"/>
        </w:rPr>
        <w:t xml:space="preserve"> (developers that secure the landholders and permits, then </w:t>
      </w:r>
      <w:r w:rsidRPr="00FC45E9">
        <w:rPr>
          <w:rFonts w:cs="Arial"/>
        </w:rPr>
        <w:t>‘on-sell’ the project to a long-term developer or operator</w:t>
      </w:r>
      <w:r>
        <w:rPr>
          <w:rFonts w:cs="Arial"/>
        </w:rPr>
        <w:t>)</w:t>
      </w:r>
      <w:r w:rsidRPr="00FC45E9">
        <w:rPr>
          <w:rFonts w:cs="Arial"/>
        </w:rPr>
        <w:t xml:space="preserve"> may not </w:t>
      </w:r>
      <w:r>
        <w:rPr>
          <w:rFonts w:cs="Arial"/>
        </w:rPr>
        <w:t>have sufficient funds available to</w:t>
      </w:r>
      <w:r w:rsidR="00155454">
        <w:rPr>
          <w:rFonts w:cs="Arial"/>
        </w:rPr>
        <w:t xml:space="preserve"> effectively</w:t>
      </w:r>
      <w:r>
        <w:rPr>
          <w:rFonts w:cs="Arial"/>
        </w:rPr>
        <w:t xml:space="preserve"> </w:t>
      </w:r>
      <w:r w:rsidRPr="00FC45E9">
        <w:rPr>
          <w:rFonts w:cs="Arial"/>
        </w:rPr>
        <w:t xml:space="preserve">invest </w:t>
      </w:r>
      <w:r>
        <w:rPr>
          <w:rFonts w:cs="Arial"/>
        </w:rPr>
        <w:t xml:space="preserve">in </w:t>
      </w:r>
      <w:r w:rsidRPr="00FC45E9">
        <w:rPr>
          <w:rFonts w:cs="Arial"/>
        </w:rPr>
        <w:t xml:space="preserve">community engagement or neighbour relations. These </w:t>
      </w:r>
      <w:r>
        <w:rPr>
          <w:rFonts w:cs="Arial"/>
        </w:rPr>
        <w:t xml:space="preserve">more </w:t>
      </w:r>
      <w:r w:rsidRPr="00FC45E9">
        <w:rPr>
          <w:rFonts w:cs="Arial"/>
        </w:rPr>
        <w:t xml:space="preserve">limited efforts can result in lower levels of community support and more divided communities, compared </w:t>
      </w:r>
      <w:r w:rsidR="00155454">
        <w:rPr>
          <w:rFonts w:cs="Arial"/>
        </w:rPr>
        <w:t>to</w:t>
      </w:r>
      <w:r w:rsidR="00155454" w:rsidRPr="00FC45E9">
        <w:rPr>
          <w:rFonts w:cs="Arial"/>
        </w:rPr>
        <w:t xml:space="preserve"> </w:t>
      </w:r>
      <w:r w:rsidRPr="00FC45E9">
        <w:rPr>
          <w:rFonts w:cs="Arial"/>
        </w:rPr>
        <w:t xml:space="preserve">projects where the project developers </w:t>
      </w:r>
      <w:r>
        <w:rPr>
          <w:rFonts w:cs="Arial"/>
        </w:rPr>
        <w:t xml:space="preserve">invest </w:t>
      </w:r>
      <w:r w:rsidR="00155454">
        <w:rPr>
          <w:rFonts w:cs="Arial"/>
        </w:rPr>
        <w:t xml:space="preserve">appropriately </w:t>
      </w:r>
      <w:r>
        <w:rPr>
          <w:rFonts w:cs="Arial"/>
        </w:rPr>
        <w:t xml:space="preserve">in </w:t>
      </w:r>
      <w:r w:rsidRPr="00FC45E9">
        <w:rPr>
          <w:rFonts w:cs="Arial"/>
        </w:rPr>
        <w:t>effective community engagement from the very start of the development activity.</w:t>
      </w:r>
    </w:p>
    <w:p w14:paraId="265841EA" w14:textId="77777777" w:rsidR="00C66F7A" w:rsidRPr="007A223C" w:rsidRDefault="00C66F7A" w:rsidP="00F25864">
      <w:pPr>
        <w:pStyle w:val="Heading3"/>
        <w:ind w:firstLine="360"/>
      </w:pPr>
      <w:bookmarkStart w:id="186" w:name="_Toc135390628"/>
      <w:r w:rsidRPr="007A223C">
        <w:t>Community and Stakeholder Committees</w:t>
      </w:r>
      <w:bookmarkEnd w:id="186"/>
    </w:p>
    <w:p w14:paraId="22E5666E" w14:textId="06C0E0CD" w:rsidR="00C66F7A" w:rsidRPr="00FC45E9" w:rsidRDefault="00C66F7A" w:rsidP="00C66F7A">
      <w:pPr>
        <w:pStyle w:val="ListParagraph"/>
        <w:numPr>
          <w:ilvl w:val="0"/>
          <w:numId w:val="0"/>
        </w:numPr>
        <w:spacing w:line="264" w:lineRule="auto"/>
        <w:ind w:left="360"/>
        <w:rPr>
          <w:rFonts w:cs="Arial"/>
        </w:rPr>
      </w:pPr>
      <w:r w:rsidRPr="00FC45E9">
        <w:rPr>
          <w:rFonts w:cs="Arial"/>
        </w:rPr>
        <w:t>In some jurisdictions, such as New South Wales, the planning guideline framework provide</w:t>
      </w:r>
      <w:r w:rsidR="00DF6F6A">
        <w:rPr>
          <w:rFonts w:cs="Arial"/>
        </w:rPr>
        <w:t>s</w:t>
      </w:r>
      <w:r w:rsidRPr="00FC45E9">
        <w:rPr>
          <w:rFonts w:cs="Arial"/>
        </w:rPr>
        <w:t xml:space="preserve"> for an early and continuing focus</w:t>
      </w:r>
      <w:r>
        <w:rPr>
          <w:rFonts w:cs="Arial"/>
        </w:rPr>
        <w:t xml:space="preserve"> on</w:t>
      </w:r>
      <w:r w:rsidRPr="00FC45E9">
        <w:rPr>
          <w:rFonts w:cs="Arial"/>
        </w:rPr>
        <w:t xml:space="preserve"> community engagement, including the establishment of a Community Consultative Committee (CCC)</w:t>
      </w:r>
      <w:r>
        <w:rPr>
          <w:rFonts w:cs="Arial"/>
        </w:rPr>
        <w:t xml:space="preserve"> or equivalent</w:t>
      </w:r>
      <w:r w:rsidRPr="00FC45E9">
        <w:rPr>
          <w:rFonts w:cs="Arial"/>
        </w:rPr>
        <w:t xml:space="preserve"> that is maintained throughout the life of the project. </w:t>
      </w:r>
      <w:r>
        <w:rPr>
          <w:rFonts w:cs="Arial"/>
        </w:rPr>
        <w:t>‘</w:t>
      </w:r>
      <w:r w:rsidR="00DF6F6A">
        <w:rPr>
          <w:rFonts w:cs="Arial"/>
        </w:rPr>
        <w:t>F</w:t>
      </w:r>
      <w:r w:rsidRPr="00FC45E9">
        <w:rPr>
          <w:rFonts w:cs="Arial"/>
        </w:rPr>
        <w:t>eed-in tariff</w:t>
      </w:r>
      <w:r w:rsidR="00DF6F6A">
        <w:rPr>
          <w:rFonts w:cs="Arial"/>
        </w:rPr>
        <w:t>s</w:t>
      </w:r>
      <w:r>
        <w:rPr>
          <w:rFonts w:cs="Arial"/>
        </w:rPr>
        <w:t xml:space="preserve">’ </w:t>
      </w:r>
      <w:r w:rsidR="00DF6F6A">
        <w:rPr>
          <w:rFonts w:cs="Arial"/>
        </w:rPr>
        <w:t>and</w:t>
      </w:r>
      <w:r>
        <w:rPr>
          <w:rFonts w:cs="Arial"/>
        </w:rPr>
        <w:t xml:space="preserve"> ‘contract for difference’</w:t>
      </w:r>
      <w:r w:rsidRPr="00FC45E9">
        <w:rPr>
          <w:rFonts w:cs="Arial"/>
        </w:rPr>
        <w:t xml:space="preserve"> arrangements</w:t>
      </w:r>
      <w:r>
        <w:rPr>
          <w:rFonts w:cs="Arial"/>
        </w:rPr>
        <w:t>,</w:t>
      </w:r>
      <w:r w:rsidRPr="00FC45E9">
        <w:rPr>
          <w:rFonts w:cs="Arial"/>
        </w:rPr>
        <w:t xml:space="preserve"> </w:t>
      </w:r>
      <w:r>
        <w:rPr>
          <w:rFonts w:cs="Arial"/>
        </w:rPr>
        <w:t xml:space="preserve">such as those </w:t>
      </w:r>
      <w:r w:rsidRPr="00FC45E9">
        <w:rPr>
          <w:rFonts w:cs="Arial"/>
        </w:rPr>
        <w:t xml:space="preserve">established by the ACT and Victorian Governments, </w:t>
      </w:r>
      <w:r>
        <w:rPr>
          <w:rFonts w:cs="Arial"/>
        </w:rPr>
        <w:t xml:space="preserve">can </w:t>
      </w:r>
      <w:r w:rsidRPr="00FC45E9">
        <w:rPr>
          <w:rFonts w:cs="Arial"/>
        </w:rPr>
        <w:t>place a significant weighting on selecting developers</w:t>
      </w:r>
      <w:r>
        <w:rPr>
          <w:rFonts w:cs="Arial"/>
        </w:rPr>
        <w:t xml:space="preserve"> and </w:t>
      </w:r>
      <w:r w:rsidRPr="00FC45E9">
        <w:rPr>
          <w:rFonts w:cs="Arial"/>
        </w:rPr>
        <w:t>projects that propose and demonstrate effective community engagement programs</w:t>
      </w:r>
      <w:r>
        <w:rPr>
          <w:rFonts w:cs="Arial"/>
        </w:rPr>
        <w:t xml:space="preserve">. </w:t>
      </w:r>
      <w:r w:rsidR="00DF6F6A">
        <w:rPr>
          <w:rFonts w:cs="Arial"/>
        </w:rPr>
        <w:t>They</w:t>
      </w:r>
      <w:r>
        <w:rPr>
          <w:rFonts w:cs="Arial"/>
        </w:rPr>
        <w:t xml:space="preserve"> also enable the sponsoring jurisdiction to expect and extract desired community and project outcomes.</w:t>
      </w:r>
    </w:p>
    <w:p w14:paraId="55975B2F" w14:textId="307CD997" w:rsidR="00C66F7A" w:rsidRDefault="00C66F7A" w:rsidP="00C66F7A">
      <w:pPr>
        <w:pStyle w:val="ListParagraph"/>
        <w:numPr>
          <w:ilvl w:val="0"/>
          <w:numId w:val="0"/>
        </w:numPr>
        <w:spacing w:line="264" w:lineRule="auto"/>
        <w:ind w:left="360"/>
        <w:rPr>
          <w:rFonts w:cs="Arial"/>
        </w:rPr>
      </w:pPr>
      <w:r w:rsidRPr="00FC45E9">
        <w:rPr>
          <w:rFonts w:cs="Arial"/>
        </w:rPr>
        <w:t xml:space="preserve">Many </w:t>
      </w:r>
      <w:r w:rsidR="00DF6F6A">
        <w:rPr>
          <w:rFonts w:cs="Arial"/>
        </w:rPr>
        <w:t>developers</w:t>
      </w:r>
      <w:r w:rsidR="00DF6F6A" w:rsidRPr="00FC45E9">
        <w:rPr>
          <w:rFonts w:cs="Arial"/>
        </w:rPr>
        <w:t xml:space="preserve"> </w:t>
      </w:r>
      <w:r w:rsidRPr="00FC45E9">
        <w:rPr>
          <w:rFonts w:cs="Arial"/>
        </w:rPr>
        <w:t xml:space="preserve">establish </w:t>
      </w:r>
      <w:r w:rsidR="00DF6F6A">
        <w:rPr>
          <w:rFonts w:cs="Arial"/>
        </w:rPr>
        <w:t xml:space="preserve">and fund </w:t>
      </w:r>
      <w:r w:rsidRPr="00FC45E9">
        <w:rPr>
          <w:rFonts w:cs="Arial"/>
        </w:rPr>
        <w:t>Community Engagement Funds</w:t>
      </w:r>
      <w:r w:rsidR="00DF6F6A">
        <w:rPr>
          <w:rFonts w:cs="Arial"/>
        </w:rPr>
        <w:t xml:space="preserve"> </w:t>
      </w:r>
      <w:r w:rsidRPr="00FC45E9">
        <w:rPr>
          <w:rFonts w:cs="Arial"/>
        </w:rPr>
        <w:t xml:space="preserve">to </w:t>
      </w:r>
      <w:r>
        <w:rPr>
          <w:rFonts w:cs="Arial"/>
        </w:rPr>
        <w:t>support</w:t>
      </w:r>
      <w:r w:rsidRPr="00FC45E9">
        <w:rPr>
          <w:rFonts w:cs="Arial"/>
        </w:rPr>
        <w:t xml:space="preserve"> a wide range of initiatives that benefit the local community. In some </w:t>
      </w:r>
      <w:r>
        <w:rPr>
          <w:rFonts w:cs="Arial"/>
        </w:rPr>
        <w:t>jurisdictions</w:t>
      </w:r>
      <w:r w:rsidRPr="00FC45E9">
        <w:rPr>
          <w:rFonts w:cs="Arial"/>
        </w:rPr>
        <w:t xml:space="preserve">, </w:t>
      </w:r>
      <w:r>
        <w:rPr>
          <w:rFonts w:cs="Arial"/>
        </w:rPr>
        <w:t xml:space="preserve">the </w:t>
      </w:r>
      <w:r w:rsidR="00DF6F6A">
        <w:rPr>
          <w:rFonts w:cs="Arial"/>
        </w:rPr>
        <w:t>provision</w:t>
      </w:r>
      <w:r>
        <w:rPr>
          <w:rFonts w:cs="Arial"/>
        </w:rPr>
        <w:t xml:space="preserve"> of </w:t>
      </w:r>
      <w:r w:rsidRPr="00FC45E9">
        <w:rPr>
          <w:rFonts w:cs="Arial"/>
        </w:rPr>
        <w:t xml:space="preserve">such funds </w:t>
      </w:r>
      <w:r w:rsidR="00D33CB0">
        <w:rPr>
          <w:rFonts w:cs="Arial"/>
        </w:rPr>
        <w:t>is</w:t>
      </w:r>
      <w:r w:rsidR="00D33CB0" w:rsidRPr="00FC45E9">
        <w:rPr>
          <w:rFonts w:cs="Arial"/>
        </w:rPr>
        <w:t xml:space="preserve"> </w:t>
      </w:r>
      <w:r w:rsidRPr="00FC45E9">
        <w:rPr>
          <w:rFonts w:cs="Arial"/>
        </w:rPr>
        <w:t>a condition of the permit</w:t>
      </w:r>
      <w:r>
        <w:rPr>
          <w:rFonts w:cs="Arial"/>
        </w:rPr>
        <w:t>’s</w:t>
      </w:r>
      <w:r w:rsidRPr="00FC45E9">
        <w:rPr>
          <w:rFonts w:cs="Arial"/>
        </w:rPr>
        <w:t xml:space="preserve"> approval</w:t>
      </w:r>
      <w:r w:rsidR="00DF6F6A">
        <w:rPr>
          <w:rFonts w:cs="Arial"/>
        </w:rPr>
        <w:t>.</w:t>
      </w:r>
    </w:p>
    <w:p w14:paraId="2A91F005" w14:textId="58883C47" w:rsidR="00C66F7A" w:rsidRPr="00FC45E9" w:rsidRDefault="00AC6275" w:rsidP="00C66F7A">
      <w:pPr>
        <w:pStyle w:val="ListParagraph"/>
        <w:numPr>
          <w:ilvl w:val="0"/>
          <w:numId w:val="0"/>
        </w:numPr>
        <w:spacing w:line="264" w:lineRule="auto"/>
        <w:ind w:left="360"/>
        <w:rPr>
          <w:rFonts w:cs="Arial"/>
        </w:rPr>
      </w:pPr>
      <w:r>
        <w:rPr>
          <w:rFonts w:cs="Arial"/>
        </w:rPr>
        <w:t>We suggest that c</w:t>
      </w:r>
      <w:r w:rsidR="00C66F7A">
        <w:rPr>
          <w:rFonts w:cs="Arial"/>
        </w:rPr>
        <w:t xml:space="preserve">ommittees such as CCC’s </w:t>
      </w:r>
      <w:r>
        <w:rPr>
          <w:rFonts w:cs="Arial"/>
        </w:rPr>
        <w:t>are</w:t>
      </w:r>
      <w:r w:rsidR="00C66F7A">
        <w:rPr>
          <w:rFonts w:cs="Arial"/>
        </w:rPr>
        <w:t xml:space="preserve"> most effective when there is an independent chair and an appropriate balance in the committee membership</w:t>
      </w:r>
      <w:r>
        <w:rPr>
          <w:rFonts w:cs="Arial"/>
        </w:rPr>
        <w:t>. C</w:t>
      </w:r>
      <w:r w:rsidR="00C66F7A">
        <w:rPr>
          <w:rFonts w:cs="Arial"/>
        </w:rPr>
        <w:t>hair and committee appointments</w:t>
      </w:r>
      <w:r>
        <w:rPr>
          <w:rFonts w:cs="Arial"/>
        </w:rPr>
        <w:t xml:space="preserve"> should be</w:t>
      </w:r>
      <w:r w:rsidR="00C66F7A">
        <w:rPr>
          <w:rFonts w:cs="Arial"/>
        </w:rPr>
        <w:t xml:space="preserve"> made by an independent body where practical. Committees </w:t>
      </w:r>
      <w:r>
        <w:rPr>
          <w:rFonts w:cs="Arial"/>
        </w:rPr>
        <w:t xml:space="preserve">may </w:t>
      </w:r>
      <w:r w:rsidR="00C66F7A">
        <w:rPr>
          <w:rFonts w:cs="Arial"/>
        </w:rPr>
        <w:t xml:space="preserve">play a vital role in conveying </w:t>
      </w:r>
      <w:r>
        <w:rPr>
          <w:rFonts w:cs="Arial"/>
        </w:rPr>
        <w:t>accurate</w:t>
      </w:r>
      <w:r w:rsidR="00C66F7A">
        <w:rPr>
          <w:rFonts w:cs="Arial"/>
        </w:rPr>
        <w:t xml:space="preserve"> information about the project, identifying and resolving issues that require multi-stakeholder </w:t>
      </w:r>
      <w:r w:rsidR="006E499A">
        <w:rPr>
          <w:rFonts w:cs="Arial"/>
        </w:rPr>
        <w:t>cooperation and</w:t>
      </w:r>
      <w:r w:rsidR="00C66F7A">
        <w:rPr>
          <w:rFonts w:cs="Arial"/>
        </w:rPr>
        <w:t xml:space="preserve"> dispense with inaccurate perceptions about the project and related events. </w:t>
      </w:r>
    </w:p>
    <w:p w14:paraId="3BB1B068" w14:textId="77777777" w:rsidR="00C66F7A" w:rsidRPr="007A223C" w:rsidRDefault="00C66F7A" w:rsidP="00F25864">
      <w:pPr>
        <w:pStyle w:val="Heading3"/>
        <w:ind w:firstLine="357"/>
      </w:pPr>
      <w:bookmarkStart w:id="187" w:name="_Toc135390629"/>
      <w:r w:rsidRPr="007A223C">
        <w:t>Communications</w:t>
      </w:r>
      <w:bookmarkEnd w:id="187"/>
    </w:p>
    <w:p w14:paraId="2AC94F4A" w14:textId="59EE6CA3" w:rsidR="00C66F7A" w:rsidRDefault="00C66F7A" w:rsidP="00C66F7A">
      <w:pPr>
        <w:pStyle w:val="ListParagraph"/>
        <w:numPr>
          <w:ilvl w:val="0"/>
          <w:numId w:val="0"/>
        </w:numPr>
        <w:spacing w:line="264" w:lineRule="auto"/>
        <w:ind w:left="357"/>
        <w:rPr>
          <w:rFonts w:cs="Arial"/>
        </w:rPr>
      </w:pPr>
      <w:r w:rsidRPr="00FC45E9">
        <w:rPr>
          <w:rFonts w:cs="Arial"/>
        </w:rPr>
        <w:t xml:space="preserve">The quality of information provided by </w:t>
      </w:r>
      <w:r>
        <w:rPr>
          <w:rFonts w:cs="Arial"/>
        </w:rPr>
        <w:t>project</w:t>
      </w:r>
      <w:r w:rsidRPr="00FC45E9">
        <w:rPr>
          <w:rFonts w:cs="Arial"/>
        </w:rPr>
        <w:t xml:space="preserve"> </w:t>
      </w:r>
      <w:r>
        <w:rPr>
          <w:rFonts w:cs="Arial"/>
        </w:rPr>
        <w:t xml:space="preserve">developers, via their </w:t>
      </w:r>
      <w:r w:rsidRPr="00FC45E9">
        <w:rPr>
          <w:rFonts w:cs="Arial"/>
        </w:rPr>
        <w:t>websites</w:t>
      </w:r>
      <w:r w:rsidR="00AF481A">
        <w:rPr>
          <w:rFonts w:cs="Arial"/>
        </w:rPr>
        <w:t xml:space="preserve">, </w:t>
      </w:r>
      <w:r>
        <w:rPr>
          <w:rFonts w:cs="Arial"/>
        </w:rPr>
        <w:t>newsletters</w:t>
      </w:r>
      <w:r w:rsidR="00AF481A">
        <w:rPr>
          <w:rFonts w:cs="Arial"/>
        </w:rPr>
        <w:t xml:space="preserve">, </w:t>
      </w:r>
      <w:r>
        <w:rPr>
          <w:rFonts w:cs="Arial"/>
        </w:rPr>
        <w:t>public meetings</w:t>
      </w:r>
      <w:r w:rsidR="00AF481A">
        <w:rPr>
          <w:rFonts w:cs="Arial"/>
        </w:rPr>
        <w:t xml:space="preserve"> and direct contact </w:t>
      </w:r>
      <w:r w:rsidRPr="00FC45E9">
        <w:rPr>
          <w:rFonts w:cs="Arial"/>
        </w:rPr>
        <w:t>vary</w:t>
      </w:r>
      <w:r>
        <w:rPr>
          <w:rFonts w:cs="Arial"/>
        </w:rPr>
        <w:t xml:space="preserve"> </w:t>
      </w:r>
      <w:r w:rsidR="00AF481A">
        <w:rPr>
          <w:rFonts w:cs="Arial"/>
        </w:rPr>
        <w:t xml:space="preserve">between </w:t>
      </w:r>
      <w:r>
        <w:rPr>
          <w:rFonts w:cs="Arial"/>
        </w:rPr>
        <w:t>project</w:t>
      </w:r>
      <w:r w:rsidR="00AF481A">
        <w:rPr>
          <w:rFonts w:cs="Arial"/>
        </w:rPr>
        <w:t>s</w:t>
      </w:r>
      <w:r>
        <w:rPr>
          <w:rFonts w:cs="Arial"/>
        </w:rPr>
        <w:t xml:space="preserve"> and/or developer</w:t>
      </w:r>
      <w:r w:rsidR="00AF481A">
        <w:rPr>
          <w:rFonts w:cs="Arial"/>
        </w:rPr>
        <w:t>s.</w:t>
      </w:r>
    </w:p>
    <w:p w14:paraId="07F384A1" w14:textId="4946E81D" w:rsidR="00C66F7A" w:rsidRDefault="00C26E76" w:rsidP="00C66F7A">
      <w:pPr>
        <w:pStyle w:val="ListParagraph"/>
        <w:numPr>
          <w:ilvl w:val="0"/>
          <w:numId w:val="0"/>
        </w:numPr>
        <w:spacing w:line="264" w:lineRule="auto"/>
        <w:ind w:left="360"/>
        <w:rPr>
          <w:rFonts w:cs="Arial"/>
        </w:rPr>
      </w:pPr>
      <w:r>
        <w:rPr>
          <w:rFonts w:cs="Arial"/>
        </w:rPr>
        <w:t>D</w:t>
      </w:r>
      <w:r w:rsidR="00C66F7A" w:rsidRPr="00FC45E9">
        <w:rPr>
          <w:rFonts w:cs="Arial"/>
        </w:rPr>
        <w:t>evelopers</w:t>
      </w:r>
      <w:r>
        <w:rPr>
          <w:rFonts w:cs="Arial"/>
        </w:rPr>
        <w:t xml:space="preserve"> should ensure that they</w:t>
      </w:r>
      <w:r w:rsidR="00C66F7A" w:rsidRPr="00FC45E9">
        <w:rPr>
          <w:rFonts w:cs="Arial"/>
        </w:rPr>
        <w:t xml:space="preserve"> provid</w:t>
      </w:r>
      <w:r>
        <w:rPr>
          <w:rFonts w:cs="Arial"/>
        </w:rPr>
        <w:t>e</w:t>
      </w:r>
      <w:r w:rsidR="00C66F7A" w:rsidRPr="00FC45E9">
        <w:rPr>
          <w:rFonts w:cs="Arial"/>
        </w:rPr>
        <w:t xml:space="preserve"> up-to-date websites with clear information about the developer, project, </w:t>
      </w:r>
      <w:r w:rsidR="00C66F7A">
        <w:rPr>
          <w:rFonts w:cs="Arial"/>
        </w:rPr>
        <w:t xml:space="preserve">current news, </w:t>
      </w:r>
      <w:r>
        <w:rPr>
          <w:rFonts w:cs="Arial"/>
        </w:rPr>
        <w:t>contact details</w:t>
      </w:r>
      <w:r w:rsidR="00C66F7A" w:rsidRPr="00FC45E9">
        <w:rPr>
          <w:rFonts w:cs="Arial"/>
        </w:rPr>
        <w:t xml:space="preserve">, </w:t>
      </w:r>
      <w:r>
        <w:rPr>
          <w:rFonts w:cs="Arial"/>
        </w:rPr>
        <w:t xml:space="preserve">complaint processes and project </w:t>
      </w:r>
      <w:r w:rsidR="006E499A">
        <w:rPr>
          <w:rFonts w:cs="Arial"/>
        </w:rPr>
        <w:t>documents, including</w:t>
      </w:r>
      <w:r w:rsidR="00C66F7A">
        <w:rPr>
          <w:rFonts w:cs="Arial"/>
        </w:rPr>
        <w:t xml:space="preserve"> planning approvals.</w:t>
      </w:r>
      <w:r w:rsidR="00C66F7A" w:rsidRPr="00FC45E9">
        <w:rPr>
          <w:rFonts w:cs="Arial"/>
        </w:rPr>
        <w:t xml:space="preserve"> </w:t>
      </w:r>
    </w:p>
    <w:p w14:paraId="2433D78D" w14:textId="77777777" w:rsidR="00C66F7A" w:rsidRDefault="00C66F7A" w:rsidP="00C66F7A">
      <w:pPr>
        <w:pStyle w:val="ListParagraph"/>
        <w:numPr>
          <w:ilvl w:val="0"/>
          <w:numId w:val="0"/>
        </w:numPr>
        <w:spacing w:line="264" w:lineRule="auto"/>
        <w:ind w:left="360"/>
        <w:rPr>
          <w:rFonts w:cs="Arial"/>
        </w:rPr>
      </w:pPr>
    </w:p>
    <w:p w14:paraId="73E10580" w14:textId="6522F1F0" w:rsidR="00C66F7A" w:rsidRDefault="00C66F7A" w:rsidP="00C66F7A">
      <w:pPr>
        <w:pStyle w:val="ListParagraph"/>
        <w:numPr>
          <w:ilvl w:val="0"/>
          <w:numId w:val="0"/>
        </w:numPr>
        <w:spacing w:line="264" w:lineRule="auto"/>
        <w:ind w:left="360"/>
        <w:rPr>
          <w:rFonts w:cs="Arial"/>
        </w:rPr>
      </w:pPr>
      <w:r>
        <w:rPr>
          <w:rFonts w:cs="Arial"/>
        </w:rPr>
        <w:lastRenderedPageBreak/>
        <w:t>While most projects and developers now maintain reasonably effective project websites, s</w:t>
      </w:r>
      <w:r w:rsidRPr="00FC45E9">
        <w:rPr>
          <w:rFonts w:cs="Arial"/>
        </w:rPr>
        <w:t xml:space="preserve">ome project websites </w:t>
      </w:r>
      <w:r>
        <w:rPr>
          <w:rFonts w:cs="Arial"/>
        </w:rPr>
        <w:t xml:space="preserve">remain </w:t>
      </w:r>
      <w:r w:rsidRPr="00FC45E9">
        <w:rPr>
          <w:rFonts w:cs="Arial"/>
        </w:rPr>
        <w:t>difficult to find</w:t>
      </w:r>
      <w:r>
        <w:rPr>
          <w:rFonts w:cs="Arial"/>
        </w:rPr>
        <w:t xml:space="preserve">, are out of date </w:t>
      </w:r>
      <w:r w:rsidRPr="00FC45E9">
        <w:rPr>
          <w:rFonts w:cs="Arial"/>
        </w:rPr>
        <w:t xml:space="preserve">or </w:t>
      </w:r>
      <w:r>
        <w:rPr>
          <w:rFonts w:cs="Arial"/>
        </w:rPr>
        <w:t>lack sufficient information and easy navigation</w:t>
      </w:r>
      <w:r w:rsidRPr="00FC45E9">
        <w:rPr>
          <w:rFonts w:cs="Arial"/>
        </w:rPr>
        <w:t>.</w:t>
      </w:r>
      <w:r>
        <w:rPr>
          <w:rFonts w:cs="Arial"/>
        </w:rPr>
        <w:t xml:space="preserve"> Not surprisingly, there is a high degree of correlation between poor communications</w:t>
      </w:r>
      <w:r w:rsidR="00C26E76">
        <w:rPr>
          <w:rFonts w:cs="Arial"/>
        </w:rPr>
        <w:t xml:space="preserve"> and </w:t>
      </w:r>
      <w:r>
        <w:rPr>
          <w:rFonts w:cs="Arial"/>
        </w:rPr>
        <w:t xml:space="preserve">website quality </w:t>
      </w:r>
      <w:r w:rsidR="00C26E76">
        <w:rPr>
          <w:rFonts w:cs="Arial"/>
        </w:rPr>
        <w:t xml:space="preserve">with </w:t>
      </w:r>
      <w:r>
        <w:rPr>
          <w:rFonts w:cs="Arial"/>
        </w:rPr>
        <w:t>poor community support for the project.</w:t>
      </w:r>
    </w:p>
    <w:p w14:paraId="1A9CF211" w14:textId="40B43A68" w:rsidR="00C66F7A" w:rsidRDefault="00C26E76" w:rsidP="00C66F7A">
      <w:pPr>
        <w:pStyle w:val="ListParagraph"/>
        <w:numPr>
          <w:ilvl w:val="0"/>
          <w:numId w:val="0"/>
        </w:numPr>
        <w:spacing w:line="264" w:lineRule="auto"/>
        <w:ind w:left="360"/>
        <w:rPr>
          <w:rFonts w:cs="Arial"/>
        </w:rPr>
      </w:pPr>
      <w:r>
        <w:rPr>
          <w:rFonts w:cs="Arial"/>
        </w:rPr>
        <w:t>Developers should consider engaging with media</w:t>
      </w:r>
      <w:r w:rsidR="00C66F7A">
        <w:rPr>
          <w:rFonts w:cs="Arial"/>
        </w:rPr>
        <w:t xml:space="preserve">, such as local newspapers, to convey </w:t>
      </w:r>
      <w:r>
        <w:rPr>
          <w:rFonts w:cs="Arial"/>
        </w:rPr>
        <w:t xml:space="preserve">accurate </w:t>
      </w:r>
      <w:r w:rsidR="00C66F7A">
        <w:rPr>
          <w:rFonts w:cs="Arial"/>
        </w:rPr>
        <w:t>information and updates about the project</w:t>
      </w:r>
      <w:r>
        <w:rPr>
          <w:rFonts w:cs="Arial"/>
        </w:rPr>
        <w:t>. Positive media engagement</w:t>
      </w:r>
      <w:r w:rsidR="00C66F7A">
        <w:rPr>
          <w:rFonts w:cs="Arial"/>
        </w:rPr>
        <w:t xml:space="preserve"> can be an extremely effective way to communicate with the broader community. Conversely, poor media relations </w:t>
      </w:r>
      <w:r>
        <w:rPr>
          <w:rFonts w:cs="Arial"/>
        </w:rPr>
        <w:t xml:space="preserve">and negative media reports, especially in mainstream and national media, </w:t>
      </w:r>
      <w:r w:rsidR="00C66F7A">
        <w:rPr>
          <w:rFonts w:cs="Arial"/>
        </w:rPr>
        <w:t xml:space="preserve">can be hugely detrimental </w:t>
      </w:r>
      <w:r>
        <w:rPr>
          <w:rFonts w:cs="Arial"/>
        </w:rPr>
        <w:t xml:space="preserve">to the project </w:t>
      </w:r>
      <w:r w:rsidR="00C66F7A">
        <w:rPr>
          <w:rFonts w:cs="Arial"/>
        </w:rPr>
        <w:t xml:space="preserve">and may fuel those </w:t>
      </w:r>
      <w:r>
        <w:rPr>
          <w:rFonts w:cs="Arial"/>
        </w:rPr>
        <w:t xml:space="preserve">in opposition to </w:t>
      </w:r>
      <w:r w:rsidR="00C66F7A">
        <w:rPr>
          <w:rFonts w:cs="Arial"/>
        </w:rPr>
        <w:t>the project.</w:t>
      </w:r>
    </w:p>
    <w:p w14:paraId="11FF45AE" w14:textId="5545A2C9" w:rsidR="00C66F7A" w:rsidRDefault="00C66F7A" w:rsidP="00C66F7A">
      <w:pPr>
        <w:pStyle w:val="ListParagraph"/>
        <w:numPr>
          <w:ilvl w:val="0"/>
          <w:numId w:val="0"/>
        </w:numPr>
        <w:spacing w:line="264" w:lineRule="auto"/>
        <w:ind w:left="360"/>
        <w:rPr>
          <w:rFonts w:cs="Arial"/>
        </w:rPr>
      </w:pPr>
      <w:r>
        <w:rPr>
          <w:rFonts w:cs="Arial"/>
        </w:rPr>
        <w:t>The quality of written correspondence from developers to community members varies widely.  Developers should take the time to carefully review correspondence (</w:t>
      </w:r>
      <w:r w:rsidR="00DC2D67">
        <w:rPr>
          <w:rFonts w:cs="Arial"/>
        </w:rPr>
        <w:t xml:space="preserve">including </w:t>
      </w:r>
      <w:r>
        <w:rPr>
          <w:rFonts w:cs="Arial"/>
        </w:rPr>
        <w:t>letters, emails, news updates</w:t>
      </w:r>
      <w:r w:rsidR="00DC2D67">
        <w:rPr>
          <w:rFonts w:cs="Arial"/>
        </w:rPr>
        <w:t xml:space="preserve"> and</w:t>
      </w:r>
      <w:r>
        <w:rPr>
          <w:rFonts w:cs="Arial"/>
        </w:rPr>
        <w:t xml:space="preserve"> flyers) to ensure </w:t>
      </w:r>
      <w:r w:rsidR="00DC2D67">
        <w:rPr>
          <w:rFonts w:cs="Arial"/>
        </w:rPr>
        <w:t xml:space="preserve">that </w:t>
      </w:r>
      <w:r>
        <w:rPr>
          <w:rFonts w:cs="Arial"/>
        </w:rPr>
        <w:t>it is clear in its message and objective.</w:t>
      </w:r>
    </w:p>
    <w:p w14:paraId="0920CCFA" w14:textId="710723F4" w:rsidR="00C66F7A" w:rsidRPr="00FC45E9" w:rsidRDefault="00C66F7A" w:rsidP="00C66F7A">
      <w:pPr>
        <w:pStyle w:val="ListParagraph"/>
        <w:numPr>
          <w:ilvl w:val="0"/>
          <w:numId w:val="0"/>
        </w:numPr>
        <w:spacing w:line="264" w:lineRule="auto"/>
        <w:ind w:left="360"/>
        <w:rPr>
          <w:rFonts w:cs="Arial"/>
        </w:rPr>
      </w:pPr>
      <w:r>
        <w:rPr>
          <w:rFonts w:cs="Arial"/>
        </w:rPr>
        <w:t xml:space="preserve">It is also possible </w:t>
      </w:r>
      <w:r w:rsidR="00DC2D67">
        <w:rPr>
          <w:rFonts w:cs="Arial"/>
        </w:rPr>
        <w:t xml:space="preserve">for developers </w:t>
      </w:r>
      <w:r>
        <w:rPr>
          <w:rFonts w:cs="Arial"/>
        </w:rPr>
        <w:t xml:space="preserve">to </w:t>
      </w:r>
      <w:r w:rsidR="00E32E50">
        <w:rPr>
          <w:rFonts w:cs="Arial"/>
        </w:rPr>
        <w:t>‘</w:t>
      </w:r>
      <w:r>
        <w:rPr>
          <w:rFonts w:cs="Arial"/>
        </w:rPr>
        <w:t>over-engage</w:t>
      </w:r>
      <w:r w:rsidR="00E32E50">
        <w:rPr>
          <w:rFonts w:cs="Arial"/>
        </w:rPr>
        <w:t>’</w:t>
      </w:r>
      <w:r>
        <w:rPr>
          <w:rFonts w:cs="Arial"/>
        </w:rPr>
        <w:t xml:space="preserve"> with the community</w:t>
      </w:r>
      <w:r w:rsidR="00DC2D67">
        <w:rPr>
          <w:rFonts w:cs="Arial"/>
        </w:rPr>
        <w:t xml:space="preserve"> and cause </w:t>
      </w:r>
      <w:r>
        <w:rPr>
          <w:rFonts w:cs="Arial"/>
        </w:rPr>
        <w:t xml:space="preserve">engagement fatigue.  The community will </w:t>
      </w:r>
      <w:r w:rsidR="00DC2D67">
        <w:rPr>
          <w:rFonts w:cs="Arial"/>
        </w:rPr>
        <w:t xml:space="preserve">generally </w:t>
      </w:r>
      <w:r>
        <w:rPr>
          <w:rFonts w:cs="Arial"/>
        </w:rPr>
        <w:t xml:space="preserve">be interested in the project and keen to participate in engagement events.  </w:t>
      </w:r>
      <w:r w:rsidR="00DC2D67">
        <w:rPr>
          <w:rFonts w:cs="Arial"/>
        </w:rPr>
        <w:t xml:space="preserve">Developers need to take care when </w:t>
      </w:r>
      <w:r>
        <w:rPr>
          <w:rFonts w:cs="Arial"/>
        </w:rPr>
        <w:t xml:space="preserve">preparing </w:t>
      </w:r>
      <w:r w:rsidR="00DC2D67">
        <w:rPr>
          <w:rFonts w:cs="Arial"/>
        </w:rPr>
        <w:t xml:space="preserve">the engagement </w:t>
      </w:r>
      <w:r>
        <w:rPr>
          <w:rFonts w:cs="Arial"/>
        </w:rPr>
        <w:t>program to avoid repetition and duplication</w:t>
      </w:r>
      <w:r w:rsidR="00DC2D67">
        <w:rPr>
          <w:rFonts w:cs="Arial"/>
        </w:rPr>
        <w:t>.</w:t>
      </w:r>
    </w:p>
    <w:p w14:paraId="4A643F1A" w14:textId="77777777" w:rsidR="00C66F7A" w:rsidRPr="007A223C" w:rsidRDefault="00C66F7A" w:rsidP="00F25864">
      <w:pPr>
        <w:pStyle w:val="Heading3"/>
        <w:ind w:firstLine="360"/>
      </w:pPr>
      <w:bookmarkStart w:id="188" w:name="_Toc135390630"/>
      <w:r w:rsidRPr="007A223C">
        <w:t>Coordination</w:t>
      </w:r>
      <w:bookmarkEnd w:id="188"/>
    </w:p>
    <w:p w14:paraId="02D5AFB3" w14:textId="6B814FC5" w:rsidR="00C66F7A" w:rsidRDefault="00C66F7A" w:rsidP="00C66F7A">
      <w:pPr>
        <w:spacing w:line="264" w:lineRule="auto"/>
        <w:ind w:left="369" w:hanging="9"/>
        <w:rPr>
          <w:rFonts w:cs="Arial"/>
        </w:rPr>
      </w:pPr>
      <w:r w:rsidRPr="00FC45E9">
        <w:rPr>
          <w:rFonts w:cs="Arial"/>
        </w:rPr>
        <w:t xml:space="preserve">Some regions of Australia are experiencing increased clustering of </w:t>
      </w:r>
      <w:r>
        <w:rPr>
          <w:rFonts w:cs="Arial"/>
        </w:rPr>
        <w:t>projects</w:t>
      </w:r>
      <w:r w:rsidR="00541EDF">
        <w:rPr>
          <w:rFonts w:cs="Arial"/>
        </w:rPr>
        <w:t xml:space="preserve">, </w:t>
      </w:r>
      <w:r w:rsidRPr="00FC45E9">
        <w:rPr>
          <w:rFonts w:cs="Arial"/>
        </w:rPr>
        <w:t xml:space="preserve">which may result in </w:t>
      </w:r>
      <w:r w:rsidR="00541EDF">
        <w:rPr>
          <w:rFonts w:cs="Arial"/>
        </w:rPr>
        <w:t xml:space="preserve">community sentiment that </w:t>
      </w:r>
      <w:r>
        <w:rPr>
          <w:rFonts w:cs="Arial"/>
        </w:rPr>
        <w:t xml:space="preserve">projects </w:t>
      </w:r>
      <w:r w:rsidR="00541EDF">
        <w:rPr>
          <w:rFonts w:cs="Arial"/>
        </w:rPr>
        <w:t xml:space="preserve">are </w:t>
      </w:r>
      <w:r>
        <w:rPr>
          <w:rFonts w:cs="Arial"/>
        </w:rPr>
        <w:t xml:space="preserve">infiltrating and </w:t>
      </w:r>
      <w:r w:rsidR="00541EDF">
        <w:rPr>
          <w:rFonts w:cs="Arial"/>
        </w:rPr>
        <w:t>‘</w:t>
      </w:r>
      <w:r w:rsidRPr="00FC45E9">
        <w:rPr>
          <w:rFonts w:cs="Arial"/>
        </w:rPr>
        <w:t>surrounding</w:t>
      </w:r>
      <w:r>
        <w:rPr>
          <w:rFonts w:cs="Arial"/>
        </w:rPr>
        <w:t>’</w:t>
      </w:r>
      <w:r w:rsidRPr="00FC45E9">
        <w:rPr>
          <w:rFonts w:cs="Arial"/>
        </w:rPr>
        <w:t xml:space="preserve"> communities. </w:t>
      </w:r>
      <w:r>
        <w:rPr>
          <w:rFonts w:cs="Arial"/>
        </w:rPr>
        <w:t>The concept of Renewable Energy Zones, while largely beneficial to opening new areas for projects, may have this unintended consequence.</w:t>
      </w:r>
    </w:p>
    <w:p w14:paraId="5AC2250A" w14:textId="10BFDD5A" w:rsidR="00C66F7A" w:rsidRPr="00FC45E9" w:rsidRDefault="00C66F7A" w:rsidP="00C66F7A">
      <w:pPr>
        <w:spacing w:line="264" w:lineRule="auto"/>
        <w:ind w:left="369" w:hanging="9"/>
        <w:rPr>
          <w:rFonts w:cs="Arial"/>
        </w:rPr>
      </w:pPr>
      <w:r w:rsidRPr="00FC45E9">
        <w:rPr>
          <w:rFonts w:cs="Arial"/>
        </w:rPr>
        <w:t xml:space="preserve">As a result, </w:t>
      </w:r>
      <w:r w:rsidR="00541EDF">
        <w:rPr>
          <w:rFonts w:cs="Arial"/>
        </w:rPr>
        <w:t xml:space="preserve">individual project developers have both the need and opportunity to </w:t>
      </w:r>
      <w:r w:rsidRPr="00FC45E9">
        <w:rPr>
          <w:rFonts w:cs="Arial"/>
        </w:rPr>
        <w:t xml:space="preserve">communicate more effectively with other </w:t>
      </w:r>
      <w:r>
        <w:rPr>
          <w:rFonts w:cs="Arial"/>
        </w:rPr>
        <w:t xml:space="preserve">developers in the area and </w:t>
      </w:r>
      <w:r w:rsidRPr="00FC45E9">
        <w:rPr>
          <w:rFonts w:cs="Arial"/>
        </w:rPr>
        <w:t xml:space="preserve">better coordinate engagement with the affected community. </w:t>
      </w:r>
      <w:r w:rsidR="00541EDF">
        <w:rPr>
          <w:rFonts w:cs="Arial"/>
        </w:rPr>
        <w:t xml:space="preserve">Developers have the opportunity to collaborate on </w:t>
      </w:r>
      <w:r>
        <w:rPr>
          <w:rFonts w:cs="Arial"/>
        </w:rPr>
        <w:t>community engagement</w:t>
      </w:r>
      <w:r w:rsidR="00541EDF">
        <w:rPr>
          <w:rFonts w:cs="Arial"/>
        </w:rPr>
        <w:t xml:space="preserve">, </w:t>
      </w:r>
      <w:r>
        <w:rPr>
          <w:rFonts w:cs="Arial"/>
        </w:rPr>
        <w:t xml:space="preserve">communication </w:t>
      </w:r>
      <w:r w:rsidR="00541EDF">
        <w:rPr>
          <w:rFonts w:cs="Arial"/>
        </w:rPr>
        <w:t>and</w:t>
      </w:r>
      <w:r w:rsidRPr="00FC45E9">
        <w:rPr>
          <w:rFonts w:cs="Arial"/>
        </w:rPr>
        <w:t xml:space="preserve"> </w:t>
      </w:r>
      <w:r>
        <w:rPr>
          <w:rFonts w:cs="Arial"/>
        </w:rPr>
        <w:t xml:space="preserve">multiple </w:t>
      </w:r>
      <w:r w:rsidRPr="00FC45E9">
        <w:rPr>
          <w:rFonts w:cs="Arial"/>
        </w:rPr>
        <w:t xml:space="preserve">construction programs to minimise cumulative impacts on residents and townships. </w:t>
      </w:r>
    </w:p>
    <w:p w14:paraId="6513E79F" w14:textId="69AE05AE" w:rsidR="00C66F7A" w:rsidRPr="00FC45E9" w:rsidRDefault="00C66F7A" w:rsidP="00C66F7A">
      <w:pPr>
        <w:spacing w:line="264" w:lineRule="auto"/>
        <w:ind w:left="369" w:hanging="9"/>
        <w:rPr>
          <w:rFonts w:cs="Arial"/>
        </w:rPr>
      </w:pPr>
      <w:r w:rsidRPr="00FC45E9">
        <w:rPr>
          <w:rFonts w:cs="Arial"/>
        </w:rPr>
        <w:t xml:space="preserve">Developers should also be aware of other key infrastructure projects that may be taking place </w:t>
      </w:r>
      <w:r>
        <w:rPr>
          <w:rFonts w:cs="Arial"/>
        </w:rPr>
        <w:t>with</w:t>
      </w:r>
      <w:r w:rsidRPr="00FC45E9">
        <w:rPr>
          <w:rFonts w:cs="Arial"/>
        </w:rPr>
        <w:t xml:space="preserve">in </w:t>
      </w:r>
      <w:r>
        <w:rPr>
          <w:rFonts w:cs="Arial"/>
        </w:rPr>
        <w:t xml:space="preserve">the </w:t>
      </w:r>
      <w:r w:rsidRPr="00FC45E9">
        <w:rPr>
          <w:rFonts w:cs="Arial"/>
        </w:rPr>
        <w:t>region</w:t>
      </w:r>
      <w:r>
        <w:rPr>
          <w:rFonts w:cs="Arial"/>
        </w:rPr>
        <w:t>, such as major infrastructure and road works,</w:t>
      </w:r>
      <w:r w:rsidRPr="00FC45E9">
        <w:rPr>
          <w:rFonts w:cs="Arial"/>
        </w:rPr>
        <w:t xml:space="preserve"> </w:t>
      </w:r>
      <w:r>
        <w:rPr>
          <w:rFonts w:cs="Arial"/>
        </w:rPr>
        <w:t>to</w:t>
      </w:r>
      <w:r w:rsidRPr="00FC45E9">
        <w:rPr>
          <w:rFonts w:cs="Arial"/>
        </w:rPr>
        <w:t xml:space="preserve"> ensure that</w:t>
      </w:r>
      <w:r>
        <w:rPr>
          <w:rFonts w:cs="Arial"/>
        </w:rPr>
        <w:t xml:space="preserve"> where practical,</w:t>
      </w:r>
      <w:r w:rsidRPr="00FC45E9">
        <w:rPr>
          <w:rFonts w:cs="Arial"/>
        </w:rPr>
        <w:t xml:space="preserve"> project </w:t>
      </w:r>
      <w:r>
        <w:rPr>
          <w:rFonts w:cs="Arial"/>
        </w:rPr>
        <w:t xml:space="preserve">construction </w:t>
      </w:r>
      <w:r w:rsidR="00541EDF">
        <w:rPr>
          <w:rFonts w:cs="Arial"/>
        </w:rPr>
        <w:t>is</w:t>
      </w:r>
      <w:r w:rsidRPr="00FC45E9">
        <w:rPr>
          <w:rFonts w:cs="Arial"/>
        </w:rPr>
        <w:t xml:space="preserve"> planned and coordinated to minimise </w:t>
      </w:r>
      <w:r>
        <w:rPr>
          <w:rFonts w:cs="Arial"/>
        </w:rPr>
        <w:t xml:space="preserve">unnecessary cumulative </w:t>
      </w:r>
      <w:r w:rsidRPr="00FC45E9">
        <w:rPr>
          <w:rFonts w:cs="Arial"/>
        </w:rPr>
        <w:t>impacts to communities.</w:t>
      </w:r>
    </w:p>
    <w:p w14:paraId="47A99A53" w14:textId="77777777" w:rsidR="00C66F7A" w:rsidRPr="007A223C" w:rsidRDefault="00C66F7A" w:rsidP="00F25864">
      <w:pPr>
        <w:pStyle w:val="Heading3"/>
        <w:ind w:firstLine="360"/>
      </w:pPr>
      <w:bookmarkStart w:id="189" w:name="_Toc135390631"/>
      <w:r w:rsidRPr="007A223C">
        <w:t>Engagement Best Practice Guidelines</w:t>
      </w:r>
      <w:bookmarkEnd w:id="189"/>
    </w:p>
    <w:p w14:paraId="50923AA4" w14:textId="541CCC36" w:rsidR="00C66F7A" w:rsidRDefault="00C66F7A" w:rsidP="00C66F7A">
      <w:pPr>
        <w:pStyle w:val="ListParagraph"/>
        <w:numPr>
          <w:ilvl w:val="0"/>
          <w:numId w:val="0"/>
        </w:numPr>
        <w:spacing w:line="264" w:lineRule="auto"/>
        <w:ind w:left="360"/>
        <w:rPr>
          <w:rFonts w:cs="Arial"/>
        </w:rPr>
      </w:pPr>
      <w:r>
        <w:rPr>
          <w:rFonts w:cs="Arial"/>
        </w:rPr>
        <w:t>Several</w:t>
      </w:r>
      <w:r w:rsidRPr="00FC45E9">
        <w:rPr>
          <w:rFonts w:cs="Arial"/>
        </w:rPr>
        <w:t xml:space="preserve"> community engagement publications </w:t>
      </w:r>
      <w:r>
        <w:rPr>
          <w:rFonts w:cs="Arial"/>
        </w:rPr>
        <w:t>have been</w:t>
      </w:r>
      <w:r w:rsidRPr="00FC45E9">
        <w:rPr>
          <w:rFonts w:cs="Arial"/>
        </w:rPr>
        <w:t xml:space="preserve"> issued or updated</w:t>
      </w:r>
      <w:r>
        <w:rPr>
          <w:rFonts w:cs="Arial"/>
        </w:rPr>
        <w:t xml:space="preserve"> in recent times</w:t>
      </w:r>
      <w:r w:rsidRPr="00FC45E9">
        <w:rPr>
          <w:rFonts w:cs="Arial"/>
        </w:rPr>
        <w:t>, including publications by the Clean Energy Council</w:t>
      </w:r>
      <w:r>
        <w:rPr>
          <w:rFonts w:cs="Arial"/>
        </w:rPr>
        <w:t xml:space="preserve">, </w:t>
      </w:r>
      <w:r w:rsidRPr="00FC45E9">
        <w:rPr>
          <w:rFonts w:cs="Arial"/>
        </w:rPr>
        <w:t xml:space="preserve">Victorian </w:t>
      </w:r>
      <w:r>
        <w:rPr>
          <w:rFonts w:cs="Arial"/>
        </w:rPr>
        <w:t xml:space="preserve">and Tasmanian </w:t>
      </w:r>
      <w:r w:rsidRPr="00FC45E9">
        <w:rPr>
          <w:rFonts w:cs="Arial"/>
        </w:rPr>
        <w:t>Government</w:t>
      </w:r>
      <w:r>
        <w:rPr>
          <w:rFonts w:cs="Arial"/>
        </w:rPr>
        <w:t>s</w:t>
      </w:r>
      <w:r w:rsidRPr="00FC45E9">
        <w:rPr>
          <w:rFonts w:cs="Arial"/>
        </w:rPr>
        <w:t xml:space="preserve">. These </w:t>
      </w:r>
      <w:r>
        <w:rPr>
          <w:rFonts w:cs="Arial"/>
        </w:rPr>
        <w:t xml:space="preserve">guidelines </w:t>
      </w:r>
      <w:r w:rsidRPr="00FC45E9">
        <w:rPr>
          <w:rFonts w:cs="Arial"/>
        </w:rPr>
        <w:t xml:space="preserve">are useful resources to assist developers </w:t>
      </w:r>
      <w:r w:rsidR="0060769A">
        <w:rPr>
          <w:rFonts w:cs="Arial"/>
        </w:rPr>
        <w:t xml:space="preserve">to </w:t>
      </w:r>
      <w:r>
        <w:rPr>
          <w:rFonts w:cs="Arial"/>
        </w:rPr>
        <w:t xml:space="preserve">plan, </w:t>
      </w:r>
      <w:r w:rsidRPr="00FC45E9">
        <w:rPr>
          <w:rFonts w:cs="Arial"/>
        </w:rPr>
        <w:t xml:space="preserve">prepare and execute effective engagement programs. </w:t>
      </w:r>
    </w:p>
    <w:p w14:paraId="14E09347" w14:textId="0F648B6B" w:rsidR="00C66F7A" w:rsidRPr="00FC45E9" w:rsidRDefault="00C66F7A" w:rsidP="00C66F7A">
      <w:pPr>
        <w:pStyle w:val="ListParagraph"/>
        <w:numPr>
          <w:ilvl w:val="0"/>
          <w:numId w:val="0"/>
        </w:numPr>
        <w:spacing w:line="264" w:lineRule="auto"/>
        <w:ind w:left="360"/>
        <w:rPr>
          <w:rFonts w:cs="Arial"/>
        </w:rPr>
      </w:pPr>
      <w:r w:rsidRPr="00FC45E9">
        <w:rPr>
          <w:rFonts w:cs="Arial"/>
        </w:rPr>
        <w:t>Community engagement plans are now required in some planning permit</w:t>
      </w:r>
      <w:r>
        <w:rPr>
          <w:rFonts w:cs="Arial"/>
        </w:rPr>
        <w:t xml:space="preserve"> application</w:t>
      </w:r>
      <w:r w:rsidRPr="00FC45E9">
        <w:rPr>
          <w:rFonts w:cs="Arial"/>
        </w:rPr>
        <w:t>s.</w:t>
      </w:r>
      <w:r>
        <w:rPr>
          <w:rFonts w:cs="Arial"/>
        </w:rPr>
        <w:t xml:space="preserve"> Other stakeholders may also mandate the requirement for a well-designed and executed community engagement plan, including investors and providers of finance.</w:t>
      </w:r>
    </w:p>
    <w:p w14:paraId="067EBB47" w14:textId="59BD4F2F" w:rsidR="00C66F7A" w:rsidRDefault="00C66F7A" w:rsidP="00C66F7A">
      <w:pPr>
        <w:pStyle w:val="ListParagraph"/>
        <w:numPr>
          <w:ilvl w:val="0"/>
          <w:numId w:val="0"/>
        </w:numPr>
        <w:spacing w:line="264" w:lineRule="auto"/>
        <w:ind w:left="360"/>
        <w:rPr>
          <w:rFonts w:cs="Arial"/>
        </w:rPr>
      </w:pPr>
      <w:r w:rsidRPr="00FC45E9">
        <w:rPr>
          <w:rFonts w:cs="Arial"/>
        </w:rPr>
        <w:t xml:space="preserve">Overall, there continues to be a wide range of opportunities for developers to broaden and improve </w:t>
      </w:r>
      <w:r>
        <w:rPr>
          <w:rFonts w:cs="Arial"/>
        </w:rPr>
        <w:t xml:space="preserve">their </w:t>
      </w:r>
      <w:r w:rsidRPr="00FC45E9">
        <w:rPr>
          <w:rFonts w:cs="Arial"/>
        </w:rPr>
        <w:t>community engagement</w:t>
      </w:r>
      <w:r>
        <w:rPr>
          <w:rFonts w:cs="Arial"/>
        </w:rPr>
        <w:t>.</w:t>
      </w:r>
      <w:r w:rsidRPr="00FC45E9">
        <w:rPr>
          <w:rFonts w:cs="Arial"/>
        </w:rPr>
        <w:t xml:space="preserve"> </w:t>
      </w:r>
      <w:r w:rsidR="0060769A">
        <w:rPr>
          <w:rFonts w:cs="Arial"/>
        </w:rPr>
        <w:t>The Commissioner’s s</w:t>
      </w:r>
      <w:r w:rsidRPr="00FC45E9">
        <w:rPr>
          <w:rFonts w:cs="Arial"/>
        </w:rPr>
        <w:t xml:space="preserve">uggestions </w:t>
      </w:r>
      <w:r>
        <w:rPr>
          <w:rFonts w:cs="Arial"/>
        </w:rPr>
        <w:t xml:space="preserve">and recommendations </w:t>
      </w:r>
      <w:r w:rsidRPr="00FC45E9">
        <w:rPr>
          <w:rFonts w:cs="Arial"/>
        </w:rPr>
        <w:t>are listed</w:t>
      </w:r>
      <w:r>
        <w:rPr>
          <w:rFonts w:cs="Arial"/>
        </w:rPr>
        <w:t xml:space="preserve"> below</w:t>
      </w:r>
      <w:r w:rsidRPr="00FC45E9">
        <w:rPr>
          <w:rFonts w:cs="Arial"/>
        </w:rPr>
        <w:t>.</w:t>
      </w:r>
    </w:p>
    <w:p w14:paraId="46E333E9" w14:textId="77777777" w:rsidR="00C66F7A" w:rsidRPr="007A223C" w:rsidRDefault="00C66F7A" w:rsidP="00F25864">
      <w:pPr>
        <w:pStyle w:val="Heading3"/>
        <w:ind w:firstLine="360"/>
      </w:pPr>
      <w:bookmarkStart w:id="190" w:name="_Toc135390632"/>
      <w:r w:rsidRPr="007A223C">
        <w:t>Transmission Considerations</w:t>
      </w:r>
      <w:bookmarkEnd w:id="190"/>
    </w:p>
    <w:p w14:paraId="154B566D" w14:textId="43D041E6" w:rsidR="00C66F7A" w:rsidRDefault="00996A1F" w:rsidP="00C66F7A">
      <w:pPr>
        <w:pStyle w:val="ListParagraph"/>
        <w:numPr>
          <w:ilvl w:val="0"/>
          <w:numId w:val="0"/>
        </w:numPr>
        <w:spacing w:line="264" w:lineRule="auto"/>
        <w:ind w:left="360"/>
        <w:rPr>
          <w:rFonts w:cs="Arial"/>
        </w:rPr>
      </w:pPr>
      <w:r>
        <w:rPr>
          <w:rFonts w:cs="Arial"/>
        </w:rPr>
        <w:t>Community engagement programs for t</w:t>
      </w:r>
      <w:r w:rsidR="00C66F7A">
        <w:rPr>
          <w:rFonts w:cs="Arial"/>
        </w:rPr>
        <w:t xml:space="preserve">ransmission projects have different nuances compared to </w:t>
      </w:r>
      <w:r>
        <w:rPr>
          <w:rFonts w:cs="Arial"/>
        </w:rPr>
        <w:t xml:space="preserve">other </w:t>
      </w:r>
      <w:r w:rsidR="00C66F7A">
        <w:rPr>
          <w:rFonts w:cs="Arial"/>
        </w:rPr>
        <w:t xml:space="preserve">renewable energy projects. Most notably, </w:t>
      </w:r>
      <w:r>
        <w:rPr>
          <w:rFonts w:cs="Arial"/>
        </w:rPr>
        <w:t>transmission projects are</w:t>
      </w:r>
      <w:r w:rsidR="00C66F7A">
        <w:rPr>
          <w:rFonts w:cs="Arial"/>
        </w:rPr>
        <w:t xml:space="preserve"> long, linear projects that traverse many communities, geographies</w:t>
      </w:r>
      <w:r>
        <w:rPr>
          <w:rFonts w:cs="Arial"/>
        </w:rPr>
        <w:t xml:space="preserve"> and different land use areas</w:t>
      </w:r>
      <w:r w:rsidR="00C66F7A">
        <w:rPr>
          <w:rFonts w:cs="Arial"/>
        </w:rPr>
        <w:t>. The</w:t>
      </w:r>
      <w:r>
        <w:rPr>
          <w:rFonts w:cs="Arial"/>
        </w:rPr>
        <w:t xml:space="preserve"> engagement programs described in this section therefore require </w:t>
      </w:r>
      <w:r w:rsidR="00C66F7A">
        <w:rPr>
          <w:rFonts w:cs="Arial"/>
        </w:rPr>
        <w:t xml:space="preserve">tailoring to be effective </w:t>
      </w:r>
      <w:r>
        <w:rPr>
          <w:rFonts w:cs="Arial"/>
        </w:rPr>
        <w:t xml:space="preserve">at </w:t>
      </w:r>
      <w:r w:rsidR="00C66F7A">
        <w:rPr>
          <w:rFonts w:cs="Arial"/>
        </w:rPr>
        <w:t xml:space="preserve">engaging and communicating with </w:t>
      </w:r>
      <w:r>
        <w:rPr>
          <w:rFonts w:cs="Arial"/>
        </w:rPr>
        <w:t xml:space="preserve">a </w:t>
      </w:r>
      <w:r w:rsidR="00C66F7A">
        <w:rPr>
          <w:rFonts w:cs="Arial"/>
        </w:rPr>
        <w:t xml:space="preserve">myriad </w:t>
      </w:r>
      <w:r>
        <w:rPr>
          <w:rFonts w:cs="Arial"/>
        </w:rPr>
        <w:t xml:space="preserve">of </w:t>
      </w:r>
      <w:r w:rsidR="00C66F7A">
        <w:rPr>
          <w:rFonts w:cs="Arial"/>
        </w:rPr>
        <w:t>affected communities.</w:t>
      </w:r>
    </w:p>
    <w:p w14:paraId="063F52D7" w14:textId="40B65E35" w:rsidR="00C66F7A" w:rsidRDefault="00C66F7A" w:rsidP="00C66F7A">
      <w:pPr>
        <w:pStyle w:val="ListParagraph"/>
        <w:numPr>
          <w:ilvl w:val="0"/>
          <w:numId w:val="0"/>
        </w:numPr>
        <w:spacing w:line="264" w:lineRule="auto"/>
        <w:ind w:left="360"/>
        <w:rPr>
          <w:rFonts w:eastAsia="Arial"/>
        </w:rPr>
      </w:pPr>
      <w:r>
        <w:rPr>
          <w:rFonts w:cs="Arial"/>
        </w:rPr>
        <w:lastRenderedPageBreak/>
        <w:t xml:space="preserve">While early engagement with the community is encouraged, </w:t>
      </w:r>
      <w:r w:rsidR="00996A1F">
        <w:rPr>
          <w:rFonts w:cs="Arial"/>
        </w:rPr>
        <w:t xml:space="preserve">going public too early </w:t>
      </w:r>
      <w:r>
        <w:rPr>
          <w:rFonts w:eastAsia="Arial"/>
          <w:color w:val="000000"/>
        </w:rPr>
        <w:t xml:space="preserve">may </w:t>
      </w:r>
      <w:r w:rsidR="00996A1F">
        <w:rPr>
          <w:rFonts w:eastAsia="Arial"/>
          <w:color w:val="000000"/>
        </w:rPr>
        <w:t>have</w:t>
      </w:r>
      <w:r>
        <w:rPr>
          <w:rFonts w:eastAsia="Arial"/>
          <w:color w:val="000000"/>
        </w:rPr>
        <w:t xml:space="preserve"> u</w:t>
      </w:r>
      <w:r w:rsidRPr="00E32755">
        <w:rPr>
          <w:rFonts w:eastAsia="Arial"/>
          <w:color w:val="000000"/>
        </w:rPr>
        <w:t>nintended consequences</w:t>
      </w:r>
      <w:r w:rsidR="00996A1F">
        <w:rPr>
          <w:rFonts w:eastAsia="Arial"/>
          <w:color w:val="000000"/>
        </w:rPr>
        <w:t>.</w:t>
      </w:r>
      <w:r>
        <w:rPr>
          <w:rFonts w:eastAsia="Arial"/>
          <w:color w:val="000000"/>
        </w:rPr>
        <w:t xml:space="preserve"> </w:t>
      </w:r>
      <w:r w:rsidR="00996A1F">
        <w:rPr>
          <w:rFonts w:eastAsia="Arial"/>
          <w:color w:val="000000"/>
        </w:rPr>
        <w:t>P</w:t>
      </w:r>
      <w:r>
        <w:rPr>
          <w:rFonts w:eastAsia="Arial"/>
          <w:color w:val="000000"/>
        </w:rPr>
        <w:t>resenting a ‘</w:t>
      </w:r>
      <w:r w:rsidRPr="00E32755">
        <w:rPr>
          <w:rFonts w:eastAsia="Arial"/>
          <w:color w:val="000000"/>
        </w:rPr>
        <w:t>multi-corridor</w:t>
      </w:r>
      <w:r>
        <w:rPr>
          <w:rFonts w:eastAsia="Arial"/>
          <w:color w:val="000000"/>
        </w:rPr>
        <w:t>’ option</w:t>
      </w:r>
      <w:r w:rsidRPr="00E32755">
        <w:rPr>
          <w:rFonts w:eastAsia="Arial"/>
          <w:color w:val="000000"/>
        </w:rPr>
        <w:t xml:space="preserve"> approach</w:t>
      </w:r>
      <w:r>
        <w:rPr>
          <w:rFonts w:eastAsia="Arial"/>
          <w:color w:val="000000"/>
        </w:rPr>
        <w:t xml:space="preserve"> to the broader community</w:t>
      </w:r>
      <w:r w:rsidR="00996A1F">
        <w:rPr>
          <w:rFonts w:eastAsia="Arial"/>
          <w:color w:val="000000"/>
        </w:rPr>
        <w:t xml:space="preserve"> and asking them</w:t>
      </w:r>
      <w:r>
        <w:rPr>
          <w:rFonts w:eastAsia="Arial"/>
          <w:color w:val="000000"/>
        </w:rPr>
        <w:t xml:space="preserve"> to</w:t>
      </w:r>
      <w:r w:rsidRPr="00A03611">
        <w:rPr>
          <w:rFonts w:eastAsia="Arial"/>
        </w:rPr>
        <w:t xml:space="preserve"> </w:t>
      </w:r>
      <w:r>
        <w:rPr>
          <w:rFonts w:eastAsia="Arial"/>
        </w:rPr>
        <w:t xml:space="preserve">help </w:t>
      </w:r>
      <w:r w:rsidRPr="00A03611">
        <w:rPr>
          <w:rFonts w:eastAsia="Arial"/>
        </w:rPr>
        <w:t xml:space="preserve">select </w:t>
      </w:r>
      <w:r>
        <w:rPr>
          <w:rFonts w:eastAsia="Arial"/>
        </w:rPr>
        <w:t>the</w:t>
      </w:r>
      <w:r w:rsidRPr="00A03611">
        <w:rPr>
          <w:rFonts w:eastAsia="Arial"/>
        </w:rPr>
        <w:t xml:space="preserve"> final proposed transmission line route</w:t>
      </w:r>
      <w:r>
        <w:rPr>
          <w:rFonts w:eastAsia="Arial"/>
        </w:rPr>
        <w:t xml:space="preserve"> can</w:t>
      </w:r>
      <w:r w:rsidR="00996A1F">
        <w:rPr>
          <w:rFonts w:eastAsia="Arial"/>
        </w:rPr>
        <w:t xml:space="preserve"> </w:t>
      </w:r>
      <w:r>
        <w:rPr>
          <w:rFonts w:eastAsia="Arial"/>
        </w:rPr>
        <w:t xml:space="preserve">inflame a wide cross-section of the community and create animosity and division between community members as they lobby to eliminate candidate corridors that affect them. </w:t>
      </w:r>
    </w:p>
    <w:p w14:paraId="4659C145" w14:textId="5D317A17" w:rsidR="00C66F7A" w:rsidRDefault="00C66F7A" w:rsidP="00C66F7A">
      <w:pPr>
        <w:pStyle w:val="ListParagraph"/>
        <w:numPr>
          <w:ilvl w:val="0"/>
          <w:numId w:val="0"/>
        </w:numPr>
        <w:spacing w:line="264" w:lineRule="auto"/>
        <w:ind w:left="360"/>
        <w:rPr>
          <w:rFonts w:eastAsia="Arial"/>
        </w:rPr>
      </w:pPr>
      <w:r>
        <w:rPr>
          <w:rFonts w:eastAsia="Arial"/>
        </w:rPr>
        <w:t xml:space="preserve">An alternative approach </w:t>
      </w:r>
      <w:r w:rsidR="004760C0">
        <w:rPr>
          <w:rFonts w:eastAsia="Arial"/>
        </w:rPr>
        <w:t xml:space="preserve">is for the proponent </w:t>
      </w:r>
      <w:r>
        <w:rPr>
          <w:rFonts w:eastAsia="Arial"/>
        </w:rPr>
        <w:t xml:space="preserve">to determine the preferred route corridor and engage the community and landholders to help finalise the actual route design and details. This approach allows that subset of the broader community to be focussed on optimising the solution, rather than the whole community group </w:t>
      </w:r>
      <w:r w:rsidR="004760C0">
        <w:rPr>
          <w:rFonts w:eastAsia="Arial"/>
        </w:rPr>
        <w:t>focusing on</w:t>
      </w:r>
      <w:r>
        <w:rPr>
          <w:rFonts w:eastAsia="Arial"/>
        </w:rPr>
        <w:t xml:space="preserve"> stopping the project.</w:t>
      </w:r>
    </w:p>
    <w:p w14:paraId="7C58529F" w14:textId="421C68DF" w:rsidR="00C66F7A" w:rsidRPr="007A223C" w:rsidRDefault="00C66F7A" w:rsidP="00F25864">
      <w:pPr>
        <w:pStyle w:val="Heading3"/>
        <w:ind w:firstLine="360"/>
      </w:pPr>
      <w:bookmarkStart w:id="191" w:name="_Toc135390633"/>
      <w:r w:rsidRPr="007A223C">
        <w:t>Off</w:t>
      </w:r>
      <w:r w:rsidR="00810574">
        <w:t>s</w:t>
      </w:r>
      <w:r w:rsidRPr="007A223C">
        <w:t>hore Wind</w:t>
      </w:r>
      <w:bookmarkEnd w:id="191"/>
    </w:p>
    <w:p w14:paraId="6366A6CE" w14:textId="243556AB" w:rsidR="00C66F7A" w:rsidRDefault="000B7776" w:rsidP="00C66F7A">
      <w:pPr>
        <w:pStyle w:val="ListParagraph"/>
        <w:numPr>
          <w:ilvl w:val="0"/>
          <w:numId w:val="0"/>
        </w:numPr>
        <w:spacing w:line="264" w:lineRule="auto"/>
        <w:ind w:left="360"/>
        <w:rPr>
          <w:rFonts w:eastAsia="Arial"/>
        </w:rPr>
      </w:pPr>
      <w:r>
        <w:rPr>
          <w:rFonts w:eastAsia="Arial"/>
        </w:rPr>
        <w:t xml:space="preserve">This </w:t>
      </w:r>
      <w:r w:rsidR="00C66F7A">
        <w:rPr>
          <w:rFonts w:eastAsia="Arial"/>
        </w:rPr>
        <w:t xml:space="preserve">was a year of major progress </w:t>
      </w:r>
      <w:r>
        <w:rPr>
          <w:rFonts w:eastAsia="Arial"/>
        </w:rPr>
        <w:t xml:space="preserve">for </w:t>
      </w:r>
      <w:r w:rsidR="006E499A">
        <w:rPr>
          <w:rFonts w:eastAsia="Arial"/>
        </w:rPr>
        <w:t>offshore</w:t>
      </w:r>
      <w:r w:rsidR="00C66F7A">
        <w:rPr>
          <w:rFonts w:eastAsia="Arial"/>
        </w:rPr>
        <w:t xml:space="preserve"> wind energy generation in Australia. In December 2022, the </w:t>
      </w:r>
      <w:r>
        <w:rPr>
          <w:rFonts w:eastAsia="Arial"/>
        </w:rPr>
        <w:t xml:space="preserve">Minister </w:t>
      </w:r>
      <w:r w:rsidR="00CB48B4">
        <w:rPr>
          <w:rFonts w:eastAsia="Arial"/>
        </w:rPr>
        <w:t xml:space="preserve">for Climate Change and Energy </w:t>
      </w:r>
      <w:r w:rsidR="00C66F7A">
        <w:rPr>
          <w:rFonts w:eastAsia="Arial"/>
        </w:rPr>
        <w:t>declar</w:t>
      </w:r>
      <w:r>
        <w:rPr>
          <w:rFonts w:eastAsia="Arial"/>
        </w:rPr>
        <w:t>ed</w:t>
      </w:r>
      <w:r w:rsidR="00C66F7A">
        <w:rPr>
          <w:rFonts w:eastAsia="Arial"/>
        </w:rPr>
        <w:t xml:space="preserve"> Australia’s first </w:t>
      </w:r>
      <w:r w:rsidR="006E499A">
        <w:rPr>
          <w:rFonts w:eastAsia="Arial"/>
        </w:rPr>
        <w:t>offshore</w:t>
      </w:r>
      <w:r w:rsidR="00C66F7A">
        <w:rPr>
          <w:rFonts w:eastAsia="Arial"/>
        </w:rPr>
        <w:t xml:space="preserve"> project development</w:t>
      </w:r>
      <w:r>
        <w:rPr>
          <w:rFonts w:eastAsia="Arial"/>
        </w:rPr>
        <w:t xml:space="preserve"> area.</w:t>
      </w:r>
    </w:p>
    <w:p w14:paraId="741A0F37" w14:textId="4E259F78" w:rsidR="00C66F7A" w:rsidRDefault="00C66F7A" w:rsidP="00C66F7A">
      <w:pPr>
        <w:pStyle w:val="ListParagraph"/>
        <w:numPr>
          <w:ilvl w:val="0"/>
          <w:numId w:val="0"/>
        </w:numPr>
        <w:spacing w:line="264" w:lineRule="auto"/>
        <w:ind w:left="360"/>
        <w:rPr>
          <w:rFonts w:eastAsia="Arial"/>
        </w:rPr>
      </w:pPr>
      <w:r>
        <w:rPr>
          <w:rFonts w:eastAsia="Arial"/>
        </w:rPr>
        <w:t xml:space="preserve">It is still early days </w:t>
      </w:r>
      <w:r w:rsidR="004A3609">
        <w:rPr>
          <w:rFonts w:eastAsia="Arial"/>
        </w:rPr>
        <w:t xml:space="preserve">for </w:t>
      </w:r>
      <w:r>
        <w:rPr>
          <w:rFonts w:eastAsia="Arial"/>
        </w:rPr>
        <w:t>this new form of renewable energy generation. While there is no direct community around the actual turbines,</w:t>
      </w:r>
      <w:r w:rsidR="004A3609">
        <w:rPr>
          <w:rFonts w:eastAsia="Arial"/>
        </w:rPr>
        <w:t xml:space="preserve"> developers</w:t>
      </w:r>
      <w:r>
        <w:rPr>
          <w:rFonts w:eastAsia="Arial"/>
        </w:rPr>
        <w:t xml:space="preserve"> will need </w:t>
      </w:r>
      <w:r w:rsidR="004A3609">
        <w:rPr>
          <w:rFonts w:eastAsia="Arial"/>
        </w:rPr>
        <w:t xml:space="preserve">to engage </w:t>
      </w:r>
      <w:r>
        <w:rPr>
          <w:rFonts w:eastAsia="Arial"/>
        </w:rPr>
        <w:t>proactive</w:t>
      </w:r>
      <w:r w:rsidR="004A3609">
        <w:rPr>
          <w:rFonts w:eastAsia="Arial"/>
        </w:rPr>
        <w:t>ly</w:t>
      </w:r>
      <w:r>
        <w:rPr>
          <w:rFonts w:eastAsia="Arial"/>
        </w:rPr>
        <w:t xml:space="preserve"> and effective</w:t>
      </w:r>
      <w:r w:rsidR="004A3609">
        <w:rPr>
          <w:rFonts w:eastAsia="Arial"/>
        </w:rPr>
        <w:t>ly</w:t>
      </w:r>
      <w:r>
        <w:rPr>
          <w:rFonts w:eastAsia="Arial"/>
        </w:rPr>
        <w:t xml:space="preserve"> with on-shore community groups that live in proximity to construction</w:t>
      </w:r>
      <w:r w:rsidR="004A3609">
        <w:rPr>
          <w:rFonts w:eastAsia="Arial"/>
        </w:rPr>
        <w:t xml:space="preserve"> and </w:t>
      </w:r>
      <w:r>
        <w:rPr>
          <w:rFonts w:eastAsia="Arial"/>
        </w:rPr>
        <w:t>shipping activity</w:t>
      </w:r>
      <w:r w:rsidR="004A3609">
        <w:rPr>
          <w:rFonts w:eastAsia="Arial"/>
        </w:rPr>
        <w:t xml:space="preserve">, </w:t>
      </w:r>
      <w:r>
        <w:rPr>
          <w:rFonts w:eastAsia="Arial"/>
        </w:rPr>
        <w:t>have visibility of the proposed turbines or live in proximity</w:t>
      </w:r>
      <w:r w:rsidR="004A3609">
        <w:rPr>
          <w:rFonts w:eastAsia="Arial"/>
        </w:rPr>
        <w:t xml:space="preserve"> to</w:t>
      </w:r>
      <w:r>
        <w:rPr>
          <w:rFonts w:eastAsia="Arial"/>
        </w:rPr>
        <w:t xml:space="preserve"> (or will host) the required on-shore transmission infrastructure.</w:t>
      </w:r>
    </w:p>
    <w:p w14:paraId="26C69DC7" w14:textId="1A228E0F" w:rsidR="00C66F7A" w:rsidRDefault="00E0567B" w:rsidP="00C66F7A">
      <w:pPr>
        <w:pStyle w:val="ListParagraph"/>
        <w:numPr>
          <w:ilvl w:val="0"/>
          <w:numId w:val="0"/>
        </w:numPr>
        <w:spacing w:line="264" w:lineRule="auto"/>
        <w:ind w:left="360"/>
        <w:rPr>
          <w:rFonts w:eastAsia="Arial"/>
        </w:rPr>
      </w:pPr>
      <w:r>
        <w:rPr>
          <w:rFonts w:eastAsia="Arial"/>
        </w:rPr>
        <w:t xml:space="preserve">Developers </w:t>
      </w:r>
      <w:r w:rsidR="00C66F7A">
        <w:rPr>
          <w:rFonts w:eastAsia="Arial"/>
        </w:rPr>
        <w:t xml:space="preserve">will also </w:t>
      </w:r>
      <w:r>
        <w:rPr>
          <w:rFonts w:eastAsia="Arial"/>
        </w:rPr>
        <w:t xml:space="preserve">need to engage with </w:t>
      </w:r>
      <w:r w:rsidR="00C66F7A">
        <w:rPr>
          <w:rFonts w:eastAsia="Arial"/>
        </w:rPr>
        <w:t>stakeholders associated with marine and bird life conservation through to commercial fishing industry groups.</w:t>
      </w:r>
    </w:p>
    <w:p w14:paraId="2C9FAB3E" w14:textId="5E7F25BB" w:rsidR="00C66F7A" w:rsidRDefault="00E0567B" w:rsidP="00C66F7A">
      <w:pPr>
        <w:pStyle w:val="ListParagraph"/>
        <w:numPr>
          <w:ilvl w:val="0"/>
          <w:numId w:val="0"/>
        </w:numPr>
        <w:spacing w:line="264" w:lineRule="auto"/>
        <w:ind w:left="360"/>
        <w:rPr>
          <w:rFonts w:eastAsia="Arial"/>
        </w:rPr>
      </w:pPr>
      <w:r>
        <w:rPr>
          <w:rFonts w:eastAsia="Arial"/>
        </w:rPr>
        <w:t xml:space="preserve">The Commissioner is </w:t>
      </w:r>
      <w:r w:rsidR="00C66F7A">
        <w:rPr>
          <w:rFonts w:eastAsia="Arial"/>
        </w:rPr>
        <w:t xml:space="preserve">assisting </w:t>
      </w:r>
      <w:r w:rsidR="00FC4DC1">
        <w:rPr>
          <w:rFonts w:eastAsia="Arial"/>
        </w:rPr>
        <w:t>several</w:t>
      </w:r>
      <w:r w:rsidR="00C66F7A">
        <w:rPr>
          <w:rFonts w:eastAsia="Arial"/>
        </w:rPr>
        <w:t xml:space="preserve"> developers </w:t>
      </w:r>
      <w:r w:rsidR="00FC4DC1">
        <w:rPr>
          <w:rFonts w:eastAsia="Arial"/>
        </w:rPr>
        <w:t xml:space="preserve">by reviewing </w:t>
      </w:r>
      <w:r w:rsidR="00C66F7A">
        <w:rPr>
          <w:rFonts w:eastAsia="Arial"/>
        </w:rPr>
        <w:t>their engagement plans</w:t>
      </w:r>
      <w:r w:rsidR="00FC4DC1">
        <w:rPr>
          <w:rFonts w:eastAsia="Arial"/>
        </w:rPr>
        <w:t xml:space="preserve">, </w:t>
      </w:r>
      <w:r w:rsidR="00C66F7A">
        <w:rPr>
          <w:rFonts w:eastAsia="Arial"/>
        </w:rPr>
        <w:t>enquir</w:t>
      </w:r>
      <w:r w:rsidR="00FC4DC1">
        <w:rPr>
          <w:rFonts w:eastAsia="Arial"/>
        </w:rPr>
        <w:t>y</w:t>
      </w:r>
      <w:r w:rsidR="00C66F7A">
        <w:rPr>
          <w:rFonts w:eastAsia="Arial"/>
        </w:rPr>
        <w:t xml:space="preserve"> and complaint </w:t>
      </w:r>
      <w:r w:rsidR="00FC4DC1">
        <w:rPr>
          <w:rFonts w:eastAsia="Arial"/>
        </w:rPr>
        <w:t>management and</w:t>
      </w:r>
      <w:r w:rsidR="00C66F7A">
        <w:rPr>
          <w:rFonts w:eastAsia="Arial"/>
        </w:rPr>
        <w:t xml:space="preserve"> stakeholder mapping.</w:t>
      </w:r>
    </w:p>
    <w:p w14:paraId="04793C19"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3A034501" w14:textId="21DA2AF7" w:rsidR="00C66F7A" w:rsidRPr="00FC45E9" w:rsidRDefault="00C66F7A" w:rsidP="00C66F7A">
      <w:pPr>
        <w:pStyle w:val="ListParagraph"/>
        <w:numPr>
          <w:ilvl w:val="2"/>
          <w:numId w:val="8"/>
        </w:numPr>
        <w:spacing w:line="264" w:lineRule="auto"/>
        <w:ind w:hanging="720"/>
        <w:rPr>
          <w:rFonts w:cs="Arial"/>
        </w:rPr>
      </w:pPr>
      <w:r w:rsidRPr="00FC45E9">
        <w:rPr>
          <w:rFonts w:cs="Arial"/>
        </w:rPr>
        <w:t>The developer should invest early in community engagement</w:t>
      </w:r>
      <w:r w:rsidR="00EC1B74">
        <w:rPr>
          <w:rFonts w:cs="Arial"/>
        </w:rPr>
        <w:t xml:space="preserve">, this should be </w:t>
      </w:r>
      <w:r w:rsidRPr="00FC45E9">
        <w:rPr>
          <w:rFonts w:cs="Arial"/>
        </w:rPr>
        <w:t xml:space="preserve">well before the commencement of the permit approval phase. An acquirer of a project still in development should conduct due diligence on the extent and effectiveness of community engagement activities undertaken by the </w:t>
      </w:r>
      <w:r>
        <w:rPr>
          <w:rFonts w:cs="Arial"/>
        </w:rPr>
        <w:t xml:space="preserve">existing </w:t>
      </w:r>
      <w:r w:rsidRPr="00FC45E9">
        <w:rPr>
          <w:rFonts w:cs="Arial"/>
        </w:rPr>
        <w:t>developer</w:t>
      </w:r>
      <w:r>
        <w:rPr>
          <w:rFonts w:cs="Arial"/>
        </w:rPr>
        <w:t>,</w:t>
      </w:r>
      <w:r w:rsidRPr="00FC45E9">
        <w:rPr>
          <w:rFonts w:cs="Arial"/>
        </w:rPr>
        <w:t xml:space="preserve"> prior to finalising purchase of the project</w:t>
      </w:r>
      <w:r>
        <w:rPr>
          <w:rFonts w:cs="Arial"/>
        </w:rPr>
        <w:t>,</w:t>
      </w:r>
      <w:r w:rsidRPr="00FC45E9">
        <w:rPr>
          <w:rFonts w:cs="Arial"/>
        </w:rPr>
        <w:t xml:space="preserve"> and </w:t>
      </w:r>
      <w:r w:rsidR="00EC1B74">
        <w:rPr>
          <w:rFonts w:cs="Arial"/>
        </w:rPr>
        <w:t xml:space="preserve">should </w:t>
      </w:r>
      <w:r w:rsidRPr="00FC45E9">
        <w:rPr>
          <w:rFonts w:cs="Arial"/>
        </w:rPr>
        <w:t>be prepared to make the necessary investments in community engagement going forward.</w:t>
      </w:r>
    </w:p>
    <w:p w14:paraId="2A7AFA80" w14:textId="242EFBED" w:rsidR="00C66F7A" w:rsidRPr="00FC45E9" w:rsidRDefault="00C66F7A" w:rsidP="00C66F7A">
      <w:pPr>
        <w:pStyle w:val="ListParagraph"/>
        <w:numPr>
          <w:ilvl w:val="2"/>
          <w:numId w:val="8"/>
        </w:numPr>
        <w:spacing w:line="264" w:lineRule="auto"/>
        <w:ind w:hanging="720"/>
        <w:rPr>
          <w:rFonts w:cs="Arial"/>
        </w:rPr>
      </w:pPr>
      <w:r w:rsidRPr="00FC45E9">
        <w:rPr>
          <w:rFonts w:cs="Arial"/>
        </w:rPr>
        <w:t xml:space="preserve">The developer should proactively identify and establish effective working relationships with key community stakeholders, including </w:t>
      </w:r>
      <w:r w:rsidR="004E17AC">
        <w:rPr>
          <w:rFonts w:cs="Arial"/>
        </w:rPr>
        <w:t xml:space="preserve">those </w:t>
      </w:r>
      <w:r w:rsidRPr="00FC45E9">
        <w:rPr>
          <w:rFonts w:cs="Arial"/>
        </w:rPr>
        <w:t>opposed to the project</w:t>
      </w:r>
      <w:r>
        <w:rPr>
          <w:rFonts w:cs="Arial"/>
        </w:rPr>
        <w:t>.</w:t>
      </w:r>
    </w:p>
    <w:p w14:paraId="4AE8D0BF" w14:textId="0E51824C" w:rsidR="00C66F7A" w:rsidRPr="00FC45E9" w:rsidRDefault="00C66F7A" w:rsidP="00C66F7A">
      <w:pPr>
        <w:pStyle w:val="ListParagraph"/>
        <w:numPr>
          <w:ilvl w:val="2"/>
          <w:numId w:val="8"/>
        </w:numPr>
        <w:spacing w:line="264" w:lineRule="auto"/>
        <w:ind w:hanging="720"/>
        <w:rPr>
          <w:rFonts w:cs="Arial"/>
        </w:rPr>
      </w:pPr>
      <w:r w:rsidRPr="00FC45E9">
        <w:rPr>
          <w:rFonts w:cs="Arial"/>
        </w:rPr>
        <w:t>The developer should, in consultation with the responsible authority and the community, consider establishing a CCC (or equivalent) with an appropriate charter and membership</w:t>
      </w:r>
      <w:r w:rsidR="00FB7DE9">
        <w:rPr>
          <w:rFonts w:cs="Arial"/>
        </w:rPr>
        <w:t xml:space="preserve">. </w:t>
      </w:r>
      <w:r w:rsidRPr="00FC45E9">
        <w:rPr>
          <w:rFonts w:cs="Arial"/>
        </w:rPr>
        <w:t>The CCC Chair should</w:t>
      </w:r>
      <w:r w:rsidR="00FB7DE9">
        <w:rPr>
          <w:rFonts w:cs="Arial"/>
        </w:rPr>
        <w:t xml:space="preserve"> </w:t>
      </w:r>
      <w:r w:rsidRPr="00FC45E9">
        <w:rPr>
          <w:rFonts w:cs="Arial"/>
        </w:rPr>
        <w:t>be a respected</w:t>
      </w:r>
      <w:r w:rsidR="00FB7DE9">
        <w:rPr>
          <w:rFonts w:cs="Arial"/>
        </w:rPr>
        <w:t xml:space="preserve"> </w:t>
      </w:r>
      <w:r w:rsidRPr="00FC45E9">
        <w:rPr>
          <w:rFonts w:cs="Arial"/>
        </w:rPr>
        <w:t>member of the community at large</w:t>
      </w:r>
      <w:r w:rsidR="00FB7DE9">
        <w:rPr>
          <w:rFonts w:cs="Arial"/>
        </w:rPr>
        <w:t xml:space="preserve"> and</w:t>
      </w:r>
      <w:r>
        <w:rPr>
          <w:rFonts w:cs="Arial"/>
        </w:rPr>
        <w:t xml:space="preserve"> </w:t>
      </w:r>
      <w:r w:rsidRPr="00FC45E9">
        <w:rPr>
          <w:rFonts w:cs="Arial"/>
        </w:rPr>
        <w:t xml:space="preserve">independent of any direct impact or </w:t>
      </w:r>
      <w:r w:rsidR="00FB7DE9">
        <w:rPr>
          <w:rFonts w:cs="Arial"/>
        </w:rPr>
        <w:t>benefit</w:t>
      </w:r>
      <w:r w:rsidR="00FB7DE9" w:rsidRPr="00FC45E9">
        <w:rPr>
          <w:rFonts w:cs="Arial"/>
        </w:rPr>
        <w:t xml:space="preserve"> </w:t>
      </w:r>
      <w:r w:rsidRPr="00FC45E9">
        <w:rPr>
          <w:rFonts w:cs="Arial"/>
        </w:rPr>
        <w:t xml:space="preserve">of the proposed </w:t>
      </w:r>
      <w:r>
        <w:rPr>
          <w:rFonts w:cs="Arial"/>
        </w:rPr>
        <w:t>project</w:t>
      </w:r>
      <w:r w:rsidRPr="00FC45E9">
        <w:rPr>
          <w:rFonts w:cs="Arial"/>
        </w:rPr>
        <w:t xml:space="preserve">. </w:t>
      </w:r>
      <w:r w:rsidR="00FB7DE9">
        <w:rPr>
          <w:rFonts w:cs="Arial"/>
        </w:rPr>
        <w:t>T</w:t>
      </w:r>
      <w:r w:rsidRPr="00FC45E9">
        <w:rPr>
          <w:rFonts w:cs="Arial"/>
        </w:rPr>
        <w:t>he CCC should meet monthly during critical stages of the project’s development, approval, construction, post-construction testing and initial operations.</w:t>
      </w:r>
    </w:p>
    <w:p w14:paraId="609D1DD4" w14:textId="74D7EBC1" w:rsidR="00C66F7A" w:rsidRPr="00FC45E9" w:rsidRDefault="00C66F7A" w:rsidP="00C66F7A">
      <w:pPr>
        <w:pStyle w:val="ListParagraph"/>
        <w:numPr>
          <w:ilvl w:val="2"/>
          <w:numId w:val="8"/>
        </w:numPr>
        <w:spacing w:line="264" w:lineRule="auto"/>
        <w:ind w:hanging="720"/>
        <w:rPr>
          <w:rFonts w:cs="Arial"/>
        </w:rPr>
      </w:pPr>
      <w:r>
        <w:rPr>
          <w:rFonts w:cs="Arial"/>
        </w:rPr>
        <w:t>D</w:t>
      </w:r>
      <w:r w:rsidRPr="00FC45E9">
        <w:rPr>
          <w:rFonts w:cs="Arial"/>
        </w:rPr>
        <w:t xml:space="preserve">evelopers </w:t>
      </w:r>
      <w:r>
        <w:rPr>
          <w:rFonts w:cs="Arial"/>
        </w:rPr>
        <w:t xml:space="preserve">should </w:t>
      </w:r>
      <w:r w:rsidRPr="00FC45E9">
        <w:rPr>
          <w:rFonts w:cs="Arial"/>
        </w:rPr>
        <w:t xml:space="preserve">provide a range of information and education opportunities for community members to better understand the benefits and impacts of </w:t>
      </w:r>
      <w:r>
        <w:rPr>
          <w:rFonts w:cs="Arial"/>
        </w:rPr>
        <w:t>the project</w:t>
      </w:r>
      <w:r w:rsidR="00FB7DE9">
        <w:rPr>
          <w:rFonts w:cs="Arial"/>
        </w:rPr>
        <w:t xml:space="preserve"> and</w:t>
      </w:r>
      <w:r w:rsidRPr="00FC45E9">
        <w:rPr>
          <w:rFonts w:cs="Arial"/>
        </w:rPr>
        <w:t xml:space="preserve"> address any questions </w:t>
      </w:r>
      <w:r w:rsidR="00FB7DE9">
        <w:rPr>
          <w:rFonts w:cs="Arial"/>
        </w:rPr>
        <w:t>or</w:t>
      </w:r>
      <w:r w:rsidR="00FB7DE9" w:rsidRPr="00FC45E9">
        <w:rPr>
          <w:rFonts w:cs="Arial"/>
        </w:rPr>
        <w:t xml:space="preserve"> </w:t>
      </w:r>
      <w:r w:rsidRPr="00FC45E9">
        <w:rPr>
          <w:rFonts w:cs="Arial"/>
        </w:rPr>
        <w:t>concerns. Initiatives to consider include:</w:t>
      </w:r>
    </w:p>
    <w:p w14:paraId="068E442E" w14:textId="314F0583" w:rsidR="00C66F7A" w:rsidRPr="00FC45E9" w:rsidRDefault="00C66F7A" w:rsidP="00C66F7A">
      <w:pPr>
        <w:pStyle w:val="ListBullet"/>
        <w:numPr>
          <w:ilvl w:val="0"/>
          <w:numId w:val="11"/>
        </w:numPr>
        <w:spacing w:line="264" w:lineRule="auto"/>
        <w:ind w:hanging="720"/>
        <w:rPr>
          <w:rFonts w:cs="Arial"/>
        </w:rPr>
      </w:pPr>
      <w:r w:rsidRPr="00FC45E9">
        <w:rPr>
          <w:rFonts w:cs="Arial"/>
        </w:rPr>
        <w:t>establishing a ‘shop front’ in the community town centre that provides project</w:t>
      </w:r>
      <w:r w:rsidR="00FB7DE9">
        <w:rPr>
          <w:rFonts w:cs="Arial"/>
        </w:rPr>
        <w:t xml:space="preserve"> and </w:t>
      </w:r>
      <w:r w:rsidRPr="00FC45E9">
        <w:rPr>
          <w:rFonts w:cs="Arial"/>
        </w:rPr>
        <w:t xml:space="preserve">permit information, a map and model of the project, information about </w:t>
      </w:r>
      <w:r>
        <w:rPr>
          <w:rFonts w:cs="Arial"/>
        </w:rPr>
        <w:t xml:space="preserve">the type of project </w:t>
      </w:r>
      <w:r w:rsidRPr="00FC45E9">
        <w:rPr>
          <w:rFonts w:cs="Arial"/>
        </w:rPr>
        <w:t xml:space="preserve">and </w:t>
      </w:r>
      <w:r w:rsidR="00FB7DE9">
        <w:rPr>
          <w:rFonts w:cs="Arial"/>
        </w:rPr>
        <w:t>that is equipped to</w:t>
      </w:r>
      <w:r w:rsidRPr="00FC45E9">
        <w:rPr>
          <w:rFonts w:cs="Arial"/>
        </w:rPr>
        <w:t xml:space="preserve"> address questions or concerns</w:t>
      </w:r>
    </w:p>
    <w:p w14:paraId="1ADA5D59" w14:textId="14ABE60E" w:rsidR="00C66F7A" w:rsidRPr="00FC45E9" w:rsidRDefault="00C66F7A" w:rsidP="00C66F7A">
      <w:pPr>
        <w:pStyle w:val="ListBullet"/>
        <w:numPr>
          <w:ilvl w:val="0"/>
          <w:numId w:val="11"/>
        </w:numPr>
        <w:spacing w:line="264" w:lineRule="auto"/>
        <w:ind w:hanging="720"/>
        <w:rPr>
          <w:rFonts w:cs="Arial"/>
        </w:rPr>
      </w:pPr>
      <w:r w:rsidRPr="00FC45E9">
        <w:rPr>
          <w:rFonts w:cs="Arial"/>
        </w:rPr>
        <w:lastRenderedPageBreak/>
        <w:t xml:space="preserve">providing an informal </w:t>
      </w:r>
      <w:r>
        <w:rPr>
          <w:rFonts w:cs="Arial"/>
        </w:rPr>
        <w:t xml:space="preserve">electronic </w:t>
      </w:r>
      <w:r w:rsidRPr="00FC45E9">
        <w:rPr>
          <w:rFonts w:cs="Arial"/>
        </w:rPr>
        <w:t>channel for community members to ask questions</w:t>
      </w:r>
      <w:r>
        <w:rPr>
          <w:rFonts w:cs="Arial"/>
        </w:rPr>
        <w:t xml:space="preserve"> (for example, by utilising a social media platform or chat room)</w:t>
      </w:r>
      <w:r w:rsidRPr="00FC45E9">
        <w:rPr>
          <w:rFonts w:cs="Arial"/>
        </w:rPr>
        <w:t xml:space="preserve"> and provide feedback about the project, </w:t>
      </w:r>
      <w:r w:rsidR="00FB7DE9">
        <w:rPr>
          <w:rFonts w:cs="Arial"/>
        </w:rPr>
        <w:t xml:space="preserve">including being </w:t>
      </w:r>
      <w:r w:rsidRPr="00FC45E9">
        <w:rPr>
          <w:rFonts w:cs="Arial"/>
        </w:rPr>
        <w:t>able to do so anonymously</w:t>
      </w:r>
    </w:p>
    <w:p w14:paraId="463BE17E" w14:textId="21A56D85" w:rsidR="00C66F7A" w:rsidRPr="00FC45E9" w:rsidRDefault="00C66F7A" w:rsidP="00C66F7A">
      <w:pPr>
        <w:pStyle w:val="ListParagraph"/>
        <w:numPr>
          <w:ilvl w:val="0"/>
          <w:numId w:val="11"/>
        </w:numPr>
        <w:spacing w:line="264" w:lineRule="auto"/>
        <w:ind w:hanging="720"/>
        <w:rPr>
          <w:rFonts w:cs="Arial"/>
        </w:rPr>
      </w:pPr>
      <w:r w:rsidRPr="00FC45E9">
        <w:rPr>
          <w:rFonts w:cs="Arial"/>
        </w:rPr>
        <w:t xml:space="preserve">providing opportunities for community members to visit operating </w:t>
      </w:r>
      <w:r>
        <w:rPr>
          <w:rFonts w:cs="Arial"/>
        </w:rPr>
        <w:t>projects and</w:t>
      </w:r>
      <w:r w:rsidR="00CA7592">
        <w:rPr>
          <w:rFonts w:cs="Arial"/>
        </w:rPr>
        <w:t xml:space="preserve"> </w:t>
      </w:r>
      <w:r>
        <w:rPr>
          <w:rFonts w:cs="Arial"/>
        </w:rPr>
        <w:t>projects under construction</w:t>
      </w:r>
    </w:p>
    <w:p w14:paraId="02468787" w14:textId="146393A4" w:rsidR="00C66F7A" w:rsidRPr="00FC45E9" w:rsidRDefault="00C66F7A" w:rsidP="00C66F7A">
      <w:pPr>
        <w:pStyle w:val="ListParagraph"/>
        <w:numPr>
          <w:ilvl w:val="0"/>
          <w:numId w:val="11"/>
        </w:numPr>
        <w:spacing w:line="264" w:lineRule="auto"/>
        <w:ind w:hanging="720"/>
        <w:rPr>
          <w:rFonts w:cs="Arial"/>
        </w:rPr>
      </w:pPr>
      <w:r w:rsidRPr="00FC45E9">
        <w:rPr>
          <w:rFonts w:cs="Arial"/>
        </w:rPr>
        <w:t>providing access to a wind farm noise simulator</w:t>
      </w:r>
      <w:r w:rsidR="004A0058">
        <w:rPr>
          <w:rFonts w:cs="Arial"/>
        </w:rPr>
        <w:t>s and</w:t>
      </w:r>
      <w:r w:rsidRPr="00FC45E9">
        <w:rPr>
          <w:rFonts w:cs="Arial"/>
        </w:rPr>
        <w:t xml:space="preserve"> enabl</w:t>
      </w:r>
      <w:r>
        <w:rPr>
          <w:rFonts w:cs="Arial"/>
        </w:rPr>
        <w:t xml:space="preserve">ing </w:t>
      </w:r>
      <w:r w:rsidR="00CA7592">
        <w:rPr>
          <w:rFonts w:cs="Arial"/>
        </w:rPr>
        <w:t xml:space="preserve">community members </w:t>
      </w:r>
      <w:r w:rsidRPr="00FC45E9">
        <w:rPr>
          <w:rFonts w:cs="Arial"/>
        </w:rPr>
        <w:t>to experience simulated noise scenarios</w:t>
      </w:r>
    </w:p>
    <w:p w14:paraId="66C9F6F8" w14:textId="1CE2ABA6" w:rsidR="00C66F7A" w:rsidRPr="00FC45E9" w:rsidRDefault="00C66F7A" w:rsidP="00C66F7A">
      <w:pPr>
        <w:pStyle w:val="ListParagraph"/>
        <w:numPr>
          <w:ilvl w:val="0"/>
          <w:numId w:val="11"/>
        </w:numPr>
        <w:spacing w:line="264" w:lineRule="auto"/>
        <w:ind w:hanging="720"/>
        <w:rPr>
          <w:rFonts w:cs="Arial"/>
        </w:rPr>
      </w:pPr>
      <w:r w:rsidRPr="00FC45E9">
        <w:rPr>
          <w:rFonts w:cs="Arial"/>
        </w:rPr>
        <w:t>maintaining an easily found, up-to-date project website with full transparency on contacts, complaint process, project details, current status</w:t>
      </w:r>
      <w:r w:rsidR="00CA7592">
        <w:rPr>
          <w:rFonts w:cs="Arial"/>
        </w:rPr>
        <w:t xml:space="preserve">, </w:t>
      </w:r>
      <w:r w:rsidRPr="00FC45E9">
        <w:rPr>
          <w:rFonts w:cs="Arial"/>
        </w:rPr>
        <w:t xml:space="preserve">planning permit details and </w:t>
      </w:r>
      <w:r w:rsidR="00CA7592">
        <w:rPr>
          <w:rFonts w:cs="Arial"/>
        </w:rPr>
        <w:t xml:space="preserve">other </w:t>
      </w:r>
      <w:r w:rsidRPr="00FC45E9">
        <w:rPr>
          <w:rFonts w:cs="Arial"/>
        </w:rPr>
        <w:t>documentation</w:t>
      </w:r>
    </w:p>
    <w:p w14:paraId="6D147963" w14:textId="77777777" w:rsidR="00C66F7A" w:rsidRPr="00FC45E9" w:rsidRDefault="00C66F7A" w:rsidP="00C66F7A">
      <w:pPr>
        <w:pStyle w:val="ListParagraph"/>
        <w:numPr>
          <w:ilvl w:val="0"/>
          <w:numId w:val="11"/>
        </w:numPr>
        <w:spacing w:line="264" w:lineRule="auto"/>
        <w:ind w:hanging="720"/>
        <w:rPr>
          <w:rFonts w:cs="Arial"/>
        </w:rPr>
      </w:pPr>
      <w:r w:rsidRPr="00FC45E9">
        <w:rPr>
          <w:rFonts w:cs="Arial"/>
        </w:rPr>
        <w:t>briefing local members (</w:t>
      </w:r>
      <w:r>
        <w:rPr>
          <w:rFonts w:cs="Arial"/>
        </w:rPr>
        <w:t>f</w:t>
      </w:r>
      <w:r w:rsidRPr="00FC45E9">
        <w:rPr>
          <w:rFonts w:cs="Arial"/>
        </w:rPr>
        <w:t xml:space="preserve">ederal, </w:t>
      </w:r>
      <w:r>
        <w:rPr>
          <w:rFonts w:cs="Arial"/>
        </w:rPr>
        <w:t>s</w:t>
      </w:r>
      <w:r w:rsidRPr="00FC45E9">
        <w:rPr>
          <w:rFonts w:cs="Arial"/>
        </w:rPr>
        <w:t xml:space="preserve">tate and </w:t>
      </w:r>
      <w:r>
        <w:rPr>
          <w:rFonts w:cs="Arial"/>
        </w:rPr>
        <w:t>l</w:t>
      </w:r>
      <w:r w:rsidRPr="00FC45E9">
        <w:rPr>
          <w:rFonts w:cs="Arial"/>
        </w:rPr>
        <w:t xml:space="preserve">ocal </w:t>
      </w:r>
      <w:r>
        <w:rPr>
          <w:rFonts w:cs="Arial"/>
        </w:rPr>
        <w:t>g</w:t>
      </w:r>
      <w:r w:rsidRPr="00FC45E9">
        <w:rPr>
          <w:rFonts w:cs="Arial"/>
        </w:rPr>
        <w:t>overnment) on the project and providing them with timely updates and information</w:t>
      </w:r>
    </w:p>
    <w:p w14:paraId="4581AE05" w14:textId="3EDFC763" w:rsidR="00C66F7A" w:rsidRPr="00FC45E9" w:rsidRDefault="00C66F7A" w:rsidP="00C66F7A">
      <w:pPr>
        <w:pStyle w:val="ListParagraph"/>
        <w:numPr>
          <w:ilvl w:val="0"/>
          <w:numId w:val="11"/>
        </w:numPr>
        <w:spacing w:line="264" w:lineRule="auto"/>
        <w:ind w:hanging="720"/>
        <w:rPr>
          <w:rFonts w:cs="Arial"/>
        </w:rPr>
      </w:pPr>
      <w:r w:rsidRPr="00FC45E9">
        <w:rPr>
          <w:rFonts w:cs="Arial"/>
        </w:rPr>
        <w:t xml:space="preserve">developing effective relationships with local media and providing the media with </w:t>
      </w:r>
      <w:r w:rsidR="00D634DF">
        <w:rPr>
          <w:rFonts w:cs="Arial"/>
        </w:rPr>
        <w:t>accurate</w:t>
      </w:r>
      <w:r w:rsidR="00D634DF" w:rsidRPr="00FC45E9">
        <w:rPr>
          <w:rFonts w:cs="Arial"/>
        </w:rPr>
        <w:t xml:space="preserve"> </w:t>
      </w:r>
      <w:r w:rsidRPr="00FC45E9">
        <w:rPr>
          <w:rFonts w:cs="Arial"/>
        </w:rPr>
        <w:t xml:space="preserve">information to assist their reporting of the project and any </w:t>
      </w:r>
      <w:r>
        <w:rPr>
          <w:rFonts w:cs="Arial"/>
        </w:rPr>
        <w:t xml:space="preserve">perceived or real </w:t>
      </w:r>
      <w:r w:rsidRPr="00FC45E9">
        <w:rPr>
          <w:rFonts w:cs="Arial"/>
        </w:rPr>
        <w:t>impacts</w:t>
      </w:r>
    </w:p>
    <w:p w14:paraId="1AFDD4C1" w14:textId="3D816C9C" w:rsidR="00C66F7A" w:rsidRDefault="00C66F7A" w:rsidP="00C66F7A">
      <w:pPr>
        <w:pStyle w:val="ListParagraph"/>
        <w:numPr>
          <w:ilvl w:val="0"/>
          <w:numId w:val="11"/>
        </w:numPr>
        <w:spacing w:line="264" w:lineRule="auto"/>
        <w:ind w:hanging="720"/>
        <w:rPr>
          <w:rFonts w:cs="Arial"/>
        </w:rPr>
      </w:pPr>
      <w:r w:rsidRPr="00FC45E9">
        <w:rPr>
          <w:rFonts w:cs="Arial"/>
        </w:rPr>
        <w:t>providing information sessions at locations</w:t>
      </w:r>
      <w:r w:rsidR="00D634DF">
        <w:rPr>
          <w:rFonts w:cs="Arial"/>
        </w:rPr>
        <w:t xml:space="preserve"> convenient</w:t>
      </w:r>
      <w:r w:rsidRPr="00FC45E9">
        <w:rPr>
          <w:rFonts w:cs="Arial"/>
        </w:rPr>
        <w:t xml:space="preserve"> for community members</w:t>
      </w:r>
      <w:r w:rsidR="00D634DF">
        <w:rPr>
          <w:rFonts w:cs="Arial"/>
        </w:rPr>
        <w:t>,</w:t>
      </w:r>
      <w:r>
        <w:rPr>
          <w:rFonts w:cs="Arial"/>
        </w:rPr>
        <w:t xml:space="preserve"> inc</w:t>
      </w:r>
      <w:r w:rsidRPr="00FC45E9">
        <w:rPr>
          <w:rFonts w:cs="Arial"/>
        </w:rPr>
        <w:t>luding presentations from key stakeholders</w:t>
      </w:r>
      <w:r w:rsidR="00D634DF">
        <w:rPr>
          <w:rFonts w:cs="Arial"/>
        </w:rPr>
        <w:t xml:space="preserve">, </w:t>
      </w:r>
      <w:r>
        <w:rPr>
          <w:rFonts w:cs="Arial"/>
        </w:rPr>
        <w:t>project partners</w:t>
      </w:r>
      <w:r w:rsidR="00D634DF">
        <w:rPr>
          <w:rFonts w:cs="Arial"/>
        </w:rPr>
        <w:t xml:space="preserve"> and </w:t>
      </w:r>
      <w:r>
        <w:rPr>
          <w:rFonts w:cs="Arial"/>
        </w:rPr>
        <w:t>supplier</w:t>
      </w:r>
      <w:r w:rsidR="00D634DF">
        <w:rPr>
          <w:rFonts w:cs="Arial"/>
        </w:rPr>
        <w:t>s,</w:t>
      </w:r>
      <w:r>
        <w:rPr>
          <w:rFonts w:cs="Arial"/>
        </w:rPr>
        <w:t xml:space="preserve"> to complement </w:t>
      </w:r>
      <w:r w:rsidRPr="00FC45E9">
        <w:rPr>
          <w:rFonts w:cs="Arial"/>
        </w:rPr>
        <w:t>regular project newsletters and updates</w:t>
      </w:r>
    </w:p>
    <w:p w14:paraId="16D7A8E9" w14:textId="77777777" w:rsidR="00C66F7A" w:rsidRPr="00FC45E9" w:rsidRDefault="00C66F7A" w:rsidP="00C66F7A">
      <w:pPr>
        <w:pStyle w:val="ListParagraph"/>
        <w:numPr>
          <w:ilvl w:val="0"/>
          <w:numId w:val="11"/>
        </w:numPr>
        <w:spacing w:line="264" w:lineRule="auto"/>
        <w:ind w:hanging="720"/>
        <w:rPr>
          <w:rFonts w:cs="Arial"/>
        </w:rPr>
      </w:pPr>
      <w:r>
        <w:rPr>
          <w:rFonts w:cs="Arial"/>
        </w:rPr>
        <w:t>ensuring transparency for employment and contractor opportunities that arise from the project’s construction and operational phases</w:t>
      </w:r>
    </w:p>
    <w:p w14:paraId="6A77C058" w14:textId="29307E4E" w:rsidR="00C66F7A" w:rsidRDefault="00C66F7A" w:rsidP="00C66F7A">
      <w:pPr>
        <w:pStyle w:val="ListParagraph"/>
        <w:numPr>
          <w:ilvl w:val="0"/>
          <w:numId w:val="11"/>
        </w:numPr>
        <w:spacing w:line="264" w:lineRule="auto"/>
        <w:ind w:hanging="720"/>
        <w:rPr>
          <w:rFonts w:cs="Arial"/>
        </w:rPr>
      </w:pPr>
      <w:r w:rsidRPr="00FC45E9">
        <w:rPr>
          <w:rFonts w:cs="Arial"/>
        </w:rPr>
        <w:t xml:space="preserve">publishing the minutes, where applicable, of CCC (or equivalent) meetings </w:t>
      </w:r>
      <w:r>
        <w:rPr>
          <w:rFonts w:cs="Arial"/>
        </w:rPr>
        <w:t xml:space="preserve">on the project website </w:t>
      </w:r>
      <w:r w:rsidRPr="00FC45E9">
        <w:rPr>
          <w:rFonts w:cs="Arial"/>
        </w:rPr>
        <w:t>and allowing observers to attend CCC meetings</w:t>
      </w:r>
    </w:p>
    <w:p w14:paraId="0F1AD7AC" w14:textId="08561B1B" w:rsidR="00C66F7A" w:rsidRPr="00FC45E9" w:rsidRDefault="00C66F7A" w:rsidP="00C66F7A">
      <w:pPr>
        <w:pStyle w:val="ListParagraph"/>
        <w:numPr>
          <w:ilvl w:val="0"/>
          <w:numId w:val="11"/>
        </w:numPr>
        <w:spacing w:line="264" w:lineRule="auto"/>
        <w:ind w:hanging="720"/>
        <w:rPr>
          <w:rFonts w:cs="Arial"/>
        </w:rPr>
      </w:pPr>
      <w:r>
        <w:rPr>
          <w:rFonts w:cs="Arial"/>
        </w:rPr>
        <w:t xml:space="preserve">understanding, assessing and informing the community about the impacts on local accommodation and catering during construction. Opportunities may exist for developers to construct accommodation which may, in turn, be utilised for long-term accommodation for people in need of housing. It is also essential that contractors </w:t>
      </w:r>
      <w:r w:rsidR="00D36B7A">
        <w:rPr>
          <w:rFonts w:cs="Arial"/>
        </w:rPr>
        <w:t xml:space="preserve">make timely payment of </w:t>
      </w:r>
      <w:r>
        <w:rPr>
          <w:rFonts w:cs="Arial"/>
        </w:rPr>
        <w:t>invoices and accounts for accommodation and meals</w:t>
      </w:r>
      <w:r w:rsidR="00D36B7A">
        <w:rPr>
          <w:rFonts w:cs="Arial"/>
        </w:rPr>
        <w:t xml:space="preserve"> or </w:t>
      </w:r>
      <w:r>
        <w:rPr>
          <w:rFonts w:cs="Arial"/>
        </w:rPr>
        <w:t>catering</w:t>
      </w:r>
    </w:p>
    <w:p w14:paraId="13D0A3F3" w14:textId="16F3B330" w:rsidR="00C66F7A" w:rsidRPr="00594553" w:rsidRDefault="00C66F7A" w:rsidP="00594553">
      <w:pPr>
        <w:pStyle w:val="ListParagraph"/>
        <w:numPr>
          <w:ilvl w:val="2"/>
          <w:numId w:val="8"/>
        </w:numPr>
        <w:spacing w:line="264" w:lineRule="auto"/>
        <w:ind w:hanging="720"/>
        <w:rPr>
          <w:rFonts w:cs="Arial"/>
        </w:rPr>
      </w:pPr>
      <w:r w:rsidRPr="00FC45E9">
        <w:rPr>
          <w:rFonts w:cs="Arial"/>
        </w:rPr>
        <w:t xml:space="preserve">The developer should establish a </w:t>
      </w:r>
      <w:r w:rsidR="00594553" w:rsidRPr="00FC45E9">
        <w:rPr>
          <w:rFonts w:cs="Arial"/>
        </w:rPr>
        <w:t>formal complaint</w:t>
      </w:r>
      <w:r w:rsidR="00594553">
        <w:rPr>
          <w:rFonts w:cs="Arial"/>
        </w:rPr>
        <w:t xml:space="preserve"> and </w:t>
      </w:r>
      <w:r w:rsidRPr="00FC45E9">
        <w:rPr>
          <w:rFonts w:cs="Arial"/>
        </w:rPr>
        <w:t>enquiry process, including a system to record and manage complaints</w:t>
      </w:r>
      <w:r w:rsidR="00594553">
        <w:rPr>
          <w:rFonts w:cs="Arial"/>
        </w:rPr>
        <w:t>.</w:t>
      </w:r>
      <w:r w:rsidRPr="00FC45E9">
        <w:rPr>
          <w:rFonts w:cs="Arial"/>
        </w:rPr>
        <w:t xml:space="preserve"> </w:t>
      </w:r>
      <w:r w:rsidR="00594553">
        <w:rPr>
          <w:rFonts w:cs="Arial"/>
        </w:rPr>
        <w:t xml:space="preserve">The developer should also </w:t>
      </w:r>
      <w:r w:rsidRPr="00FC45E9">
        <w:rPr>
          <w:rFonts w:cs="Arial"/>
        </w:rPr>
        <w:t>provide a</w:t>
      </w:r>
      <w:r w:rsidR="00594553">
        <w:rPr>
          <w:rFonts w:cs="Arial"/>
        </w:rPr>
        <w:t xml:space="preserve"> deidentified</w:t>
      </w:r>
      <w:r w:rsidRPr="00FC45E9">
        <w:rPr>
          <w:rFonts w:cs="Arial"/>
        </w:rPr>
        <w:t xml:space="preserve"> register of complaints</w:t>
      </w:r>
      <w:r w:rsidR="00594553">
        <w:rPr>
          <w:rFonts w:cs="Arial"/>
        </w:rPr>
        <w:t xml:space="preserve"> and </w:t>
      </w:r>
      <w:r w:rsidRPr="00FC45E9">
        <w:rPr>
          <w:rFonts w:cs="Arial"/>
        </w:rPr>
        <w:t>enquiries information</w:t>
      </w:r>
      <w:r w:rsidR="00594553">
        <w:rPr>
          <w:rFonts w:cs="Arial"/>
        </w:rPr>
        <w:t xml:space="preserve">. </w:t>
      </w:r>
      <w:r w:rsidRPr="00FC45E9">
        <w:rPr>
          <w:rFonts w:cs="Arial"/>
        </w:rPr>
        <w:t>The complaint process should commence at the initial stage of the development activity</w:t>
      </w:r>
      <w:r w:rsidR="00594553">
        <w:rPr>
          <w:rFonts w:cs="Arial"/>
        </w:rPr>
        <w:t xml:space="preserve"> and</w:t>
      </w:r>
      <w:r w:rsidR="00594553" w:rsidRPr="00594553">
        <w:rPr>
          <w:rFonts w:cs="Arial"/>
        </w:rPr>
        <w:t xml:space="preserve"> </w:t>
      </w:r>
      <w:r w:rsidR="00594553">
        <w:rPr>
          <w:rFonts w:cs="Arial"/>
        </w:rPr>
        <w:t xml:space="preserve">continue throughout the life of the project. The developer should ensure that the process enables </w:t>
      </w:r>
      <w:r w:rsidRPr="00594553">
        <w:rPr>
          <w:rFonts w:cs="Arial"/>
        </w:rPr>
        <w:t xml:space="preserve">community members to have </w:t>
      </w:r>
      <w:r w:rsidR="00594553" w:rsidRPr="00594553">
        <w:rPr>
          <w:rFonts w:cs="Arial"/>
        </w:rPr>
        <w:t xml:space="preserve">their </w:t>
      </w:r>
      <w:r w:rsidRPr="00594553">
        <w:rPr>
          <w:rFonts w:cs="Arial"/>
        </w:rPr>
        <w:t>concerns addressed in a timely, consistent and transparent manner</w:t>
      </w:r>
      <w:r w:rsidR="00594553">
        <w:rPr>
          <w:rFonts w:cs="Arial"/>
        </w:rPr>
        <w:t>.</w:t>
      </w:r>
    </w:p>
    <w:p w14:paraId="44889A4B" w14:textId="234A8D4B" w:rsidR="00F06FD2" w:rsidRDefault="00C66F7A" w:rsidP="00C66F7A">
      <w:pPr>
        <w:pStyle w:val="ListParagraph"/>
        <w:numPr>
          <w:ilvl w:val="2"/>
          <w:numId w:val="8"/>
        </w:numPr>
        <w:spacing w:line="264" w:lineRule="auto"/>
        <w:ind w:hanging="720"/>
        <w:rPr>
          <w:rFonts w:cs="Arial"/>
        </w:rPr>
      </w:pPr>
      <w:r w:rsidRPr="00FC45E9">
        <w:rPr>
          <w:rFonts w:cs="Arial"/>
        </w:rPr>
        <w:t>The developer (and CCC) should consult widely and communicate effectively</w:t>
      </w:r>
      <w:r w:rsidR="00F06FD2">
        <w:rPr>
          <w:rFonts w:cs="Arial"/>
        </w:rPr>
        <w:t xml:space="preserve"> </w:t>
      </w:r>
      <w:r w:rsidRPr="00FC45E9">
        <w:rPr>
          <w:rFonts w:cs="Arial"/>
        </w:rPr>
        <w:t>on the proposed construction and related transport plan. The developer should also ensure appropriate restoration and ‘make-good’ actions are in place to remedy damage that may occur</w:t>
      </w:r>
      <w:r w:rsidR="00F06FD2">
        <w:rPr>
          <w:rFonts w:cs="Arial"/>
        </w:rPr>
        <w:t xml:space="preserve">. They should </w:t>
      </w:r>
      <w:r w:rsidRPr="00FC45E9">
        <w:rPr>
          <w:rFonts w:cs="Arial"/>
        </w:rPr>
        <w:t>seek</w:t>
      </w:r>
      <w:r w:rsidR="00F06FD2">
        <w:rPr>
          <w:rFonts w:cs="Arial"/>
        </w:rPr>
        <w:t xml:space="preserve"> </w:t>
      </w:r>
      <w:r w:rsidRPr="00FC45E9">
        <w:rPr>
          <w:rFonts w:cs="Arial"/>
        </w:rPr>
        <w:t xml:space="preserve">to leave local infrastructure in the same or better condition than prior to the construction. </w:t>
      </w:r>
    </w:p>
    <w:p w14:paraId="462E592C" w14:textId="64945A78" w:rsidR="00C66F7A" w:rsidRPr="00FC45E9" w:rsidRDefault="00C66F7A" w:rsidP="00C66F7A">
      <w:pPr>
        <w:pStyle w:val="ListParagraph"/>
        <w:numPr>
          <w:ilvl w:val="2"/>
          <w:numId w:val="8"/>
        </w:numPr>
        <w:spacing w:line="264" w:lineRule="auto"/>
        <w:ind w:hanging="720"/>
        <w:rPr>
          <w:rFonts w:cs="Arial"/>
        </w:rPr>
      </w:pPr>
      <w:r w:rsidRPr="00FC45E9">
        <w:rPr>
          <w:rFonts w:cs="Arial"/>
        </w:rPr>
        <w:t xml:space="preserve">The developer should </w:t>
      </w:r>
      <w:r w:rsidR="00F06FD2" w:rsidRPr="00FC45E9">
        <w:rPr>
          <w:rFonts w:cs="Arial"/>
        </w:rPr>
        <w:t xml:space="preserve">advise community members </w:t>
      </w:r>
      <w:r w:rsidR="00F06FD2">
        <w:rPr>
          <w:rFonts w:cs="Arial"/>
        </w:rPr>
        <w:t xml:space="preserve">in advance </w:t>
      </w:r>
      <w:r w:rsidR="00F06FD2" w:rsidRPr="00FC45E9">
        <w:rPr>
          <w:rFonts w:cs="Arial"/>
        </w:rPr>
        <w:t>of impactful activities</w:t>
      </w:r>
      <w:r w:rsidR="00F06FD2" w:rsidRPr="00FC45E9" w:rsidDel="00F06FD2">
        <w:rPr>
          <w:rFonts w:cs="Arial"/>
        </w:rPr>
        <w:t xml:space="preserve"> </w:t>
      </w:r>
      <w:r w:rsidRPr="00FC45E9">
        <w:rPr>
          <w:rFonts w:cs="Arial"/>
        </w:rPr>
        <w:t>during construction using all relevant channels, such as text messaging</w:t>
      </w:r>
      <w:r w:rsidR="00F06FD2">
        <w:rPr>
          <w:rFonts w:cs="Arial"/>
        </w:rPr>
        <w:t>.</w:t>
      </w:r>
      <w:r w:rsidRPr="00FC45E9">
        <w:rPr>
          <w:rFonts w:cs="Arial"/>
        </w:rPr>
        <w:t xml:space="preserve"> Where more than one construction project is occurring </w:t>
      </w:r>
      <w:r>
        <w:rPr>
          <w:rFonts w:cs="Arial"/>
        </w:rPr>
        <w:t xml:space="preserve">concurrently </w:t>
      </w:r>
      <w:r w:rsidRPr="00FC45E9">
        <w:rPr>
          <w:rFonts w:cs="Arial"/>
        </w:rPr>
        <w:t xml:space="preserve">in the same area, </w:t>
      </w:r>
      <w:r w:rsidR="00F06FD2">
        <w:rPr>
          <w:rFonts w:cs="Arial"/>
        </w:rPr>
        <w:t>projects should</w:t>
      </w:r>
      <w:r w:rsidRPr="00FC45E9">
        <w:rPr>
          <w:rFonts w:cs="Arial"/>
        </w:rPr>
        <w:t xml:space="preserve"> </w:t>
      </w:r>
      <w:r w:rsidR="00F06FD2">
        <w:rPr>
          <w:rFonts w:cs="Arial"/>
        </w:rPr>
        <w:t>collaborate to</w:t>
      </w:r>
      <w:r w:rsidR="00F06FD2" w:rsidRPr="00FC45E9">
        <w:rPr>
          <w:rFonts w:cs="Arial"/>
        </w:rPr>
        <w:t xml:space="preserve"> </w:t>
      </w:r>
      <w:r w:rsidRPr="00FC45E9">
        <w:rPr>
          <w:rFonts w:cs="Arial"/>
        </w:rPr>
        <w:t>identify and resolve issues, such as constrained suppli</w:t>
      </w:r>
      <w:r w:rsidR="00F06FD2">
        <w:rPr>
          <w:rFonts w:cs="Arial"/>
        </w:rPr>
        <w:t xml:space="preserve">es of </w:t>
      </w:r>
      <w:r w:rsidRPr="00FC45E9">
        <w:rPr>
          <w:rFonts w:cs="Arial"/>
        </w:rPr>
        <w:t>gravel, tradespeople, accommodation</w:t>
      </w:r>
      <w:r>
        <w:rPr>
          <w:rFonts w:cs="Arial"/>
        </w:rPr>
        <w:t>, meals</w:t>
      </w:r>
      <w:r w:rsidRPr="00FC45E9">
        <w:rPr>
          <w:rFonts w:cs="Arial"/>
        </w:rPr>
        <w:t xml:space="preserve"> </w:t>
      </w:r>
      <w:r w:rsidR="00F06FD2">
        <w:rPr>
          <w:rFonts w:cs="Arial"/>
        </w:rPr>
        <w:t>and</w:t>
      </w:r>
      <w:r w:rsidRPr="00FC45E9">
        <w:rPr>
          <w:rFonts w:cs="Arial"/>
        </w:rPr>
        <w:t xml:space="preserve"> road access issues.</w:t>
      </w:r>
    </w:p>
    <w:p w14:paraId="7B1FDA27" w14:textId="5BBA635C" w:rsidR="00C66F7A" w:rsidRPr="00FC45E9" w:rsidRDefault="00F06FD2" w:rsidP="00C66F7A">
      <w:pPr>
        <w:pStyle w:val="ListParagraph"/>
        <w:numPr>
          <w:ilvl w:val="2"/>
          <w:numId w:val="8"/>
        </w:numPr>
        <w:spacing w:line="264" w:lineRule="auto"/>
        <w:ind w:hanging="720"/>
        <w:rPr>
          <w:rFonts w:cs="Arial"/>
        </w:rPr>
      </w:pPr>
      <w:r>
        <w:rPr>
          <w:rFonts w:cs="Arial"/>
        </w:rPr>
        <w:lastRenderedPageBreak/>
        <w:t>T</w:t>
      </w:r>
      <w:r w:rsidR="00C66F7A" w:rsidRPr="00FC45E9">
        <w:rPr>
          <w:rFonts w:cs="Arial"/>
        </w:rPr>
        <w:t xml:space="preserve">he developer may seek out opportunities to facilitate improvements to related community infrastructure. Initiatives </w:t>
      </w:r>
      <w:r w:rsidR="00EA4B8C">
        <w:rPr>
          <w:rFonts w:cs="Arial"/>
        </w:rPr>
        <w:t>may</w:t>
      </w:r>
      <w:r w:rsidR="00EA4B8C" w:rsidRPr="00FC45E9">
        <w:rPr>
          <w:rFonts w:cs="Arial"/>
        </w:rPr>
        <w:t xml:space="preserve"> </w:t>
      </w:r>
      <w:r w:rsidR="00C66F7A" w:rsidRPr="00FC45E9">
        <w:rPr>
          <w:rFonts w:cs="Arial"/>
        </w:rPr>
        <w:t xml:space="preserve">include improving mobile phone coverage, utilising the ‘imported’ project workforce to help upgrade local facilities (such as parks, playgrounds) and other practical activities which </w:t>
      </w:r>
      <w:r w:rsidR="00EA4B8C">
        <w:rPr>
          <w:rFonts w:cs="Arial"/>
        </w:rPr>
        <w:t>would</w:t>
      </w:r>
      <w:r w:rsidR="00EA4B8C" w:rsidRPr="00FC45E9">
        <w:rPr>
          <w:rFonts w:cs="Arial"/>
        </w:rPr>
        <w:t xml:space="preserve"> </w:t>
      </w:r>
      <w:r w:rsidR="00C66F7A" w:rsidRPr="00FC45E9">
        <w:rPr>
          <w:rFonts w:cs="Arial"/>
        </w:rPr>
        <w:t>benefit the overall community for years to come.</w:t>
      </w:r>
    </w:p>
    <w:p w14:paraId="1000FCF6" w14:textId="1262DDC2" w:rsidR="00C66F7A" w:rsidRPr="00FC45E9" w:rsidRDefault="00C66F7A" w:rsidP="00C66F7A">
      <w:pPr>
        <w:pStyle w:val="ListParagraph"/>
        <w:numPr>
          <w:ilvl w:val="2"/>
          <w:numId w:val="8"/>
        </w:numPr>
        <w:spacing w:line="264" w:lineRule="auto"/>
        <w:ind w:hanging="720"/>
        <w:rPr>
          <w:rFonts w:cs="Arial"/>
        </w:rPr>
      </w:pPr>
      <w:r w:rsidRPr="00FC45E9">
        <w:rPr>
          <w:rFonts w:cs="Arial"/>
        </w:rPr>
        <w:t>Local councils should</w:t>
      </w:r>
      <w:r>
        <w:rPr>
          <w:rFonts w:cs="Arial"/>
        </w:rPr>
        <w:t xml:space="preserve"> </w:t>
      </w:r>
      <w:r w:rsidRPr="00FC45E9">
        <w:rPr>
          <w:rFonts w:cs="Arial"/>
        </w:rPr>
        <w:t xml:space="preserve">proactively engage with the project and community, clearly communicating the council’s </w:t>
      </w:r>
      <w:r>
        <w:rPr>
          <w:rFonts w:cs="Arial"/>
        </w:rPr>
        <w:t xml:space="preserve">level of </w:t>
      </w:r>
      <w:r w:rsidRPr="00FC45E9">
        <w:rPr>
          <w:rFonts w:cs="Arial"/>
        </w:rPr>
        <w:t>support for the project as well as its role in facilitating and promoting effective community consultation</w:t>
      </w:r>
      <w:r>
        <w:rPr>
          <w:rFonts w:cs="Arial"/>
        </w:rPr>
        <w:t xml:space="preserve"> and project compliance</w:t>
      </w:r>
      <w:r w:rsidRPr="00FC45E9">
        <w:rPr>
          <w:rFonts w:cs="Arial"/>
        </w:rPr>
        <w:t xml:space="preserve">. Council should participate in any CCC or equivalent. If there are multiple </w:t>
      </w:r>
      <w:r>
        <w:rPr>
          <w:rFonts w:cs="Arial"/>
        </w:rPr>
        <w:t>large-scale infrastructure projects concurrently in development within a c</w:t>
      </w:r>
      <w:r w:rsidRPr="00FC45E9">
        <w:rPr>
          <w:rFonts w:cs="Arial"/>
        </w:rPr>
        <w:t xml:space="preserve">ouncil’s jurisdiction, </w:t>
      </w:r>
      <w:r>
        <w:rPr>
          <w:rFonts w:cs="Arial"/>
        </w:rPr>
        <w:t>c</w:t>
      </w:r>
      <w:r w:rsidRPr="00FC45E9">
        <w:rPr>
          <w:rFonts w:cs="Arial"/>
        </w:rPr>
        <w:t>ouncil liaison resource</w:t>
      </w:r>
      <w:r>
        <w:rPr>
          <w:rFonts w:cs="Arial"/>
        </w:rPr>
        <w:t>s</w:t>
      </w:r>
      <w:r w:rsidR="002B0D1B">
        <w:rPr>
          <w:rFonts w:cs="Arial"/>
        </w:rPr>
        <w:t xml:space="preserve"> </w:t>
      </w:r>
      <w:r w:rsidR="00867E77">
        <w:rPr>
          <w:rFonts w:cs="Arial"/>
        </w:rPr>
        <w:t>should be appointed</w:t>
      </w:r>
      <w:r w:rsidRPr="00FC45E9">
        <w:rPr>
          <w:rFonts w:cs="Arial"/>
        </w:rPr>
        <w:t xml:space="preserve"> to coordinate issue resolution between </w:t>
      </w:r>
      <w:r w:rsidR="00B163BC">
        <w:rPr>
          <w:rFonts w:cs="Arial"/>
        </w:rPr>
        <w:t>C</w:t>
      </w:r>
      <w:r>
        <w:rPr>
          <w:rFonts w:cs="Arial"/>
        </w:rPr>
        <w:t xml:space="preserve">ouncil, </w:t>
      </w:r>
      <w:r w:rsidRPr="00FC45E9">
        <w:rPr>
          <w:rFonts w:cs="Arial"/>
        </w:rPr>
        <w:t>community</w:t>
      </w:r>
      <w:r>
        <w:rPr>
          <w:rFonts w:cs="Arial"/>
        </w:rPr>
        <w:t xml:space="preserve"> members</w:t>
      </w:r>
      <w:r w:rsidRPr="00FC45E9">
        <w:rPr>
          <w:rFonts w:cs="Arial"/>
        </w:rPr>
        <w:t xml:space="preserve"> and developers.</w:t>
      </w:r>
      <w:r>
        <w:rPr>
          <w:rFonts w:cs="Arial"/>
        </w:rPr>
        <w:t xml:space="preserve"> Where appropriate, other planning and approval agencies should ensure that local councils</w:t>
      </w:r>
      <w:r w:rsidRPr="009243AD">
        <w:rPr>
          <w:rFonts w:cs="Arial"/>
        </w:rPr>
        <w:t xml:space="preserve"> </w:t>
      </w:r>
      <w:r>
        <w:rPr>
          <w:rFonts w:cs="Arial"/>
        </w:rPr>
        <w:t xml:space="preserve">are </w:t>
      </w:r>
      <w:r w:rsidRPr="009243AD">
        <w:rPr>
          <w:rFonts w:cs="Arial"/>
        </w:rPr>
        <w:t>provided</w:t>
      </w:r>
      <w:r>
        <w:rPr>
          <w:rFonts w:cs="Arial"/>
        </w:rPr>
        <w:t xml:space="preserve"> sufficient</w:t>
      </w:r>
      <w:r w:rsidRPr="009243AD">
        <w:rPr>
          <w:rFonts w:cs="Arial"/>
        </w:rPr>
        <w:t xml:space="preserve"> opportunities </w:t>
      </w:r>
      <w:r>
        <w:rPr>
          <w:rFonts w:cs="Arial"/>
        </w:rPr>
        <w:t xml:space="preserve">and support </w:t>
      </w:r>
      <w:r w:rsidRPr="009243AD">
        <w:rPr>
          <w:rFonts w:cs="Arial"/>
        </w:rPr>
        <w:t>to</w:t>
      </w:r>
      <w:r>
        <w:rPr>
          <w:rFonts w:cs="Arial"/>
        </w:rPr>
        <w:t xml:space="preserve"> effectively engage in consultation and approval processes for projects. </w:t>
      </w:r>
      <w:r w:rsidR="00867E77">
        <w:rPr>
          <w:rFonts w:cs="Arial"/>
        </w:rPr>
        <w:t>If</w:t>
      </w:r>
      <w:r>
        <w:rPr>
          <w:rFonts w:cs="Arial"/>
        </w:rPr>
        <w:t xml:space="preserve"> Council is the formal planning authority for the project, Council will need to be mindful of any real or perceived conflicts of interest related to the above</w:t>
      </w:r>
      <w:r w:rsidR="00867E77">
        <w:rPr>
          <w:rFonts w:cs="Arial"/>
        </w:rPr>
        <w:t>.</w:t>
      </w:r>
    </w:p>
    <w:p w14:paraId="10F52756" w14:textId="1E0701CB" w:rsidR="00C66F7A" w:rsidRPr="00FC45E9" w:rsidRDefault="00C66F7A" w:rsidP="00C66F7A">
      <w:pPr>
        <w:pStyle w:val="ListParagraph"/>
        <w:numPr>
          <w:ilvl w:val="2"/>
          <w:numId w:val="8"/>
        </w:numPr>
        <w:spacing w:line="264" w:lineRule="auto"/>
        <w:ind w:hanging="720"/>
        <w:rPr>
          <w:rFonts w:cs="Arial"/>
        </w:rPr>
      </w:pPr>
      <w:r w:rsidRPr="00FC45E9">
        <w:rPr>
          <w:rFonts w:cs="Arial"/>
        </w:rPr>
        <w:t xml:space="preserve">Where possible, the developer should engage </w:t>
      </w:r>
      <w:r w:rsidR="004B7448">
        <w:rPr>
          <w:rFonts w:cs="Arial"/>
        </w:rPr>
        <w:t xml:space="preserve">local </w:t>
      </w:r>
      <w:r w:rsidRPr="00FC45E9">
        <w:rPr>
          <w:rFonts w:cs="Arial"/>
        </w:rPr>
        <w:t xml:space="preserve">staff (or </w:t>
      </w:r>
      <w:r>
        <w:rPr>
          <w:rFonts w:cs="Arial"/>
        </w:rPr>
        <w:t>re</w:t>
      </w:r>
      <w:r w:rsidRPr="00FC45E9">
        <w:rPr>
          <w:rFonts w:cs="Arial"/>
        </w:rPr>
        <w:t xml:space="preserve">locate </w:t>
      </w:r>
      <w:r w:rsidR="004B7448">
        <w:rPr>
          <w:rFonts w:cs="Arial"/>
        </w:rPr>
        <w:t xml:space="preserve">staff </w:t>
      </w:r>
      <w:r>
        <w:rPr>
          <w:rFonts w:cs="Arial"/>
        </w:rPr>
        <w:t xml:space="preserve">into the project </w:t>
      </w:r>
      <w:r w:rsidR="004B7448">
        <w:rPr>
          <w:rFonts w:cs="Arial"/>
        </w:rPr>
        <w:t>area</w:t>
      </w:r>
      <w:r w:rsidRPr="00FC45E9">
        <w:rPr>
          <w:rFonts w:cs="Arial"/>
        </w:rPr>
        <w:t>) to lead community engagement activities and respond to community concerns and complaints.</w:t>
      </w:r>
      <w:r>
        <w:rPr>
          <w:rFonts w:cs="Arial"/>
        </w:rPr>
        <w:t xml:space="preserve">  </w:t>
      </w:r>
      <w:r w:rsidRPr="00FC45E9">
        <w:rPr>
          <w:rFonts w:cs="Arial"/>
        </w:rPr>
        <w:t>The developer should also seek to hire local tradespeople</w:t>
      </w:r>
      <w:r>
        <w:rPr>
          <w:rFonts w:cs="Arial"/>
        </w:rPr>
        <w:t>,</w:t>
      </w:r>
      <w:r w:rsidRPr="00FC45E9">
        <w:rPr>
          <w:rFonts w:cs="Arial"/>
        </w:rPr>
        <w:t xml:space="preserve"> contractor staff </w:t>
      </w:r>
      <w:r>
        <w:rPr>
          <w:rFonts w:cs="Arial"/>
        </w:rPr>
        <w:t>and other suppliers</w:t>
      </w:r>
      <w:r w:rsidRPr="00FC45E9">
        <w:rPr>
          <w:rFonts w:cs="Arial"/>
        </w:rPr>
        <w:t>.</w:t>
      </w:r>
    </w:p>
    <w:p w14:paraId="27F2CA09" w14:textId="0DDC8CEF" w:rsidR="00C66F7A" w:rsidRPr="00FC45E9" w:rsidRDefault="00C66F7A" w:rsidP="00C66F7A">
      <w:pPr>
        <w:pStyle w:val="ListParagraph"/>
        <w:numPr>
          <w:ilvl w:val="2"/>
          <w:numId w:val="8"/>
        </w:numPr>
        <w:spacing w:line="264" w:lineRule="auto"/>
        <w:ind w:hanging="720"/>
        <w:rPr>
          <w:rFonts w:cs="Arial"/>
        </w:rPr>
      </w:pPr>
      <w:r w:rsidRPr="00FC45E9">
        <w:rPr>
          <w:rFonts w:cs="Arial"/>
        </w:rPr>
        <w:t xml:space="preserve">Once a </w:t>
      </w:r>
      <w:r>
        <w:rPr>
          <w:rFonts w:cs="Arial"/>
        </w:rPr>
        <w:t>project</w:t>
      </w:r>
      <w:r w:rsidRPr="00FC45E9">
        <w:rPr>
          <w:rFonts w:cs="Arial"/>
        </w:rPr>
        <w:t xml:space="preserve"> is in operation, the developer should continue to provide information and updates about the </w:t>
      </w:r>
      <w:r>
        <w:rPr>
          <w:rFonts w:cs="Arial"/>
        </w:rPr>
        <w:t>project</w:t>
      </w:r>
      <w:r w:rsidRPr="00FC45E9">
        <w:rPr>
          <w:rFonts w:cs="Arial"/>
        </w:rPr>
        <w:t xml:space="preserve"> a</w:t>
      </w:r>
      <w:r>
        <w:rPr>
          <w:rFonts w:cs="Arial"/>
        </w:rPr>
        <w:t>s well as</w:t>
      </w:r>
      <w:r w:rsidRPr="00FC45E9">
        <w:rPr>
          <w:rFonts w:cs="Arial"/>
        </w:rPr>
        <w:t xml:space="preserve"> provide opportunities for the community to visit the </w:t>
      </w:r>
      <w:r>
        <w:rPr>
          <w:rFonts w:cs="Arial"/>
        </w:rPr>
        <w:t xml:space="preserve">project </w:t>
      </w:r>
      <w:r w:rsidRPr="00FC45E9">
        <w:rPr>
          <w:rFonts w:cs="Arial"/>
        </w:rPr>
        <w:t>site (such as an ‘open day’).</w:t>
      </w:r>
    </w:p>
    <w:p w14:paraId="283D932A" w14:textId="278396EF" w:rsidR="00C66F7A" w:rsidRDefault="00C66F7A" w:rsidP="00C66F7A">
      <w:pPr>
        <w:pStyle w:val="ListParagraph"/>
        <w:numPr>
          <w:ilvl w:val="2"/>
          <w:numId w:val="8"/>
        </w:numPr>
        <w:spacing w:line="264" w:lineRule="auto"/>
        <w:ind w:hanging="720"/>
        <w:rPr>
          <w:rFonts w:cs="Arial"/>
        </w:rPr>
      </w:pPr>
      <w:r w:rsidRPr="00FC45E9">
        <w:rPr>
          <w:rFonts w:cs="Arial"/>
        </w:rPr>
        <w:t>The developer should consider establishing and maintaining a community engagement fund and ensure there is appropriate community involvement in the governance and management of the fund. In some jurisdictions, such a fund is mandated. The fund should allow opportunities for community originated submissions to obtain funding for project</w:t>
      </w:r>
      <w:r w:rsidR="004B7448">
        <w:rPr>
          <w:rFonts w:cs="Arial"/>
        </w:rPr>
        <w:t>s</w:t>
      </w:r>
      <w:r w:rsidRPr="00FC45E9">
        <w:rPr>
          <w:rFonts w:cs="Arial"/>
        </w:rPr>
        <w:t xml:space="preserve">. Prioritisation of funded projects that benefit community members more directly affected by the presence of the </w:t>
      </w:r>
      <w:r>
        <w:rPr>
          <w:rFonts w:cs="Arial"/>
        </w:rPr>
        <w:t xml:space="preserve">project </w:t>
      </w:r>
      <w:r w:rsidRPr="00FC45E9">
        <w:rPr>
          <w:rFonts w:cs="Arial"/>
        </w:rPr>
        <w:t>should be encouraged.</w:t>
      </w:r>
      <w:r>
        <w:rPr>
          <w:rFonts w:cs="Arial"/>
        </w:rPr>
        <w:t xml:space="preserve"> </w:t>
      </w:r>
      <w:r w:rsidRPr="00FC45E9">
        <w:rPr>
          <w:rFonts w:cs="Arial"/>
        </w:rPr>
        <w:t xml:space="preserve">The community </w:t>
      </w:r>
      <w:r>
        <w:rPr>
          <w:rFonts w:cs="Arial"/>
        </w:rPr>
        <w:t xml:space="preserve">fund </w:t>
      </w:r>
      <w:r w:rsidRPr="00FC45E9">
        <w:rPr>
          <w:rFonts w:cs="Arial"/>
        </w:rPr>
        <w:t xml:space="preserve">should include and benefit community members that live in proximity to the </w:t>
      </w:r>
      <w:r>
        <w:rPr>
          <w:rFonts w:cs="Arial"/>
        </w:rPr>
        <w:t xml:space="preserve">project, </w:t>
      </w:r>
      <w:r w:rsidRPr="00FC45E9">
        <w:rPr>
          <w:rFonts w:cs="Arial"/>
        </w:rPr>
        <w:t>rather than only supporting projects related to a regional centre.</w:t>
      </w:r>
      <w:r>
        <w:rPr>
          <w:rFonts w:cs="Arial"/>
        </w:rPr>
        <w:t xml:space="preserve"> </w:t>
      </w:r>
    </w:p>
    <w:p w14:paraId="5D436834" w14:textId="49A034F6" w:rsidR="00C66F7A" w:rsidRPr="00FC45E9" w:rsidRDefault="00C66F7A" w:rsidP="00C66F7A">
      <w:pPr>
        <w:pStyle w:val="ListParagraph"/>
        <w:numPr>
          <w:ilvl w:val="2"/>
          <w:numId w:val="8"/>
        </w:numPr>
        <w:spacing w:line="264" w:lineRule="auto"/>
        <w:ind w:hanging="720"/>
        <w:rPr>
          <w:rFonts w:cs="Arial"/>
        </w:rPr>
      </w:pPr>
      <w:r w:rsidRPr="00E34265">
        <w:t>Developers may wish to consider providing offers for community members to become shareholders in the project</w:t>
      </w:r>
      <w:r w:rsidR="004B7448">
        <w:t>. This</w:t>
      </w:r>
      <w:r w:rsidRPr="00E34265">
        <w:t xml:space="preserve"> can provide a practical sense of ownership within the community. Developers may also offer </w:t>
      </w:r>
      <w:r>
        <w:t>beneficial arrangements to community members such as reduced</w:t>
      </w:r>
      <w:r w:rsidR="004B7448">
        <w:t xml:space="preserve"> or </w:t>
      </w:r>
      <w:r>
        <w:t xml:space="preserve">subsidised </w:t>
      </w:r>
      <w:r w:rsidRPr="00E34265">
        <w:t xml:space="preserve">electricity </w:t>
      </w:r>
      <w:r>
        <w:t>bills</w:t>
      </w:r>
      <w:r w:rsidRPr="00E34265">
        <w:t>, gift cards</w:t>
      </w:r>
      <w:r>
        <w:t xml:space="preserve"> for use at local vendors</w:t>
      </w:r>
      <w:r w:rsidRPr="00E34265">
        <w:t xml:space="preserve"> or other </w:t>
      </w:r>
      <w:r>
        <w:t xml:space="preserve">practical </w:t>
      </w:r>
      <w:r w:rsidRPr="00E34265">
        <w:t xml:space="preserve">benefits to local residents </w:t>
      </w:r>
      <w:r>
        <w:t xml:space="preserve">and businesses </w:t>
      </w:r>
      <w:r w:rsidRPr="00E34265">
        <w:t>within the immediate community.</w:t>
      </w:r>
    </w:p>
    <w:p w14:paraId="7E018AB3" w14:textId="47213EFB" w:rsidR="00C66F7A" w:rsidRPr="00FC45E9" w:rsidRDefault="004B7448" w:rsidP="00C66F7A">
      <w:pPr>
        <w:pStyle w:val="ListParagraph"/>
        <w:numPr>
          <w:ilvl w:val="2"/>
          <w:numId w:val="8"/>
        </w:numPr>
        <w:spacing w:line="264" w:lineRule="auto"/>
        <w:ind w:hanging="720"/>
        <w:rPr>
          <w:rFonts w:cs="Arial"/>
        </w:rPr>
      </w:pPr>
      <w:r>
        <w:rPr>
          <w:rFonts w:cs="Arial"/>
        </w:rPr>
        <w:t>Project s</w:t>
      </w:r>
      <w:r w:rsidR="00C66F7A" w:rsidRPr="00FC45E9">
        <w:rPr>
          <w:rFonts w:cs="Arial"/>
        </w:rPr>
        <w:t xml:space="preserve">takeholders, including the responsible authority, council, bankers, investors and regulators, should seek evidence of the project’s community engagement plan and </w:t>
      </w:r>
      <w:r>
        <w:rPr>
          <w:rFonts w:cs="Arial"/>
        </w:rPr>
        <w:t xml:space="preserve">the </w:t>
      </w:r>
      <w:r w:rsidR="00C66F7A" w:rsidRPr="00FC45E9">
        <w:rPr>
          <w:rFonts w:cs="Arial"/>
        </w:rPr>
        <w:t xml:space="preserve">outcome </w:t>
      </w:r>
      <w:r>
        <w:rPr>
          <w:rFonts w:cs="Arial"/>
        </w:rPr>
        <w:t>of</w:t>
      </w:r>
      <w:r w:rsidRPr="00FC45E9">
        <w:rPr>
          <w:rFonts w:cs="Arial"/>
        </w:rPr>
        <w:t xml:space="preserve"> </w:t>
      </w:r>
      <w:r w:rsidR="00C66F7A" w:rsidRPr="00FC45E9">
        <w:rPr>
          <w:rFonts w:cs="Arial"/>
        </w:rPr>
        <w:t>the plan</w:t>
      </w:r>
      <w:r>
        <w:rPr>
          <w:rFonts w:cs="Arial"/>
        </w:rPr>
        <w:t xml:space="preserve">. This information should inform the stakeholder’s decision making and influence on </w:t>
      </w:r>
      <w:r w:rsidR="00C66F7A" w:rsidRPr="00FC45E9">
        <w:rPr>
          <w:rFonts w:cs="Arial"/>
        </w:rPr>
        <w:t>the project and developer.</w:t>
      </w:r>
    </w:p>
    <w:p w14:paraId="1C32DFE1" w14:textId="07D83E9D" w:rsidR="00C66F7A" w:rsidRPr="00FC45E9" w:rsidRDefault="00C66F7A" w:rsidP="00C66F7A">
      <w:pPr>
        <w:pStyle w:val="ListParagraph"/>
        <w:numPr>
          <w:ilvl w:val="2"/>
          <w:numId w:val="8"/>
        </w:numPr>
        <w:spacing w:line="264" w:lineRule="auto"/>
        <w:ind w:hanging="720"/>
        <w:rPr>
          <w:rFonts w:cs="Arial"/>
        </w:rPr>
      </w:pPr>
      <w:r w:rsidRPr="00FC45E9">
        <w:rPr>
          <w:rFonts w:cs="Arial"/>
        </w:rPr>
        <w:t xml:space="preserve">Industry bodies, such as the Clean Energy Council (CEC) and the </w:t>
      </w:r>
      <w:r>
        <w:rPr>
          <w:rFonts w:cs="Arial"/>
        </w:rPr>
        <w:t xml:space="preserve">Renewable Energy </w:t>
      </w:r>
      <w:r w:rsidRPr="00FC45E9">
        <w:rPr>
          <w:rFonts w:cs="Arial"/>
        </w:rPr>
        <w:t>Alliance (</w:t>
      </w:r>
      <w:r>
        <w:rPr>
          <w:rFonts w:cs="Arial"/>
        </w:rPr>
        <w:t>RE</w:t>
      </w:r>
      <w:r w:rsidR="004E0EB9">
        <w:rPr>
          <w:rFonts w:cs="Arial"/>
        </w:rPr>
        <w:t>-</w:t>
      </w:r>
      <w:r>
        <w:rPr>
          <w:rFonts w:cs="Arial"/>
        </w:rPr>
        <w:t>A</w:t>
      </w:r>
      <w:r w:rsidR="004E0EB9">
        <w:rPr>
          <w:rFonts w:cs="Arial"/>
        </w:rPr>
        <w:t>lliance</w:t>
      </w:r>
      <w:r w:rsidRPr="00FC45E9">
        <w:rPr>
          <w:rFonts w:cs="Arial"/>
        </w:rPr>
        <w:t xml:space="preserve">), should continue to promote effective community engagement and publicly recognise </w:t>
      </w:r>
      <w:r>
        <w:rPr>
          <w:rFonts w:cs="Arial"/>
        </w:rPr>
        <w:t>individuals and organisations</w:t>
      </w:r>
      <w:r w:rsidRPr="00FC45E9">
        <w:rPr>
          <w:rFonts w:cs="Arial"/>
        </w:rPr>
        <w:t xml:space="preserve"> achieving excellence in positive community engagement outcomes. Appropriate priority should </w:t>
      </w:r>
      <w:r>
        <w:rPr>
          <w:rFonts w:cs="Arial"/>
        </w:rPr>
        <w:t xml:space="preserve">continue to </w:t>
      </w:r>
      <w:r w:rsidRPr="00FC45E9">
        <w:rPr>
          <w:rFonts w:cs="Arial"/>
        </w:rPr>
        <w:t xml:space="preserve">be given to this topic when designing industry forum </w:t>
      </w:r>
      <w:r>
        <w:rPr>
          <w:rFonts w:cs="Arial"/>
        </w:rPr>
        <w:t>programs</w:t>
      </w:r>
      <w:r w:rsidRPr="00FC45E9">
        <w:rPr>
          <w:rFonts w:cs="Arial"/>
        </w:rPr>
        <w:t xml:space="preserve">. </w:t>
      </w:r>
    </w:p>
    <w:p w14:paraId="66C36F1C" w14:textId="44D183E2" w:rsidR="00C66F7A" w:rsidRPr="00FC45E9" w:rsidRDefault="00C66F7A" w:rsidP="00C66F7A">
      <w:pPr>
        <w:pStyle w:val="ListParagraph"/>
        <w:numPr>
          <w:ilvl w:val="2"/>
          <w:numId w:val="8"/>
        </w:numPr>
        <w:spacing w:line="264" w:lineRule="auto"/>
        <w:ind w:hanging="720"/>
        <w:rPr>
          <w:rFonts w:cs="Arial"/>
        </w:rPr>
      </w:pPr>
      <w:r w:rsidRPr="00FC45E9">
        <w:rPr>
          <w:rFonts w:cs="Arial"/>
        </w:rPr>
        <w:t>State governments can continue to play a key role by promoti</w:t>
      </w:r>
      <w:r w:rsidR="00132B10">
        <w:rPr>
          <w:rFonts w:cs="Arial"/>
        </w:rPr>
        <w:t>ng</w:t>
      </w:r>
      <w:r w:rsidRPr="00FC45E9">
        <w:rPr>
          <w:rFonts w:cs="Arial"/>
        </w:rPr>
        <w:t xml:space="preserve"> effective community engagement. </w:t>
      </w:r>
      <w:r w:rsidR="00132B10">
        <w:rPr>
          <w:rFonts w:cs="Arial"/>
        </w:rPr>
        <w:t xml:space="preserve">Examples of this include the decision to include </w:t>
      </w:r>
      <w:r w:rsidRPr="00FC45E9">
        <w:rPr>
          <w:rFonts w:cs="Arial"/>
        </w:rPr>
        <w:t xml:space="preserve">community engagement plans as a key selection criterion for eligibility </w:t>
      </w:r>
      <w:r w:rsidR="00132B10">
        <w:rPr>
          <w:rFonts w:cs="Arial"/>
        </w:rPr>
        <w:t>for</w:t>
      </w:r>
      <w:r w:rsidRPr="00FC45E9">
        <w:rPr>
          <w:rFonts w:cs="Arial"/>
        </w:rPr>
        <w:t xml:space="preserve"> government ‘feed-in tariff’ </w:t>
      </w:r>
      <w:r>
        <w:rPr>
          <w:rFonts w:cs="Arial"/>
        </w:rPr>
        <w:t xml:space="preserve">programs </w:t>
      </w:r>
      <w:r w:rsidR="00132B10">
        <w:rPr>
          <w:rFonts w:cs="Arial"/>
        </w:rPr>
        <w:t>and</w:t>
      </w:r>
      <w:r w:rsidRPr="00FC45E9">
        <w:rPr>
          <w:rFonts w:cs="Arial"/>
        </w:rPr>
        <w:t xml:space="preserve"> utilising formal permit conditions to mandate preparation</w:t>
      </w:r>
      <w:r>
        <w:rPr>
          <w:rFonts w:cs="Arial"/>
        </w:rPr>
        <w:t>,</w:t>
      </w:r>
      <w:r w:rsidRPr="00FC45E9">
        <w:rPr>
          <w:rFonts w:cs="Arial"/>
        </w:rPr>
        <w:t xml:space="preserve"> endorsement </w:t>
      </w:r>
      <w:r>
        <w:rPr>
          <w:rFonts w:cs="Arial"/>
        </w:rPr>
        <w:t xml:space="preserve">and execution </w:t>
      </w:r>
      <w:r w:rsidRPr="00FC45E9">
        <w:rPr>
          <w:rFonts w:cs="Arial"/>
        </w:rPr>
        <w:t>of the plan.</w:t>
      </w:r>
    </w:p>
    <w:p w14:paraId="728A8419" w14:textId="51671A85" w:rsidR="00C66F7A" w:rsidRDefault="00093AFB" w:rsidP="00C66F7A">
      <w:pPr>
        <w:pStyle w:val="ListParagraph"/>
        <w:numPr>
          <w:ilvl w:val="2"/>
          <w:numId w:val="8"/>
        </w:numPr>
        <w:spacing w:line="264" w:lineRule="auto"/>
        <w:ind w:hanging="720"/>
        <w:rPr>
          <w:rFonts w:cs="Arial"/>
        </w:rPr>
      </w:pPr>
      <w:r>
        <w:rPr>
          <w:rFonts w:cs="Arial"/>
        </w:rPr>
        <w:lastRenderedPageBreak/>
        <w:t>D</w:t>
      </w:r>
      <w:r w:rsidR="00C66F7A" w:rsidRPr="00E13D83">
        <w:rPr>
          <w:rFonts w:cs="Arial"/>
        </w:rPr>
        <w:t>evelopers should ensure that all contractors</w:t>
      </w:r>
      <w:r w:rsidR="00C66F7A">
        <w:rPr>
          <w:rFonts w:cs="Arial"/>
        </w:rPr>
        <w:t>, sub-contractors</w:t>
      </w:r>
      <w:r w:rsidR="00C66F7A" w:rsidRPr="00E13D83">
        <w:rPr>
          <w:rFonts w:cs="Arial"/>
        </w:rPr>
        <w:t xml:space="preserve"> and other project stakeholders are aware of their responsibility to engage well with the community and minimise community impacts. If there are multiple infrastructure development projects occurring </w:t>
      </w:r>
      <w:r w:rsidR="00C66F7A">
        <w:rPr>
          <w:rFonts w:cs="Arial"/>
        </w:rPr>
        <w:t>with</w:t>
      </w:r>
      <w:r w:rsidR="00C66F7A" w:rsidRPr="00E13D83">
        <w:rPr>
          <w:rFonts w:cs="Arial"/>
        </w:rPr>
        <w:t xml:space="preserve">in a region, developers should be aware of potential cumulative impacts to </w:t>
      </w:r>
      <w:r>
        <w:rPr>
          <w:rFonts w:cs="Arial"/>
        </w:rPr>
        <w:t>the</w:t>
      </w:r>
      <w:r w:rsidR="00C66F7A" w:rsidRPr="00E13D83">
        <w:rPr>
          <w:rFonts w:cs="Arial"/>
        </w:rPr>
        <w:t xml:space="preserve"> community and should liaise with local councils and other developers to proactively plan to avoid or minimise unnecessary impact</w:t>
      </w:r>
      <w:r>
        <w:rPr>
          <w:rFonts w:cs="Arial"/>
        </w:rPr>
        <w:t>.</w:t>
      </w:r>
    </w:p>
    <w:p w14:paraId="46FAA7BF" w14:textId="5900E097" w:rsidR="00C66F7A" w:rsidRDefault="00C66F7A" w:rsidP="00C66F7A">
      <w:pPr>
        <w:pStyle w:val="ListParagraph"/>
        <w:numPr>
          <w:ilvl w:val="2"/>
          <w:numId w:val="8"/>
        </w:numPr>
        <w:spacing w:line="264" w:lineRule="auto"/>
        <w:ind w:hanging="720"/>
        <w:rPr>
          <w:rFonts w:cs="Arial"/>
        </w:rPr>
      </w:pPr>
      <w:r>
        <w:rPr>
          <w:rFonts w:cs="Arial"/>
        </w:rPr>
        <w:t>Transmission developers should minimis</w:t>
      </w:r>
      <w:r w:rsidR="0032768E">
        <w:rPr>
          <w:rFonts w:cs="Arial"/>
        </w:rPr>
        <w:t xml:space="preserve">e </w:t>
      </w:r>
      <w:r>
        <w:rPr>
          <w:rFonts w:cs="Arial"/>
        </w:rPr>
        <w:t xml:space="preserve">the number of route options </w:t>
      </w:r>
      <w:r w:rsidR="0032768E">
        <w:rPr>
          <w:rFonts w:cs="Arial"/>
        </w:rPr>
        <w:t>they</w:t>
      </w:r>
      <w:r>
        <w:rPr>
          <w:rFonts w:cs="Arial"/>
        </w:rPr>
        <w:t xml:space="preserve"> announce for public review and consultation. Too many route options may generate</w:t>
      </w:r>
      <w:r w:rsidR="0032768E">
        <w:rPr>
          <w:rFonts w:cs="Arial"/>
        </w:rPr>
        <w:t xml:space="preserve"> unnecessary</w:t>
      </w:r>
      <w:r>
        <w:rPr>
          <w:rFonts w:cs="Arial"/>
        </w:rPr>
        <w:t xml:space="preserve"> widespread opposition to the project, </w:t>
      </w:r>
      <w:r w:rsidR="0032768E">
        <w:rPr>
          <w:rFonts w:cs="Arial"/>
        </w:rPr>
        <w:t>especially if</w:t>
      </w:r>
      <w:r>
        <w:rPr>
          <w:rFonts w:cs="Arial"/>
        </w:rPr>
        <w:t xml:space="preserve"> there is ultimately only one obvious and viable route.</w:t>
      </w:r>
    </w:p>
    <w:p w14:paraId="19021D2F" w14:textId="56F0097A" w:rsidR="00C66F7A" w:rsidRDefault="00C66F7A" w:rsidP="00C66F7A">
      <w:pPr>
        <w:pStyle w:val="ListParagraph"/>
        <w:numPr>
          <w:ilvl w:val="2"/>
          <w:numId w:val="8"/>
        </w:numPr>
        <w:spacing w:line="264" w:lineRule="auto"/>
        <w:ind w:hanging="720"/>
        <w:rPr>
          <w:rFonts w:cs="Arial"/>
        </w:rPr>
      </w:pPr>
      <w:r>
        <w:rPr>
          <w:rFonts w:cs="Arial"/>
        </w:rPr>
        <w:t>Offshore wind farm developers will need to be cogni</w:t>
      </w:r>
      <w:r w:rsidR="00B67B23">
        <w:rPr>
          <w:rFonts w:cs="Arial"/>
        </w:rPr>
        <w:t>s</w:t>
      </w:r>
      <w:r>
        <w:rPr>
          <w:rFonts w:cs="Arial"/>
        </w:rPr>
        <w:t>ant of the diverse stakeholder</w:t>
      </w:r>
      <w:r w:rsidR="00B67B23">
        <w:rPr>
          <w:rFonts w:cs="Arial"/>
        </w:rPr>
        <w:t>s</w:t>
      </w:r>
      <w:r>
        <w:rPr>
          <w:rFonts w:cs="Arial"/>
        </w:rPr>
        <w:t xml:space="preserve"> </w:t>
      </w:r>
      <w:r w:rsidR="00B67B23">
        <w:rPr>
          <w:rFonts w:cs="Arial"/>
        </w:rPr>
        <w:t xml:space="preserve">to their projects. Stakeholders will be </w:t>
      </w:r>
      <w:r>
        <w:rPr>
          <w:rFonts w:cs="Arial"/>
        </w:rPr>
        <w:t>geographically and functionally</w:t>
      </w:r>
      <w:r w:rsidR="00B67B23">
        <w:rPr>
          <w:rFonts w:cs="Arial"/>
        </w:rPr>
        <w:t xml:space="preserve"> diverse, </w:t>
      </w:r>
      <w:r>
        <w:rPr>
          <w:rFonts w:cs="Arial"/>
        </w:rPr>
        <w:t xml:space="preserve">including </w:t>
      </w:r>
      <w:r w:rsidR="006E499A">
        <w:rPr>
          <w:rFonts w:cs="Arial"/>
        </w:rPr>
        <w:t>onshore</w:t>
      </w:r>
      <w:r>
        <w:rPr>
          <w:rFonts w:cs="Arial"/>
        </w:rPr>
        <w:t xml:space="preserve"> landholders and community that may be affected by infrastructure such as transmission deployments and pre-assembly activities. </w:t>
      </w:r>
    </w:p>
    <w:p w14:paraId="012662E7" w14:textId="77777777" w:rsidR="00C66F7A" w:rsidRDefault="00C66F7A" w:rsidP="00C66F7A">
      <w:pPr>
        <w:rPr>
          <w:rFonts w:cs="Arial"/>
        </w:rPr>
      </w:pPr>
      <w:r>
        <w:rPr>
          <w:rFonts w:cs="Arial"/>
        </w:rPr>
        <w:br w:type="page"/>
      </w:r>
    </w:p>
    <w:p w14:paraId="38ACEEB1" w14:textId="77777777" w:rsidR="00C66F7A" w:rsidRPr="00FC45E9" w:rsidRDefault="00C66F7A" w:rsidP="00C66F7A">
      <w:pPr>
        <w:pStyle w:val="Heading2"/>
        <w:numPr>
          <w:ilvl w:val="0"/>
          <w:numId w:val="8"/>
        </w:numPr>
      </w:pPr>
      <w:bookmarkStart w:id="192" w:name="_Toc51224051"/>
      <w:bookmarkStart w:id="193" w:name="_Toc84430832"/>
      <w:bookmarkStart w:id="194" w:name="_Toc98781022"/>
      <w:bookmarkStart w:id="195" w:name="_Toc135390634"/>
      <w:r w:rsidRPr="00FC45E9">
        <w:lastRenderedPageBreak/>
        <w:t>Planning Permits – Time Limits and Scope Changes</w:t>
      </w:r>
      <w:bookmarkEnd w:id="192"/>
      <w:bookmarkEnd w:id="193"/>
      <w:bookmarkEnd w:id="194"/>
      <w:bookmarkEnd w:id="195"/>
    </w:p>
    <w:p w14:paraId="5D4DCDAC"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0CD82ED5" w14:textId="77777777" w:rsidR="00C66F7A" w:rsidRPr="00861E58" w:rsidRDefault="00C66F7A" w:rsidP="00F25864">
      <w:pPr>
        <w:pStyle w:val="Heading3"/>
        <w:ind w:firstLine="360"/>
      </w:pPr>
      <w:bookmarkStart w:id="196" w:name="_Toc132641489"/>
      <w:bookmarkStart w:id="197" w:name="_Toc135390635"/>
      <w:r w:rsidRPr="00861E58">
        <w:t>Background</w:t>
      </w:r>
      <w:bookmarkEnd w:id="196"/>
      <w:bookmarkEnd w:id="197"/>
    </w:p>
    <w:p w14:paraId="5C8951B5" w14:textId="704E92C1" w:rsidR="00C66F7A" w:rsidRDefault="00B67B23" w:rsidP="00C66F7A">
      <w:pPr>
        <w:pStyle w:val="ListParagraph"/>
        <w:numPr>
          <w:ilvl w:val="0"/>
          <w:numId w:val="0"/>
        </w:numPr>
        <w:spacing w:line="264" w:lineRule="auto"/>
        <w:ind w:left="360"/>
        <w:rPr>
          <w:rFonts w:cs="Arial"/>
        </w:rPr>
      </w:pPr>
      <w:r>
        <w:rPr>
          <w:rFonts w:cs="Arial"/>
        </w:rPr>
        <w:t>P</w:t>
      </w:r>
      <w:r w:rsidR="00C66F7A">
        <w:rPr>
          <w:rFonts w:cs="Arial"/>
        </w:rPr>
        <w:t>roject</w:t>
      </w:r>
      <w:r w:rsidR="00C66F7A" w:rsidRPr="00FC45E9">
        <w:rPr>
          <w:rFonts w:cs="Arial"/>
        </w:rPr>
        <w:t xml:space="preserve"> planning permit</w:t>
      </w:r>
      <w:r>
        <w:rPr>
          <w:rFonts w:cs="Arial"/>
        </w:rPr>
        <w:t>s</w:t>
      </w:r>
      <w:r w:rsidR="00C66F7A" w:rsidRPr="00FC45E9">
        <w:rPr>
          <w:rFonts w:cs="Arial"/>
        </w:rPr>
        <w:t xml:space="preserve"> </w:t>
      </w:r>
      <w:r>
        <w:rPr>
          <w:rFonts w:cs="Arial"/>
        </w:rPr>
        <w:t xml:space="preserve">are usually </w:t>
      </w:r>
      <w:r w:rsidR="00C66F7A" w:rsidRPr="00FC45E9">
        <w:rPr>
          <w:rFonts w:cs="Arial"/>
        </w:rPr>
        <w:t>granted for a period of five years.</w:t>
      </w:r>
      <w:r w:rsidR="00C66F7A">
        <w:rPr>
          <w:rFonts w:cs="Arial"/>
        </w:rPr>
        <w:t xml:space="preserve"> </w:t>
      </w:r>
      <w:r w:rsidR="00C66F7A" w:rsidRPr="00FC45E9">
        <w:rPr>
          <w:rFonts w:cs="Arial"/>
        </w:rPr>
        <w:t xml:space="preserve">The developer </w:t>
      </w:r>
      <w:r>
        <w:rPr>
          <w:rFonts w:cs="Arial"/>
        </w:rPr>
        <w:t>must utilise</w:t>
      </w:r>
      <w:r w:rsidR="00C66F7A" w:rsidRPr="00FC45E9">
        <w:rPr>
          <w:rFonts w:cs="Arial"/>
        </w:rPr>
        <w:t xml:space="preserve"> that period to complete the plans and assessments required by the permit </w:t>
      </w:r>
      <w:r w:rsidR="00B4667E">
        <w:rPr>
          <w:rFonts w:cs="Arial"/>
        </w:rPr>
        <w:t>to</w:t>
      </w:r>
      <w:r w:rsidR="00C66F7A" w:rsidRPr="00FC45E9">
        <w:rPr>
          <w:rFonts w:cs="Arial"/>
        </w:rPr>
        <w:t xml:space="preserve"> commence construction of the </w:t>
      </w:r>
      <w:r w:rsidR="00C66F7A">
        <w:rPr>
          <w:rFonts w:cs="Arial"/>
        </w:rPr>
        <w:t>project</w:t>
      </w:r>
      <w:r w:rsidR="00C66F7A" w:rsidRPr="00FC45E9">
        <w:rPr>
          <w:rFonts w:cs="Arial"/>
        </w:rPr>
        <w:t xml:space="preserve">. </w:t>
      </w:r>
      <w:r w:rsidR="00C66F7A">
        <w:rPr>
          <w:rFonts w:cs="Arial"/>
        </w:rPr>
        <w:t>It is common that c</w:t>
      </w:r>
      <w:r w:rsidR="00C66F7A" w:rsidRPr="00FC45E9">
        <w:rPr>
          <w:rFonts w:cs="Arial"/>
        </w:rPr>
        <w:t xml:space="preserve">onstruction is not </w:t>
      </w:r>
      <w:r>
        <w:rPr>
          <w:rFonts w:cs="Arial"/>
        </w:rPr>
        <w:t>commenced</w:t>
      </w:r>
      <w:r w:rsidRPr="00FC45E9">
        <w:rPr>
          <w:rFonts w:cs="Arial"/>
        </w:rPr>
        <w:t xml:space="preserve"> </w:t>
      </w:r>
      <w:r w:rsidR="00C66F7A" w:rsidRPr="00FC45E9">
        <w:rPr>
          <w:rFonts w:cs="Arial"/>
        </w:rPr>
        <w:t>within this five</w:t>
      </w:r>
      <w:r w:rsidR="00C66F7A">
        <w:rPr>
          <w:rFonts w:cs="Arial"/>
        </w:rPr>
        <w:t>-</w:t>
      </w:r>
      <w:r w:rsidR="00C66F7A" w:rsidRPr="00FC45E9">
        <w:rPr>
          <w:rFonts w:cs="Arial"/>
        </w:rPr>
        <w:t xml:space="preserve">year period </w:t>
      </w:r>
      <w:r>
        <w:rPr>
          <w:rFonts w:cs="Arial"/>
        </w:rPr>
        <w:t>and</w:t>
      </w:r>
      <w:r w:rsidR="00C66F7A" w:rsidRPr="00FC45E9">
        <w:rPr>
          <w:rFonts w:cs="Arial"/>
        </w:rPr>
        <w:t xml:space="preserve"> the developer </w:t>
      </w:r>
      <w:r>
        <w:rPr>
          <w:rFonts w:cs="Arial"/>
        </w:rPr>
        <w:t xml:space="preserve">will usually </w:t>
      </w:r>
      <w:r w:rsidR="00C66F7A" w:rsidRPr="00FC45E9">
        <w:rPr>
          <w:rFonts w:cs="Arial"/>
        </w:rPr>
        <w:t>appl</w:t>
      </w:r>
      <w:r>
        <w:rPr>
          <w:rFonts w:cs="Arial"/>
        </w:rPr>
        <w:t>y</w:t>
      </w:r>
      <w:r w:rsidR="00C66F7A" w:rsidRPr="00FC45E9">
        <w:rPr>
          <w:rFonts w:cs="Arial"/>
        </w:rPr>
        <w:t xml:space="preserve"> for an exte</w:t>
      </w:r>
      <w:r w:rsidR="00C66F7A">
        <w:rPr>
          <w:rFonts w:cs="Arial"/>
        </w:rPr>
        <w:t>nsion or renewal of the permit.</w:t>
      </w:r>
    </w:p>
    <w:p w14:paraId="1B106CAA" w14:textId="4E9F8521" w:rsidR="00C66F7A" w:rsidRPr="00782AB9" w:rsidRDefault="00C66F7A" w:rsidP="00C66F7A">
      <w:pPr>
        <w:pStyle w:val="ListParagraph"/>
        <w:numPr>
          <w:ilvl w:val="0"/>
          <w:numId w:val="0"/>
        </w:numPr>
        <w:spacing w:line="264" w:lineRule="auto"/>
        <w:ind w:left="360"/>
        <w:rPr>
          <w:rFonts w:cs="Arial"/>
        </w:rPr>
      </w:pPr>
      <w:r w:rsidRPr="00782AB9">
        <w:rPr>
          <w:rFonts w:cs="Arial"/>
        </w:rPr>
        <w:t xml:space="preserve">There have been numerous cases of projects where the permit has been </w:t>
      </w:r>
      <w:r>
        <w:rPr>
          <w:rFonts w:cs="Arial"/>
        </w:rPr>
        <w:t xml:space="preserve">repeatedly </w:t>
      </w:r>
      <w:r w:rsidRPr="00782AB9">
        <w:rPr>
          <w:rFonts w:cs="Arial"/>
        </w:rPr>
        <w:t xml:space="preserve">extended or renewed, often with </w:t>
      </w:r>
      <w:r>
        <w:rPr>
          <w:rFonts w:cs="Arial"/>
        </w:rPr>
        <w:t xml:space="preserve">significant </w:t>
      </w:r>
      <w:r w:rsidRPr="00782AB9">
        <w:rPr>
          <w:rFonts w:cs="Arial"/>
        </w:rPr>
        <w:t>changes to the project’s design due to the ongoing technological evolution</w:t>
      </w:r>
      <w:r>
        <w:rPr>
          <w:rFonts w:cs="Arial"/>
        </w:rPr>
        <w:t>, in particular,</w:t>
      </w:r>
      <w:r w:rsidRPr="00782AB9">
        <w:rPr>
          <w:rFonts w:cs="Arial"/>
        </w:rPr>
        <w:t xml:space="preserve"> of wind turbines and solar arrays.</w:t>
      </w:r>
    </w:p>
    <w:p w14:paraId="60257C6A" w14:textId="77777777" w:rsidR="00C66F7A" w:rsidRPr="00861E58" w:rsidRDefault="00C66F7A" w:rsidP="00F25864">
      <w:pPr>
        <w:pStyle w:val="Heading3"/>
        <w:ind w:firstLine="360"/>
      </w:pPr>
      <w:bookmarkStart w:id="198" w:name="_Toc135390636"/>
      <w:r w:rsidRPr="00861E58">
        <w:t>Elongated Timeframes</w:t>
      </w:r>
      <w:bookmarkEnd w:id="198"/>
    </w:p>
    <w:p w14:paraId="56028B69" w14:textId="4398B92E" w:rsidR="00B4667E" w:rsidRDefault="00B4667E" w:rsidP="00C66F7A">
      <w:pPr>
        <w:pStyle w:val="ListParagraph"/>
        <w:numPr>
          <w:ilvl w:val="0"/>
          <w:numId w:val="0"/>
        </w:numPr>
        <w:spacing w:line="264" w:lineRule="auto"/>
        <w:ind w:left="360"/>
        <w:rPr>
          <w:rFonts w:cs="Arial"/>
        </w:rPr>
      </w:pPr>
      <w:r>
        <w:rPr>
          <w:rFonts w:cs="Arial"/>
        </w:rPr>
        <w:t>An example of elongated timeframes is as follows:</w:t>
      </w:r>
    </w:p>
    <w:p w14:paraId="0DF54BAB" w14:textId="3D556FD6" w:rsidR="00B4667E" w:rsidRDefault="00B4667E" w:rsidP="00B4667E">
      <w:pPr>
        <w:pStyle w:val="ListParagraph"/>
        <w:numPr>
          <w:ilvl w:val="0"/>
          <w:numId w:val="43"/>
        </w:numPr>
        <w:spacing w:line="264" w:lineRule="auto"/>
        <w:rPr>
          <w:rFonts w:cs="Arial"/>
        </w:rPr>
      </w:pPr>
      <w:r>
        <w:rPr>
          <w:rFonts w:cs="Arial"/>
        </w:rPr>
        <w:t xml:space="preserve">2001-2002, </w:t>
      </w:r>
      <w:r w:rsidR="00C66F7A" w:rsidRPr="00FC45E9">
        <w:rPr>
          <w:rFonts w:cs="Arial"/>
        </w:rPr>
        <w:t xml:space="preserve">design and development activities for </w:t>
      </w:r>
      <w:r>
        <w:rPr>
          <w:rFonts w:cs="Arial"/>
        </w:rPr>
        <w:t>the</w:t>
      </w:r>
      <w:r w:rsidR="00C66F7A" w:rsidRPr="00FC45E9">
        <w:rPr>
          <w:rFonts w:cs="Arial"/>
        </w:rPr>
        <w:t xml:space="preserve"> proposed wind farm</w:t>
      </w:r>
    </w:p>
    <w:p w14:paraId="0B4FFDA4" w14:textId="46289D11" w:rsidR="00B4667E" w:rsidRDefault="00B4667E" w:rsidP="00B4667E">
      <w:pPr>
        <w:pStyle w:val="ListParagraph"/>
        <w:numPr>
          <w:ilvl w:val="0"/>
          <w:numId w:val="43"/>
        </w:numPr>
        <w:spacing w:line="264" w:lineRule="auto"/>
        <w:rPr>
          <w:rFonts w:cs="Arial"/>
        </w:rPr>
      </w:pPr>
      <w:r>
        <w:rPr>
          <w:rFonts w:cs="Arial"/>
        </w:rPr>
        <w:t>2003,</w:t>
      </w:r>
      <w:r w:rsidR="00C66F7A">
        <w:rPr>
          <w:rFonts w:cs="Arial"/>
        </w:rPr>
        <w:t xml:space="preserve"> </w:t>
      </w:r>
      <w:r>
        <w:rPr>
          <w:rFonts w:cs="Arial"/>
        </w:rPr>
        <w:t xml:space="preserve">the developer </w:t>
      </w:r>
      <w:r w:rsidR="00C66F7A">
        <w:rPr>
          <w:rFonts w:cs="Arial"/>
        </w:rPr>
        <w:t>submit</w:t>
      </w:r>
      <w:r>
        <w:rPr>
          <w:rFonts w:cs="Arial"/>
        </w:rPr>
        <w:t>s</w:t>
      </w:r>
      <w:r w:rsidR="00C66F7A">
        <w:rPr>
          <w:rFonts w:cs="Arial"/>
        </w:rPr>
        <w:t xml:space="preserve"> a planning permit</w:t>
      </w:r>
    </w:p>
    <w:p w14:paraId="2AC50198" w14:textId="75E21132" w:rsidR="00B4667E" w:rsidRDefault="00C66F7A" w:rsidP="00B4667E">
      <w:pPr>
        <w:pStyle w:val="ListParagraph"/>
        <w:numPr>
          <w:ilvl w:val="0"/>
          <w:numId w:val="43"/>
        </w:numPr>
        <w:spacing w:line="264" w:lineRule="auto"/>
        <w:rPr>
          <w:rFonts w:cs="Arial"/>
        </w:rPr>
      </w:pPr>
      <w:r w:rsidRPr="00FC45E9">
        <w:rPr>
          <w:rFonts w:cs="Arial"/>
        </w:rPr>
        <w:t>2005, an approved planning permit with a five</w:t>
      </w:r>
      <w:r>
        <w:rPr>
          <w:rFonts w:cs="Arial"/>
        </w:rPr>
        <w:t>-</w:t>
      </w:r>
      <w:r w:rsidRPr="00FC45E9">
        <w:rPr>
          <w:rFonts w:cs="Arial"/>
        </w:rPr>
        <w:t xml:space="preserve">year expiry </w:t>
      </w:r>
      <w:r>
        <w:rPr>
          <w:rFonts w:cs="Arial"/>
        </w:rPr>
        <w:t xml:space="preserve">term </w:t>
      </w:r>
      <w:r w:rsidR="00B4667E">
        <w:rPr>
          <w:rFonts w:cs="Arial"/>
        </w:rPr>
        <w:t>is</w:t>
      </w:r>
      <w:r w:rsidRPr="00FC45E9">
        <w:rPr>
          <w:rFonts w:cs="Arial"/>
        </w:rPr>
        <w:t xml:space="preserve"> issued to the wind farm</w:t>
      </w:r>
      <w:r>
        <w:rPr>
          <w:rFonts w:cs="Arial"/>
        </w:rPr>
        <w:t xml:space="preserve"> developer</w:t>
      </w:r>
      <w:r w:rsidRPr="00FC45E9">
        <w:rPr>
          <w:rFonts w:cs="Arial"/>
        </w:rPr>
        <w:t xml:space="preserve"> </w:t>
      </w:r>
      <w:r>
        <w:rPr>
          <w:rFonts w:cs="Arial"/>
        </w:rPr>
        <w:t xml:space="preserve"> </w:t>
      </w:r>
    </w:p>
    <w:p w14:paraId="5A158050" w14:textId="7CBAB46E" w:rsidR="00B4667E" w:rsidRDefault="00C66F7A" w:rsidP="00B4667E">
      <w:pPr>
        <w:pStyle w:val="ListParagraph"/>
        <w:numPr>
          <w:ilvl w:val="0"/>
          <w:numId w:val="43"/>
        </w:numPr>
        <w:spacing w:line="264" w:lineRule="auto"/>
        <w:rPr>
          <w:rFonts w:cs="Arial"/>
        </w:rPr>
      </w:pPr>
      <w:r w:rsidRPr="00FC45E9">
        <w:rPr>
          <w:rFonts w:cs="Arial"/>
        </w:rPr>
        <w:t xml:space="preserve">2010, </w:t>
      </w:r>
      <w:r w:rsidR="00B4667E" w:rsidRPr="00FC45E9">
        <w:rPr>
          <w:rFonts w:cs="Arial"/>
        </w:rPr>
        <w:t>construction of the wind farm ha</w:t>
      </w:r>
      <w:r w:rsidR="00B4667E">
        <w:rPr>
          <w:rFonts w:cs="Arial"/>
        </w:rPr>
        <w:t>s</w:t>
      </w:r>
      <w:r w:rsidR="00B4667E" w:rsidRPr="00FC45E9">
        <w:rPr>
          <w:rFonts w:cs="Arial"/>
        </w:rPr>
        <w:t xml:space="preserve"> not been completed </w:t>
      </w:r>
      <w:r w:rsidR="00B4667E">
        <w:rPr>
          <w:rFonts w:cs="Arial"/>
        </w:rPr>
        <w:t xml:space="preserve">and </w:t>
      </w:r>
      <w:r w:rsidRPr="00FC45E9">
        <w:rPr>
          <w:rFonts w:cs="Arial"/>
        </w:rPr>
        <w:t xml:space="preserve">upon request by the developer, the planning authority </w:t>
      </w:r>
      <w:r w:rsidR="00B4667E">
        <w:rPr>
          <w:rFonts w:cs="Arial"/>
        </w:rPr>
        <w:t>approves</w:t>
      </w:r>
      <w:r w:rsidRPr="00FC45E9">
        <w:rPr>
          <w:rFonts w:cs="Arial"/>
        </w:rPr>
        <w:t xml:space="preserve"> </w:t>
      </w:r>
      <w:r w:rsidR="00B4667E">
        <w:rPr>
          <w:rFonts w:cs="Arial"/>
        </w:rPr>
        <w:t>renewal of the permit</w:t>
      </w:r>
      <w:r w:rsidRPr="00FC45E9">
        <w:rPr>
          <w:rFonts w:cs="Arial"/>
        </w:rPr>
        <w:t xml:space="preserve"> for a</w:t>
      </w:r>
      <w:r w:rsidR="00B4667E">
        <w:rPr>
          <w:rFonts w:cs="Arial"/>
        </w:rPr>
        <w:t xml:space="preserve">nother </w:t>
      </w:r>
      <w:r w:rsidRPr="00FC45E9">
        <w:rPr>
          <w:rFonts w:cs="Arial"/>
        </w:rPr>
        <w:t>five years</w:t>
      </w:r>
      <w:r w:rsidR="00B4667E">
        <w:rPr>
          <w:rFonts w:cs="Arial"/>
        </w:rPr>
        <w:t xml:space="preserve"> </w:t>
      </w:r>
    </w:p>
    <w:p w14:paraId="26BE9995" w14:textId="00918C3C" w:rsidR="00B4667E" w:rsidRPr="00B4667E" w:rsidRDefault="00B4667E" w:rsidP="00D6737D">
      <w:pPr>
        <w:spacing w:line="264" w:lineRule="auto"/>
        <w:ind w:left="360"/>
        <w:rPr>
          <w:rFonts w:cs="Arial"/>
        </w:rPr>
      </w:pPr>
      <w:r>
        <w:rPr>
          <w:rFonts w:cs="Arial"/>
        </w:rPr>
        <w:t>In these circumstances, t</w:t>
      </w:r>
      <w:r w:rsidR="00C66F7A" w:rsidRPr="00B4667E">
        <w:rPr>
          <w:rFonts w:cs="Arial"/>
        </w:rPr>
        <w:t>he renewal</w:t>
      </w:r>
      <w:r>
        <w:rPr>
          <w:rFonts w:cs="Arial"/>
        </w:rPr>
        <w:t xml:space="preserve"> of the permit</w:t>
      </w:r>
      <w:r w:rsidR="00C66F7A" w:rsidRPr="00B4667E">
        <w:rPr>
          <w:rFonts w:cs="Arial"/>
        </w:rPr>
        <w:t xml:space="preserve"> </w:t>
      </w:r>
      <w:r>
        <w:rPr>
          <w:rFonts w:cs="Arial"/>
        </w:rPr>
        <w:t>is</w:t>
      </w:r>
      <w:r w:rsidRPr="00B4667E">
        <w:rPr>
          <w:rFonts w:cs="Arial"/>
        </w:rPr>
        <w:t xml:space="preserve"> </w:t>
      </w:r>
      <w:r w:rsidR="00C66F7A" w:rsidRPr="00B4667E">
        <w:rPr>
          <w:rFonts w:cs="Arial"/>
        </w:rPr>
        <w:t>usually</w:t>
      </w:r>
      <w:r>
        <w:rPr>
          <w:rFonts w:cs="Arial"/>
        </w:rPr>
        <w:t xml:space="preserve"> approved</w:t>
      </w:r>
      <w:r w:rsidR="00C66F7A" w:rsidRPr="00B4667E">
        <w:rPr>
          <w:rFonts w:cs="Arial"/>
        </w:rPr>
        <w:t xml:space="preserve"> based on some minor level of commencement of the project, such as building a shed or a constructing a roadway. This process </w:t>
      </w:r>
      <w:r>
        <w:rPr>
          <w:rFonts w:cs="Arial"/>
        </w:rPr>
        <w:t>may</w:t>
      </w:r>
      <w:r w:rsidRPr="00B4667E">
        <w:rPr>
          <w:rFonts w:cs="Arial"/>
        </w:rPr>
        <w:t xml:space="preserve"> </w:t>
      </w:r>
      <w:r w:rsidR="00C66F7A" w:rsidRPr="00B4667E">
        <w:rPr>
          <w:rFonts w:cs="Arial"/>
        </w:rPr>
        <w:t>be repeated again</w:t>
      </w:r>
      <w:r>
        <w:rPr>
          <w:rFonts w:cs="Arial"/>
        </w:rPr>
        <w:t xml:space="preserve"> in another five years </w:t>
      </w:r>
      <w:r w:rsidR="00C66F7A" w:rsidRPr="00B4667E">
        <w:rPr>
          <w:rFonts w:cs="Arial"/>
        </w:rPr>
        <w:t>upon request by the developer</w:t>
      </w:r>
      <w:r w:rsidRPr="00B4667E">
        <w:rPr>
          <w:rFonts w:cs="Arial"/>
        </w:rPr>
        <w:t>.</w:t>
      </w:r>
    </w:p>
    <w:p w14:paraId="68135CFE" w14:textId="77777777" w:rsidR="00C66F7A" w:rsidRPr="00FC45E9" w:rsidRDefault="00C66F7A" w:rsidP="00C66F7A">
      <w:pPr>
        <w:pStyle w:val="ListParagraph"/>
        <w:numPr>
          <w:ilvl w:val="0"/>
          <w:numId w:val="0"/>
        </w:numPr>
        <w:spacing w:line="264" w:lineRule="auto"/>
        <w:ind w:left="360"/>
        <w:rPr>
          <w:rFonts w:cs="Arial"/>
        </w:rPr>
      </w:pPr>
      <w:r>
        <w:rPr>
          <w:rFonts w:cs="Arial"/>
        </w:rPr>
        <w:t>Changes in technology may lead the developer to modify the wind or solar farm’s design and layout, typically requiring preparation and submission of a planning amendment application for approval. This process may further delay the project from commencing construction, requiring yet another planning permit extension out to say 2020. By this time there are no guarantees that the project will be completed by the permitted timeframe, resulting in a further possible permit extension beyond 2020.</w:t>
      </w:r>
    </w:p>
    <w:p w14:paraId="49E35DAE"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Therefore, it is feasible that a period spanning </w:t>
      </w:r>
      <w:r>
        <w:rPr>
          <w:rFonts w:cs="Arial"/>
        </w:rPr>
        <w:t>20</w:t>
      </w:r>
      <w:r w:rsidRPr="00FC45E9">
        <w:rPr>
          <w:rFonts w:cs="Arial"/>
        </w:rPr>
        <w:t xml:space="preserve"> years or more can occur between the original prospecting at the </w:t>
      </w:r>
      <w:r>
        <w:rPr>
          <w:rFonts w:cs="Arial"/>
        </w:rPr>
        <w:t>project</w:t>
      </w:r>
      <w:r w:rsidRPr="00FC45E9">
        <w:rPr>
          <w:rFonts w:cs="Arial"/>
        </w:rPr>
        <w:t xml:space="preserve"> site</w:t>
      </w:r>
      <w:r>
        <w:rPr>
          <w:rFonts w:cs="Arial"/>
        </w:rPr>
        <w:t>, obtaining permit approvals</w:t>
      </w:r>
      <w:r w:rsidRPr="00FC45E9">
        <w:rPr>
          <w:rFonts w:cs="Arial"/>
        </w:rPr>
        <w:t xml:space="preserve"> and the </w:t>
      </w:r>
      <w:r>
        <w:rPr>
          <w:rFonts w:cs="Arial"/>
        </w:rPr>
        <w:t>project</w:t>
      </w:r>
      <w:r w:rsidRPr="00FC45E9">
        <w:rPr>
          <w:rFonts w:cs="Arial"/>
        </w:rPr>
        <w:t xml:space="preserve"> </w:t>
      </w:r>
      <w:r>
        <w:rPr>
          <w:rFonts w:cs="Arial"/>
        </w:rPr>
        <w:t xml:space="preserve">eventually being constructed. </w:t>
      </w:r>
    </w:p>
    <w:p w14:paraId="328DBB25"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Delays between the time of obtaining a permit approval for a </w:t>
      </w:r>
      <w:r>
        <w:rPr>
          <w:rFonts w:cs="Arial"/>
        </w:rPr>
        <w:t xml:space="preserve">project </w:t>
      </w:r>
      <w:r w:rsidRPr="00FC45E9">
        <w:rPr>
          <w:rFonts w:cs="Arial"/>
        </w:rPr>
        <w:t>and the actual commencement of construction works can occur for a variety of reasons</w:t>
      </w:r>
      <w:r>
        <w:rPr>
          <w:rFonts w:cs="Arial"/>
        </w:rPr>
        <w:t>. T</w:t>
      </w:r>
      <w:r w:rsidRPr="00FC45E9">
        <w:rPr>
          <w:rFonts w:cs="Arial"/>
        </w:rPr>
        <w:t>ypical reasons include undertaking and obtaining approval for the various reports and plans required by the permit prior to construction commencement, changes in turbine</w:t>
      </w:r>
      <w:r>
        <w:rPr>
          <w:rFonts w:cs="Arial"/>
        </w:rPr>
        <w:t>/solar panel</w:t>
      </w:r>
      <w:r w:rsidRPr="00FC45E9">
        <w:rPr>
          <w:rFonts w:cs="Arial"/>
        </w:rPr>
        <w:t xml:space="preserve"> selection and turbine</w:t>
      </w:r>
      <w:r>
        <w:rPr>
          <w:rFonts w:cs="Arial"/>
        </w:rPr>
        <w:t>/solar array</w:t>
      </w:r>
      <w:r w:rsidRPr="00FC45E9">
        <w:rPr>
          <w:rFonts w:cs="Arial"/>
        </w:rPr>
        <w:t xml:space="preserve"> layout (which may be a consequence of issues uncovered by fulfilling the permit conditions), delays in obtaining financial close</w:t>
      </w:r>
      <w:r>
        <w:rPr>
          <w:rFonts w:cs="Arial"/>
        </w:rPr>
        <w:t>, litigation</w:t>
      </w:r>
      <w:r w:rsidRPr="00FC45E9">
        <w:rPr>
          <w:rFonts w:cs="Arial"/>
        </w:rPr>
        <w:t xml:space="preserve"> and changes in government policy.</w:t>
      </w:r>
    </w:p>
    <w:p w14:paraId="0251599B"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These lengthy timeframes for project</w:t>
      </w:r>
      <w:r>
        <w:rPr>
          <w:rFonts w:cs="Arial"/>
        </w:rPr>
        <w:t>s</w:t>
      </w:r>
      <w:r w:rsidRPr="00FC45E9">
        <w:rPr>
          <w:rFonts w:cs="Arial"/>
        </w:rPr>
        <w:t xml:space="preserve"> are significant and can raise several issues for consideration, including:</w:t>
      </w:r>
    </w:p>
    <w:p w14:paraId="05E736A6" w14:textId="21A8D72D" w:rsidR="00C66F7A" w:rsidRPr="00FC45E9" w:rsidRDefault="00C66F7A" w:rsidP="00C66F7A">
      <w:pPr>
        <w:pStyle w:val="ListParagraph"/>
        <w:numPr>
          <w:ilvl w:val="0"/>
          <w:numId w:val="12"/>
        </w:numPr>
        <w:spacing w:line="264" w:lineRule="auto"/>
        <w:rPr>
          <w:rFonts w:cs="Arial"/>
        </w:rPr>
      </w:pPr>
      <w:r w:rsidRPr="00FC45E9">
        <w:rPr>
          <w:rFonts w:cs="Arial"/>
        </w:rPr>
        <w:t xml:space="preserve">Standards, such as noise standards, may change </w:t>
      </w:r>
      <w:r>
        <w:rPr>
          <w:rFonts w:cs="Arial"/>
        </w:rPr>
        <w:t xml:space="preserve">during this lengthy timeframe </w:t>
      </w:r>
      <w:r w:rsidRPr="00FC45E9">
        <w:rPr>
          <w:rFonts w:cs="Arial"/>
        </w:rPr>
        <w:t>of the development process. For example, at the time of initial project development</w:t>
      </w:r>
      <w:r>
        <w:rPr>
          <w:rFonts w:cs="Arial"/>
        </w:rPr>
        <w:t xml:space="preserve"> and permit approval</w:t>
      </w:r>
      <w:r w:rsidRPr="00FC45E9">
        <w:rPr>
          <w:rFonts w:cs="Arial"/>
        </w:rPr>
        <w:t xml:space="preserve">, </w:t>
      </w:r>
      <w:r>
        <w:rPr>
          <w:rFonts w:cs="Arial"/>
        </w:rPr>
        <w:t xml:space="preserve">a wind farm </w:t>
      </w:r>
      <w:r w:rsidRPr="00FC45E9">
        <w:rPr>
          <w:rFonts w:cs="Arial"/>
        </w:rPr>
        <w:t xml:space="preserve">project and permit conditions may have been based on the NZS 6808:1998 noise standard. Although the standards may have been revised in the ensuing period, the project and permit will still be based on the 1998 standard, rather than the updated </w:t>
      </w:r>
      <w:r w:rsidRPr="00FC45E9">
        <w:rPr>
          <w:rFonts w:cs="Arial"/>
        </w:rPr>
        <w:lastRenderedPageBreak/>
        <w:t>NZS 6808:2010 noise standard</w:t>
      </w:r>
      <w:r>
        <w:rPr>
          <w:rFonts w:cs="Arial"/>
        </w:rPr>
        <w:t>.</w:t>
      </w:r>
      <w:r w:rsidRPr="00FC45E9">
        <w:rPr>
          <w:rFonts w:cs="Arial"/>
        </w:rPr>
        <w:t xml:space="preserve"> </w:t>
      </w:r>
      <w:r>
        <w:rPr>
          <w:rFonts w:cs="Arial"/>
        </w:rPr>
        <w:t>It is therefore possible that wind farms being constructed in 2023, that were initially approved in 2009 or earlier, will be designed to meet the older 1998 noise standard</w:t>
      </w:r>
      <w:r w:rsidRPr="00FC45E9">
        <w:rPr>
          <w:rFonts w:cs="Arial"/>
        </w:rPr>
        <w:t>.</w:t>
      </w:r>
    </w:p>
    <w:p w14:paraId="12283FA6" w14:textId="14E052A9" w:rsidR="00C66F7A" w:rsidRPr="00FC45E9" w:rsidRDefault="00C66F7A" w:rsidP="00C66F7A">
      <w:pPr>
        <w:pStyle w:val="ListParagraph"/>
        <w:numPr>
          <w:ilvl w:val="0"/>
          <w:numId w:val="12"/>
        </w:numPr>
        <w:spacing w:line="264" w:lineRule="auto"/>
        <w:rPr>
          <w:rFonts w:cs="Arial"/>
        </w:rPr>
      </w:pPr>
      <w:r w:rsidRPr="00FC45E9">
        <w:rPr>
          <w:rFonts w:cs="Arial"/>
        </w:rPr>
        <w:t>Setback distance policies (</w:t>
      </w:r>
      <w:r w:rsidR="006E499A">
        <w:rPr>
          <w:rFonts w:cs="Arial"/>
        </w:rPr>
        <w:t>e.g.,</w:t>
      </w:r>
      <w:r>
        <w:rPr>
          <w:rFonts w:cs="Arial"/>
        </w:rPr>
        <w:t xml:space="preserve"> </w:t>
      </w:r>
      <w:r w:rsidRPr="00FC45E9">
        <w:rPr>
          <w:rFonts w:cs="Arial"/>
        </w:rPr>
        <w:t xml:space="preserve">the minimum distance between a </w:t>
      </w:r>
      <w:r>
        <w:rPr>
          <w:rFonts w:cs="Arial"/>
        </w:rPr>
        <w:t xml:space="preserve">wind </w:t>
      </w:r>
      <w:r w:rsidRPr="00FC45E9">
        <w:rPr>
          <w:rFonts w:cs="Arial"/>
        </w:rPr>
        <w:t xml:space="preserve">turbine </w:t>
      </w:r>
      <w:r>
        <w:rPr>
          <w:rFonts w:cs="Arial"/>
        </w:rPr>
        <w:t xml:space="preserve">or solar array </w:t>
      </w:r>
      <w:r w:rsidRPr="00FC45E9">
        <w:rPr>
          <w:rFonts w:cs="Arial"/>
        </w:rPr>
        <w:t xml:space="preserve">and a </w:t>
      </w:r>
      <w:r>
        <w:rPr>
          <w:rFonts w:cs="Arial"/>
        </w:rPr>
        <w:t xml:space="preserve">neighbour’s </w:t>
      </w:r>
      <w:r w:rsidRPr="00FC45E9">
        <w:rPr>
          <w:rFonts w:cs="Arial"/>
        </w:rPr>
        <w:t xml:space="preserve">residence) can also vary over time. As an example, a number of Victorian wind farms with current, renewed permits have no default </w:t>
      </w:r>
      <w:r>
        <w:rPr>
          <w:rFonts w:cs="Arial"/>
        </w:rPr>
        <w:t xml:space="preserve">minimum </w:t>
      </w:r>
      <w:r w:rsidRPr="00FC45E9">
        <w:rPr>
          <w:rFonts w:cs="Arial"/>
        </w:rPr>
        <w:t xml:space="preserve">setback distance provisions as the original permit was approved </w:t>
      </w:r>
      <w:r>
        <w:rPr>
          <w:rFonts w:cs="Arial"/>
        </w:rPr>
        <w:t>pr</w:t>
      </w:r>
      <w:r w:rsidRPr="00FC45E9">
        <w:rPr>
          <w:rFonts w:cs="Arial"/>
        </w:rPr>
        <w:t xml:space="preserve">ior to 2011, </w:t>
      </w:r>
      <w:r>
        <w:rPr>
          <w:rFonts w:cs="Arial"/>
        </w:rPr>
        <w:t xml:space="preserve">when </w:t>
      </w:r>
      <w:r w:rsidRPr="00FC45E9">
        <w:rPr>
          <w:rFonts w:cs="Arial"/>
        </w:rPr>
        <w:t xml:space="preserve">no default </w:t>
      </w:r>
      <w:r>
        <w:rPr>
          <w:rFonts w:cs="Arial"/>
        </w:rPr>
        <w:t xml:space="preserve">minimum </w:t>
      </w:r>
      <w:r w:rsidRPr="00FC45E9">
        <w:rPr>
          <w:rFonts w:cs="Arial"/>
        </w:rPr>
        <w:t xml:space="preserve">setback distance </w:t>
      </w:r>
      <w:r>
        <w:rPr>
          <w:rFonts w:cs="Arial"/>
        </w:rPr>
        <w:t xml:space="preserve">was </w:t>
      </w:r>
      <w:r w:rsidRPr="00FC45E9">
        <w:rPr>
          <w:rFonts w:cs="Arial"/>
        </w:rPr>
        <w:t>require</w:t>
      </w:r>
      <w:r>
        <w:rPr>
          <w:rFonts w:cs="Arial"/>
        </w:rPr>
        <w:t>d</w:t>
      </w:r>
      <w:r w:rsidRPr="00FC45E9">
        <w:rPr>
          <w:rFonts w:cs="Arial"/>
        </w:rPr>
        <w:t xml:space="preserve"> in Victoria. In 2011, a 2 km </w:t>
      </w:r>
      <w:r>
        <w:rPr>
          <w:rFonts w:cs="Arial"/>
        </w:rPr>
        <w:t xml:space="preserve">turbine to residence </w:t>
      </w:r>
      <w:r w:rsidRPr="00FC45E9">
        <w:rPr>
          <w:rFonts w:cs="Arial"/>
        </w:rPr>
        <w:t>setback distance was introduced</w:t>
      </w:r>
      <w:r>
        <w:rPr>
          <w:rFonts w:cs="Arial"/>
        </w:rPr>
        <w:t xml:space="preserve"> into Victoria</w:t>
      </w:r>
      <w:r w:rsidRPr="00FC45E9">
        <w:rPr>
          <w:rFonts w:cs="Arial"/>
        </w:rPr>
        <w:t xml:space="preserve">. The current default </w:t>
      </w:r>
      <w:r>
        <w:rPr>
          <w:rFonts w:cs="Arial"/>
        </w:rPr>
        <w:t xml:space="preserve">turbine </w:t>
      </w:r>
      <w:r w:rsidRPr="00FC45E9">
        <w:rPr>
          <w:rFonts w:cs="Arial"/>
        </w:rPr>
        <w:t xml:space="preserve">setback distance </w:t>
      </w:r>
      <w:r>
        <w:rPr>
          <w:rFonts w:cs="Arial"/>
        </w:rPr>
        <w:t>i</w:t>
      </w:r>
      <w:r w:rsidRPr="00FC45E9">
        <w:rPr>
          <w:rFonts w:cs="Arial"/>
        </w:rPr>
        <w:t>n Victoria is 1</w:t>
      </w:r>
      <w:r>
        <w:rPr>
          <w:rFonts w:cs="Arial"/>
        </w:rPr>
        <w:t> </w:t>
      </w:r>
      <w:r w:rsidRPr="00FC45E9">
        <w:rPr>
          <w:rFonts w:cs="Arial"/>
        </w:rPr>
        <w:t>km</w:t>
      </w:r>
      <w:r>
        <w:rPr>
          <w:rFonts w:cs="Arial"/>
        </w:rPr>
        <w:t xml:space="preserve"> – changed back to that distance in 2014</w:t>
      </w:r>
      <w:r w:rsidRPr="00FC45E9">
        <w:rPr>
          <w:rFonts w:cs="Arial"/>
        </w:rPr>
        <w:t>.</w:t>
      </w:r>
    </w:p>
    <w:p w14:paraId="2D1E7666" w14:textId="77777777" w:rsidR="00C66F7A" w:rsidRPr="00FC45E9" w:rsidRDefault="00C66F7A" w:rsidP="00C66F7A">
      <w:pPr>
        <w:pStyle w:val="ListParagraph"/>
        <w:numPr>
          <w:ilvl w:val="0"/>
          <w:numId w:val="12"/>
        </w:numPr>
        <w:spacing w:line="264" w:lineRule="auto"/>
        <w:rPr>
          <w:rFonts w:cs="Arial"/>
        </w:rPr>
      </w:pPr>
      <w:r w:rsidRPr="00FC45E9">
        <w:rPr>
          <w:rFonts w:cs="Arial"/>
        </w:rPr>
        <w:t xml:space="preserve">Changes in standards and planning guidelines </w:t>
      </w:r>
      <w:r>
        <w:rPr>
          <w:rFonts w:cs="Arial"/>
        </w:rPr>
        <w:t xml:space="preserve">for renewable energy projects </w:t>
      </w:r>
      <w:r w:rsidRPr="00FC45E9">
        <w:rPr>
          <w:rFonts w:cs="Arial"/>
        </w:rPr>
        <w:t xml:space="preserve">could therefore conceivably take many years from the time they are introduced </w:t>
      </w:r>
      <w:r>
        <w:rPr>
          <w:rFonts w:cs="Arial"/>
        </w:rPr>
        <w:t xml:space="preserve">by planning authorities </w:t>
      </w:r>
      <w:r w:rsidRPr="00FC45E9">
        <w:rPr>
          <w:rFonts w:cs="Arial"/>
        </w:rPr>
        <w:t xml:space="preserve">to when they are </w:t>
      </w:r>
      <w:r>
        <w:rPr>
          <w:rFonts w:cs="Arial"/>
        </w:rPr>
        <w:t xml:space="preserve">actually </w:t>
      </w:r>
      <w:r w:rsidRPr="00FC45E9">
        <w:rPr>
          <w:rFonts w:cs="Arial"/>
        </w:rPr>
        <w:t xml:space="preserve">written into planning permits for proposed </w:t>
      </w:r>
      <w:r>
        <w:rPr>
          <w:rFonts w:cs="Arial"/>
        </w:rPr>
        <w:t>projects</w:t>
      </w:r>
      <w:r w:rsidRPr="00FC45E9">
        <w:rPr>
          <w:rFonts w:cs="Arial"/>
        </w:rPr>
        <w:t>.</w:t>
      </w:r>
    </w:p>
    <w:p w14:paraId="04B0ED01" w14:textId="6ABD88C6" w:rsidR="00C66F7A" w:rsidRPr="00FC45E9" w:rsidRDefault="00C66F7A" w:rsidP="00C66F7A">
      <w:pPr>
        <w:pStyle w:val="ListParagraph"/>
        <w:numPr>
          <w:ilvl w:val="0"/>
          <w:numId w:val="12"/>
        </w:numPr>
        <w:spacing w:line="264" w:lineRule="auto"/>
        <w:rPr>
          <w:rFonts w:cs="Arial"/>
        </w:rPr>
      </w:pPr>
      <w:r w:rsidRPr="00FC45E9">
        <w:rPr>
          <w:rFonts w:cs="Arial"/>
        </w:rPr>
        <w:t>Technology also change</w:t>
      </w:r>
      <w:r>
        <w:rPr>
          <w:rFonts w:cs="Arial"/>
        </w:rPr>
        <w:t>s</w:t>
      </w:r>
      <w:r w:rsidRPr="00FC45E9">
        <w:rPr>
          <w:rFonts w:cs="Arial"/>
        </w:rPr>
        <w:t xml:space="preserve"> over the project timeframe. The original project design and permit conditions may have been based on </w:t>
      </w:r>
      <w:r>
        <w:rPr>
          <w:rFonts w:cs="Arial"/>
        </w:rPr>
        <w:t xml:space="preserve">wind </w:t>
      </w:r>
      <w:r w:rsidRPr="00FC45E9">
        <w:rPr>
          <w:rFonts w:cs="Arial"/>
        </w:rPr>
        <w:t xml:space="preserve">turbines of a certain energy capacity (for example, the original </w:t>
      </w:r>
      <w:r>
        <w:rPr>
          <w:rFonts w:cs="Arial"/>
        </w:rPr>
        <w:t xml:space="preserve">proposed </w:t>
      </w:r>
      <w:r w:rsidRPr="00FC45E9">
        <w:rPr>
          <w:rFonts w:cs="Arial"/>
        </w:rPr>
        <w:t xml:space="preserve">turbine may have been 1.5 MW, whereas the </w:t>
      </w:r>
      <w:r>
        <w:rPr>
          <w:rFonts w:cs="Arial"/>
        </w:rPr>
        <w:t>current contemporary turbine in the market may be say 6</w:t>
      </w:r>
      <w:r w:rsidRPr="00FC45E9">
        <w:rPr>
          <w:rFonts w:cs="Arial"/>
        </w:rPr>
        <w:t>.5 MW</w:t>
      </w:r>
      <w:r>
        <w:rPr>
          <w:rFonts w:cs="Arial"/>
        </w:rPr>
        <w:t>, which will be much more efficient and a lower cost per MWh produced)</w:t>
      </w:r>
      <w:r w:rsidRPr="00FC45E9">
        <w:rPr>
          <w:rFonts w:cs="Arial"/>
        </w:rPr>
        <w:t xml:space="preserve"> </w:t>
      </w:r>
      <w:r>
        <w:rPr>
          <w:rFonts w:cs="Arial"/>
        </w:rPr>
        <w:t xml:space="preserve">resulting in </w:t>
      </w:r>
      <w:r w:rsidRPr="00FC45E9">
        <w:rPr>
          <w:rFonts w:cs="Arial"/>
        </w:rPr>
        <w:t xml:space="preserve">changes to physical size dimensions (for example, higher turbine hub </w:t>
      </w:r>
      <w:r>
        <w:rPr>
          <w:rFonts w:cs="Arial"/>
        </w:rPr>
        <w:t xml:space="preserve">and tip </w:t>
      </w:r>
      <w:r w:rsidRPr="00FC45E9">
        <w:rPr>
          <w:rFonts w:cs="Arial"/>
        </w:rPr>
        <w:t xml:space="preserve">heights and longer blade </w:t>
      </w:r>
      <w:r>
        <w:rPr>
          <w:rFonts w:cs="Arial"/>
        </w:rPr>
        <w:t>lengths</w:t>
      </w:r>
      <w:r w:rsidRPr="00FC45E9">
        <w:rPr>
          <w:rFonts w:cs="Arial"/>
        </w:rPr>
        <w:t xml:space="preserve">). As a result, the developer </w:t>
      </w:r>
      <w:r>
        <w:rPr>
          <w:rFonts w:cs="Arial"/>
        </w:rPr>
        <w:t xml:space="preserve">is likely to </w:t>
      </w:r>
      <w:r w:rsidRPr="00FC45E9">
        <w:rPr>
          <w:rFonts w:cs="Arial"/>
        </w:rPr>
        <w:t xml:space="preserve">take advantage of the new technology and propose to change </w:t>
      </w:r>
      <w:r>
        <w:rPr>
          <w:rFonts w:cs="Arial"/>
        </w:rPr>
        <w:t xml:space="preserve">their </w:t>
      </w:r>
      <w:r w:rsidRPr="00FC45E9">
        <w:rPr>
          <w:rFonts w:cs="Arial"/>
        </w:rPr>
        <w:t xml:space="preserve">turbine selection </w:t>
      </w:r>
      <w:r>
        <w:rPr>
          <w:rFonts w:cs="Arial"/>
        </w:rPr>
        <w:t xml:space="preserve">during the elongated </w:t>
      </w:r>
      <w:r w:rsidRPr="00FC45E9">
        <w:rPr>
          <w:rFonts w:cs="Arial"/>
        </w:rPr>
        <w:t>time</w:t>
      </w:r>
      <w:r>
        <w:rPr>
          <w:rFonts w:cs="Arial"/>
        </w:rPr>
        <w:t xml:space="preserve"> period.</w:t>
      </w:r>
      <w:r w:rsidRPr="00FC45E9">
        <w:rPr>
          <w:rFonts w:cs="Arial"/>
        </w:rPr>
        <w:t xml:space="preserve"> </w:t>
      </w:r>
      <w:r>
        <w:rPr>
          <w:rFonts w:cs="Arial"/>
        </w:rPr>
        <w:t>This change may po</w:t>
      </w:r>
      <w:r w:rsidRPr="00FC45E9">
        <w:rPr>
          <w:rFonts w:cs="Arial"/>
        </w:rPr>
        <w:t>tentially alter a number of material characteristics and impacts of the wind farm</w:t>
      </w:r>
      <w:r>
        <w:rPr>
          <w:rFonts w:cs="Arial"/>
        </w:rPr>
        <w:t>,</w:t>
      </w:r>
      <w:r w:rsidRPr="00FC45E9">
        <w:rPr>
          <w:rFonts w:cs="Arial"/>
        </w:rPr>
        <w:t xml:space="preserve"> including </w:t>
      </w:r>
      <w:r>
        <w:rPr>
          <w:rFonts w:cs="Arial"/>
        </w:rPr>
        <w:t xml:space="preserve">reduced number of turbines, </w:t>
      </w:r>
      <w:r w:rsidRPr="00FC45E9">
        <w:rPr>
          <w:rFonts w:cs="Arial"/>
        </w:rPr>
        <w:t xml:space="preserve">turbine layout, visual amenity, </w:t>
      </w:r>
      <w:r>
        <w:rPr>
          <w:rFonts w:cs="Arial"/>
        </w:rPr>
        <w:t xml:space="preserve">impacts of </w:t>
      </w:r>
      <w:r w:rsidRPr="00FC45E9">
        <w:rPr>
          <w:rFonts w:cs="Arial"/>
        </w:rPr>
        <w:t xml:space="preserve">noise and shadow flicker. </w:t>
      </w:r>
      <w:r>
        <w:rPr>
          <w:rFonts w:cs="Arial"/>
        </w:rPr>
        <w:t xml:space="preserve">Such </w:t>
      </w:r>
      <w:r w:rsidRPr="00FC45E9">
        <w:rPr>
          <w:rFonts w:cs="Arial"/>
        </w:rPr>
        <w:t xml:space="preserve">changes will likely result in the need for a formal modification (or </w:t>
      </w:r>
      <w:r>
        <w:rPr>
          <w:rFonts w:cs="Arial"/>
        </w:rPr>
        <w:t>amendment</w:t>
      </w:r>
      <w:r w:rsidRPr="00FC45E9">
        <w:rPr>
          <w:rFonts w:cs="Arial"/>
        </w:rPr>
        <w:t xml:space="preserve">) to the </w:t>
      </w:r>
      <w:r>
        <w:rPr>
          <w:rFonts w:cs="Arial"/>
        </w:rPr>
        <w:t xml:space="preserve">existing </w:t>
      </w:r>
      <w:r w:rsidRPr="00FC45E9">
        <w:rPr>
          <w:rFonts w:cs="Arial"/>
        </w:rPr>
        <w:t xml:space="preserve">planning permit, re-opening the </w:t>
      </w:r>
      <w:r>
        <w:rPr>
          <w:rFonts w:cs="Arial"/>
        </w:rPr>
        <w:t xml:space="preserve">proposed </w:t>
      </w:r>
      <w:r w:rsidRPr="00FC45E9">
        <w:rPr>
          <w:rFonts w:cs="Arial"/>
        </w:rPr>
        <w:t xml:space="preserve">wind farm to potential objections and community concerns about the changes. </w:t>
      </w:r>
      <w:r>
        <w:rPr>
          <w:rFonts w:cs="Arial"/>
        </w:rPr>
        <w:t>Similar impacts can occur with technology changes at solar farms.</w:t>
      </w:r>
    </w:p>
    <w:p w14:paraId="1280F534" w14:textId="77777777" w:rsidR="00C66F7A" w:rsidRDefault="00C66F7A" w:rsidP="00C66F7A">
      <w:pPr>
        <w:pStyle w:val="ListParagraph"/>
        <w:numPr>
          <w:ilvl w:val="0"/>
          <w:numId w:val="12"/>
        </w:numPr>
        <w:spacing w:line="264" w:lineRule="auto"/>
        <w:rPr>
          <w:rFonts w:cs="Arial"/>
        </w:rPr>
      </w:pPr>
      <w:r>
        <w:rPr>
          <w:rFonts w:cs="Arial"/>
        </w:rPr>
        <w:t>Further, there are consequences and i</w:t>
      </w:r>
      <w:r w:rsidRPr="00FC45E9">
        <w:rPr>
          <w:rFonts w:cs="Arial"/>
        </w:rPr>
        <w:t>mpact</w:t>
      </w:r>
      <w:r>
        <w:rPr>
          <w:rFonts w:cs="Arial"/>
        </w:rPr>
        <w:t>s</w:t>
      </w:r>
      <w:r w:rsidRPr="00FC45E9">
        <w:rPr>
          <w:rFonts w:cs="Arial"/>
        </w:rPr>
        <w:t xml:space="preserve"> </w:t>
      </w:r>
      <w:r>
        <w:rPr>
          <w:rFonts w:cs="Arial"/>
        </w:rPr>
        <w:t xml:space="preserve">as a result of the significant increases in wind turbine dimensions, such as </w:t>
      </w:r>
      <w:r w:rsidRPr="00FC45E9">
        <w:rPr>
          <w:rFonts w:cs="Arial"/>
        </w:rPr>
        <w:t xml:space="preserve">transport routes and vegetation clearance </w:t>
      </w:r>
      <w:r>
        <w:rPr>
          <w:rFonts w:cs="Arial"/>
        </w:rPr>
        <w:t>along roadways – often leading to the need for a planning modification and/or landholder negotiations along the route</w:t>
      </w:r>
      <w:r w:rsidRPr="00FC45E9">
        <w:rPr>
          <w:rFonts w:cs="Arial"/>
        </w:rPr>
        <w:t xml:space="preserve">. </w:t>
      </w:r>
      <w:r>
        <w:rPr>
          <w:rFonts w:cs="Arial"/>
        </w:rPr>
        <w:t>Apart from taking time itself, t</w:t>
      </w:r>
      <w:r w:rsidRPr="00FC45E9">
        <w:rPr>
          <w:rFonts w:cs="Arial"/>
        </w:rPr>
        <w:t xml:space="preserve">he modification process may well reignite original </w:t>
      </w:r>
      <w:r>
        <w:rPr>
          <w:rFonts w:cs="Arial"/>
        </w:rPr>
        <w:t xml:space="preserve">community opposition </w:t>
      </w:r>
      <w:r w:rsidRPr="00FC45E9">
        <w:rPr>
          <w:rFonts w:cs="Arial"/>
        </w:rPr>
        <w:t>and issues with the project</w:t>
      </w:r>
      <w:r>
        <w:rPr>
          <w:rFonts w:cs="Arial"/>
        </w:rPr>
        <w:t>, adding</w:t>
      </w:r>
      <w:r w:rsidRPr="00FC45E9">
        <w:rPr>
          <w:rFonts w:cs="Arial"/>
        </w:rPr>
        <w:t xml:space="preserve"> further delays to project start or completion. </w:t>
      </w:r>
    </w:p>
    <w:p w14:paraId="784B7FB3" w14:textId="77777777" w:rsidR="00C66F7A" w:rsidRPr="00FC45E9" w:rsidRDefault="00C66F7A" w:rsidP="00C66F7A">
      <w:pPr>
        <w:pStyle w:val="ListParagraph"/>
        <w:numPr>
          <w:ilvl w:val="0"/>
          <w:numId w:val="12"/>
        </w:numPr>
        <w:spacing w:line="264" w:lineRule="auto"/>
        <w:rPr>
          <w:rFonts w:cs="Arial"/>
        </w:rPr>
      </w:pPr>
      <w:r w:rsidRPr="00FC45E9">
        <w:rPr>
          <w:rFonts w:cs="Arial"/>
        </w:rPr>
        <w:t xml:space="preserve">The transport plan </w:t>
      </w:r>
      <w:r>
        <w:rPr>
          <w:rFonts w:cs="Arial"/>
        </w:rPr>
        <w:t xml:space="preserve">itself </w:t>
      </w:r>
      <w:r w:rsidRPr="00FC45E9">
        <w:rPr>
          <w:rFonts w:cs="Arial"/>
        </w:rPr>
        <w:t>also needs to be holistic and be carefully planned and mapped from port to project</w:t>
      </w:r>
      <w:r>
        <w:rPr>
          <w:rFonts w:cs="Arial"/>
        </w:rPr>
        <w:t>, requiring appropriate consultation with all relevant stakeholders that have jurisdiction along the proposed route</w:t>
      </w:r>
      <w:r w:rsidRPr="00FC45E9">
        <w:rPr>
          <w:rFonts w:cs="Arial"/>
        </w:rPr>
        <w:t>.</w:t>
      </w:r>
      <w:r>
        <w:rPr>
          <w:rFonts w:cs="Arial"/>
        </w:rPr>
        <w:t xml:space="preserve"> This consultation will need to be repeated if there is a change to the route and/or the impacts on related matters such as vegetation clearance and property access.</w:t>
      </w:r>
    </w:p>
    <w:p w14:paraId="036EFA3E" w14:textId="77777777" w:rsidR="00C66F7A" w:rsidRPr="00FC45E9" w:rsidRDefault="00C66F7A" w:rsidP="00C66F7A">
      <w:pPr>
        <w:pStyle w:val="ListParagraph"/>
        <w:numPr>
          <w:ilvl w:val="0"/>
          <w:numId w:val="12"/>
        </w:numPr>
        <w:spacing w:line="264" w:lineRule="auto"/>
        <w:rPr>
          <w:rFonts w:cs="Arial"/>
        </w:rPr>
      </w:pPr>
      <w:r w:rsidRPr="00FC45E9">
        <w:rPr>
          <w:rFonts w:cs="Arial"/>
        </w:rPr>
        <w:t xml:space="preserve">The </w:t>
      </w:r>
      <w:r>
        <w:rPr>
          <w:rFonts w:cs="Arial"/>
        </w:rPr>
        <w:t xml:space="preserve">current </w:t>
      </w:r>
      <w:r w:rsidRPr="00FC45E9">
        <w:rPr>
          <w:rFonts w:cs="Arial"/>
        </w:rPr>
        <w:t xml:space="preserve">requirements on the developer to qualify for the ability to request a renewal of the permit for a further period may be minor relative to the total project scope (for example, the building of a simple shed or road access to the site) so to demonstrate some level of commitment to construct the project. These relatively minor works, when compared to the total proposed project, may be viewed as not substantial enough to </w:t>
      </w:r>
      <w:r>
        <w:rPr>
          <w:rFonts w:cs="Arial"/>
        </w:rPr>
        <w:t>demonstrate</w:t>
      </w:r>
      <w:r w:rsidRPr="00FC45E9">
        <w:rPr>
          <w:rFonts w:cs="Arial"/>
        </w:rPr>
        <w:t xml:space="preserve"> that the project has materially commenced within the permitted timeframe nor obligate the project in a way that it has no choice but to proceed.</w:t>
      </w:r>
    </w:p>
    <w:p w14:paraId="5382D04C" w14:textId="77777777" w:rsidR="00C66F7A" w:rsidRPr="00FC45E9" w:rsidRDefault="00C66F7A" w:rsidP="00C66F7A">
      <w:pPr>
        <w:pStyle w:val="ListParagraph"/>
        <w:numPr>
          <w:ilvl w:val="0"/>
          <w:numId w:val="12"/>
        </w:numPr>
        <w:spacing w:line="264" w:lineRule="auto"/>
        <w:rPr>
          <w:rFonts w:cs="Arial"/>
        </w:rPr>
      </w:pPr>
      <w:r w:rsidRPr="00FC45E9">
        <w:rPr>
          <w:rFonts w:cs="Arial"/>
        </w:rPr>
        <w:t xml:space="preserve">The community affected by the </w:t>
      </w:r>
      <w:r>
        <w:rPr>
          <w:rFonts w:cs="Arial"/>
        </w:rPr>
        <w:t>proposed project</w:t>
      </w:r>
      <w:r w:rsidRPr="00FC45E9">
        <w:rPr>
          <w:rFonts w:cs="Arial"/>
        </w:rPr>
        <w:t xml:space="preserve"> (including host landowners and neighbours) can be subjected to very long periods of uncertainty as to whether the project will proceed. This uncertainty can affect a range of individual landowner and stakeholder decisions as well as discourage or prevent other potential development within the </w:t>
      </w:r>
      <w:r>
        <w:rPr>
          <w:rFonts w:cs="Arial"/>
        </w:rPr>
        <w:t>project’s</w:t>
      </w:r>
      <w:r w:rsidRPr="00FC45E9">
        <w:rPr>
          <w:rFonts w:cs="Arial"/>
        </w:rPr>
        <w:t xml:space="preserve"> plann</w:t>
      </w:r>
      <w:r>
        <w:rPr>
          <w:rFonts w:cs="Arial"/>
        </w:rPr>
        <w:t>ed</w:t>
      </w:r>
      <w:r w:rsidRPr="00FC45E9">
        <w:rPr>
          <w:rFonts w:cs="Arial"/>
        </w:rPr>
        <w:t xml:space="preserve"> </w:t>
      </w:r>
      <w:r>
        <w:rPr>
          <w:rFonts w:cs="Arial"/>
        </w:rPr>
        <w:t>footprint and surrounds</w:t>
      </w:r>
      <w:r w:rsidRPr="00FC45E9">
        <w:rPr>
          <w:rFonts w:cs="Arial"/>
        </w:rPr>
        <w:t>.</w:t>
      </w:r>
    </w:p>
    <w:p w14:paraId="5C7DE127" w14:textId="77777777" w:rsidR="00C66F7A" w:rsidRDefault="00C66F7A" w:rsidP="00C66F7A">
      <w:pPr>
        <w:pStyle w:val="ListParagraph"/>
        <w:numPr>
          <w:ilvl w:val="0"/>
          <w:numId w:val="12"/>
        </w:numPr>
        <w:spacing w:line="264" w:lineRule="auto"/>
        <w:rPr>
          <w:rFonts w:cs="Arial"/>
        </w:rPr>
      </w:pPr>
      <w:r w:rsidRPr="00FC45E9">
        <w:rPr>
          <w:rFonts w:cs="Arial"/>
        </w:rPr>
        <w:lastRenderedPageBreak/>
        <w:t>Community engagement may also not be sustained by the developer over long periods of uncertainty and may deteriorate during the elongated time frame.</w:t>
      </w:r>
    </w:p>
    <w:p w14:paraId="6433846F" w14:textId="524035C8" w:rsidR="00C66F7A" w:rsidRPr="00FC45E9" w:rsidRDefault="00C66F7A" w:rsidP="00C66F7A">
      <w:pPr>
        <w:pStyle w:val="ListParagraph"/>
        <w:numPr>
          <w:ilvl w:val="0"/>
          <w:numId w:val="12"/>
        </w:numPr>
        <w:spacing w:line="264" w:lineRule="auto"/>
        <w:rPr>
          <w:rFonts w:cs="Arial"/>
        </w:rPr>
      </w:pPr>
      <w:r>
        <w:rPr>
          <w:rFonts w:cs="Arial"/>
        </w:rPr>
        <w:t xml:space="preserve">Allowing developers to enjoy unlimited permit extensions/renewals can lead to </w:t>
      </w:r>
      <w:r w:rsidR="00E32E50">
        <w:rPr>
          <w:rFonts w:cs="Arial"/>
        </w:rPr>
        <w:t>‘</w:t>
      </w:r>
      <w:r>
        <w:rPr>
          <w:rFonts w:cs="Arial"/>
        </w:rPr>
        <w:t>land-banking</w:t>
      </w:r>
      <w:r w:rsidR="00E32E50">
        <w:rPr>
          <w:rFonts w:cs="Arial"/>
        </w:rPr>
        <w:t>’</w:t>
      </w:r>
      <w:r>
        <w:rPr>
          <w:rFonts w:cs="Arial"/>
        </w:rPr>
        <w:t xml:space="preserve"> of optimal project sites that are constraining the roll out of new generation capacity. </w:t>
      </w:r>
    </w:p>
    <w:p w14:paraId="276C8C6A" w14:textId="77777777" w:rsidR="00C66F7A" w:rsidRPr="00062B78" w:rsidRDefault="00C66F7A" w:rsidP="00C66F7A">
      <w:pPr>
        <w:pStyle w:val="ListParagraph"/>
        <w:numPr>
          <w:ilvl w:val="0"/>
          <w:numId w:val="12"/>
        </w:numPr>
        <w:spacing w:line="264" w:lineRule="auto"/>
        <w:rPr>
          <w:rFonts w:cs="Arial"/>
        </w:rPr>
      </w:pPr>
      <w:r w:rsidRPr="00062B78">
        <w:rPr>
          <w:rFonts w:cs="Arial"/>
        </w:rPr>
        <w:t>During an elongated development cycle, other projects may have been subsequently planned and/or constructed in the area, which may result in possible unforeseen cumulative impacts occurring for nearby residents and the broader community that are then caused by the original project when it proceeds.</w:t>
      </w:r>
    </w:p>
    <w:p w14:paraId="0A537C2D" w14:textId="0AB93DFC" w:rsidR="00C66F7A" w:rsidRPr="00062B78" w:rsidRDefault="00C66F7A" w:rsidP="00C66F7A">
      <w:pPr>
        <w:spacing w:line="264" w:lineRule="auto"/>
        <w:ind w:left="360"/>
        <w:rPr>
          <w:rFonts w:cs="Arial"/>
          <w:bCs/>
        </w:rPr>
      </w:pPr>
      <w:r w:rsidRPr="00062B78">
        <w:rPr>
          <w:rFonts w:cs="Arial"/>
          <w:bCs/>
        </w:rPr>
        <w:t xml:space="preserve">Given that a project is </w:t>
      </w:r>
      <w:r w:rsidR="001F0380">
        <w:rPr>
          <w:rFonts w:cs="Arial"/>
          <w:bCs/>
        </w:rPr>
        <w:t xml:space="preserve">presumably </w:t>
      </w:r>
      <w:r w:rsidRPr="00062B78">
        <w:rPr>
          <w:rFonts w:cs="Arial"/>
          <w:bCs/>
        </w:rPr>
        <w:t xml:space="preserve">required to show commencement of works prior to extending a planning permit, if such works are genuine, then the project should be well completed before the extension or renewal period expires. Therefore, one renewal term should suffice.   </w:t>
      </w:r>
    </w:p>
    <w:p w14:paraId="3FCF90A1" w14:textId="77777777" w:rsidR="00C66F7A" w:rsidRPr="00861E58" w:rsidRDefault="00C66F7A" w:rsidP="00F25864">
      <w:pPr>
        <w:pStyle w:val="Heading3"/>
        <w:ind w:firstLine="360"/>
      </w:pPr>
      <w:bookmarkStart w:id="199" w:name="_Toc135390637"/>
      <w:r w:rsidRPr="00861E58">
        <w:t>Precedence</w:t>
      </w:r>
      <w:bookmarkEnd w:id="199"/>
    </w:p>
    <w:p w14:paraId="18EC58DE" w14:textId="77777777" w:rsidR="00C66F7A" w:rsidRDefault="00C66F7A" w:rsidP="00C66F7A">
      <w:pPr>
        <w:spacing w:line="264" w:lineRule="auto"/>
        <w:ind w:left="360"/>
        <w:rPr>
          <w:rFonts w:cs="Arial"/>
        </w:rPr>
      </w:pPr>
      <w:r w:rsidRPr="00FC45E9">
        <w:rPr>
          <w:rFonts w:cs="Arial"/>
        </w:rPr>
        <w:t xml:space="preserve">Depending on the jurisdiction, a developer may not need to </w:t>
      </w:r>
      <w:r>
        <w:rPr>
          <w:rFonts w:cs="Arial"/>
        </w:rPr>
        <w:t xml:space="preserve">assess potential impacts on </w:t>
      </w:r>
      <w:r w:rsidRPr="00FC45E9">
        <w:rPr>
          <w:rFonts w:cs="Arial"/>
        </w:rPr>
        <w:t xml:space="preserve">a dwelling that </w:t>
      </w:r>
      <w:r>
        <w:rPr>
          <w:rFonts w:cs="Arial"/>
        </w:rPr>
        <w:t xml:space="preserve">is yet to </w:t>
      </w:r>
      <w:r w:rsidRPr="00FC45E9">
        <w:rPr>
          <w:rFonts w:cs="Arial"/>
        </w:rPr>
        <w:t>be constructed, even though the dwelling has a valid</w:t>
      </w:r>
      <w:r>
        <w:rPr>
          <w:rFonts w:cs="Arial"/>
        </w:rPr>
        <w:t>,</w:t>
      </w:r>
      <w:r w:rsidRPr="00FC45E9">
        <w:rPr>
          <w:rFonts w:cs="Arial"/>
        </w:rPr>
        <w:t xml:space="preserve"> current planni</w:t>
      </w:r>
      <w:r>
        <w:rPr>
          <w:rFonts w:cs="Arial"/>
        </w:rPr>
        <w:t xml:space="preserve">ng and building permit. </w:t>
      </w:r>
      <w:r w:rsidRPr="00FC45E9">
        <w:rPr>
          <w:rFonts w:cs="Arial"/>
        </w:rPr>
        <w:t xml:space="preserve">In effect, the layout of a potential </w:t>
      </w:r>
      <w:r>
        <w:rPr>
          <w:rFonts w:cs="Arial"/>
        </w:rPr>
        <w:t xml:space="preserve">project may </w:t>
      </w:r>
      <w:r w:rsidRPr="00FC45E9">
        <w:rPr>
          <w:rFonts w:cs="Arial"/>
        </w:rPr>
        <w:t>take precedence over existing planned dwellings</w:t>
      </w:r>
      <w:r>
        <w:rPr>
          <w:rFonts w:cs="Arial"/>
        </w:rPr>
        <w:t>,</w:t>
      </w:r>
      <w:r w:rsidRPr="00FC45E9">
        <w:rPr>
          <w:rFonts w:cs="Arial"/>
        </w:rPr>
        <w:t xml:space="preserve"> resulting in the possibility of the planned dwelling being too close to turbines to meet noise limit </w:t>
      </w:r>
      <w:r>
        <w:rPr>
          <w:rFonts w:cs="Arial"/>
        </w:rPr>
        <w:t xml:space="preserve">criteria </w:t>
      </w:r>
      <w:r w:rsidRPr="00FC45E9">
        <w:rPr>
          <w:rFonts w:cs="Arial"/>
        </w:rPr>
        <w:t>and other setback requirements.</w:t>
      </w:r>
    </w:p>
    <w:p w14:paraId="3E19F119" w14:textId="7F8B92E8" w:rsidR="00C66F7A" w:rsidRDefault="00C66F7A" w:rsidP="00C66F7A">
      <w:pPr>
        <w:spacing w:line="264" w:lineRule="auto"/>
        <w:ind w:left="360"/>
        <w:rPr>
          <w:rFonts w:cs="Arial"/>
        </w:rPr>
      </w:pPr>
      <w:r>
        <w:rPr>
          <w:rFonts w:cs="Arial"/>
        </w:rPr>
        <w:t>The situation can be further complicated in the scenario where a property owner has an ‘as of right’ claim to build a dwelling on the property without needing a planning permit.</w:t>
      </w:r>
    </w:p>
    <w:p w14:paraId="04432B9F" w14:textId="77777777" w:rsidR="00C66F7A" w:rsidRDefault="00C66F7A" w:rsidP="00C66F7A">
      <w:pPr>
        <w:spacing w:line="264" w:lineRule="auto"/>
        <w:ind w:left="360"/>
        <w:rPr>
          <w:rFonts w:cs="Arial"/>
        </w:rPr>
      </w:pPr>
      <w:r>
        <w:rPr>
          <w:rFonts w:cs="Arial"/>
        </w:rPr>
        <w:t>In Victoria, the Planning Provisions were amended in 2021 to introduce new planning permit requirements for dwellings and other types of accommodation. Planning permits are now required for all uses if they are within one kilometre of a title boundary, where the land beyond the boundary is subject to a permit or planning application for a wind farm. This requirement is regardless of whether the property has an ‘as of right’ claim.</w:t>
      </w:r>
    </w:p>
    <w:p w14:paraId="1FED1694" w14:textId="77777777" w:rsidR="00C66F7A" w:rsidRPr="00FC45E9" w:rsidRDefault="00C66F7A" w:rsidP="00C66F7A">
      <w:pPr>
        <w:spacing w:line="264" w:lineRule="auto"/>
        <w:ind w:left="360"/>
        <w:rPr>
          <w:rFonts w:cs="Arial"/>
        </w:rPr>
      </w:pPr>
      <w:r>
        <w:rPr>
          <w:rFonts w:cs="Arial"/>
        </w:rPr>
        <w:t>In the broader scenario, i</w:t>
      </w:r>
      <w:r w:rsidRPr="00FC45E9">
        <w:rPr>
          <w:rFonts w:cs="Arial"/>
        </w:rPr>
        <w:t xml:space="preserve">t would seem reasonable to expect that a </w:t>
      </w:r>
      <w:r>
        <w:rPr>
          <w:rFonts w:cs="Arial"/>
        </w:rPr>
        <w:t xml:space="preserve">legitimate </w:t>
      </w:r>
      <w:r w:rsidRPr="00FC45E9">
        <w:rPr>
          <w:rFonts w:cs="Arial"/>
        </w:rPr>
        <w:t>proposed dwelling</w:t>
      </w:r>
      <w:r>
        <w:rPr>
          <w:rFonts w:cs="Arial"/>
        </w:rPr>
        <w:t>,</w:t>
      </w:r>
      <w:r w:rsidRPr="00FC45E9">
        <w:rPr>
          <w:rFonts w:cs="Arial"/>
        </w:rPr>
        <w:t xml:space="preserve"> that has proper and current permits in place</w:t>
      </w:r>
      <w:r>
        <w:rPr>
          <w:rFonts w:cs="Arial"/>
        </w:rPr>
        <w:t>,</w:t>
      </w:r>
      <w:r w:rsidRPr="00FC45E9">
        <w:rPr>
          <w:rFonts w:cs="Arial"/>
        </w:rPr>
        <w:t xml:space="preserve"> needs to be considered as a </w:t>
      </w:r>
      <w:r>
        <w:rPr>
          <w:rFonts w:cs="Arial"/>
        </w:rPr>
        <w:t xml:space="preserve">potential </w:t>
      </w:r>
      <w:r w:rsidRPr="00FC45E9">
        <w:rPr>
          <w:rFonts w:cs="Arial"/>
        </w:rPr>
        <w:t xml:space="preserve">dwelling for </w:t>
      </w:r>
      <w:r>
        <w:rPr>
          <w:rFonts w:cs="Arial"/>
        </w:rPr>
        <w:t>project design and p</w:t>
      </w:r>
      <w:r w:rsidRPr="00FC45E9">
        <w:rPr>
          <w:rFonts w:cs="Arial"/>
        </w:rPr>
        <w:t>lanning purposes, where the dwelling permits are already approved and in place prior to a wind farm p</w:t>
      </w:r>
      <w:r>
        <w:rPr>
          <w:rFonts w:cs="Arial"/>
        </w:rPr>
        <w:t>lanning</w:t>
      </w:r>
      <w:r w:rsidRPr="00FC45E9">
        <w:rPr>
          <w:rFonts w:cs="Arial"/>
        </w:rPr>
        <w:t xml:space="preserve"> application being submitted.</w:t>
      </w:r>
    </w:p>
    <w:p w14:paraId="6587FEDC" w14:textId="77777777" w:rsidR="00C66F7A" w:rsidRPr="00FC45E9" w:rsidRDefault="00C66F7A" w:rsidP="00C66F7A">
      <w:pPr>
        <w:spacing w:line="264" w:lineRule="auto"/>
        <w:ind w:left="360"/>
        <w:rPr>
          <w:rFonts w:cs="Arial"/>
        </w:rPr>
      </w:pPr>
      <w:r w:rsidRPr="00FC45E9">
        <w:rPr>
          <w:rFonts w:cs="Arial"/>
        </w:rPr>
        <w:t>If the dwelling is subsequently not constructed and/or the permits expire, then the developer may choose to adjust the wind farm design accordingly.</w:t>
      </w:r>
    </w:p>
    <w:p w14:paraId="2D49289F" w14:textId="77777777" w:rsidR="00C66F7A" w:rsidRPr="000D435C" w:rsidRDefault="00C66F7A" w:rsidP="00C66F7A">
      <w:pPr>
        <w:spacing w:line="264" w:lineRule="auto"/>
        <w:ind w:left="360"/>
        <w:rPr>
          <w:rFonts w:cs="Arial"/>
        </w:rPr>
      </w:pPr>
      <w:r w:rsidRPr="00FC45E9">
        <w:rPr>
          <w:rFonts w:cs="Arial"/>
        </w:rPr>
        <w:t xml:space="preserve">Further, once a </w:t>
      </w:r>
      <w:r>
        <w:rPr>
          <w:rFonts w:cs="Arial"/>
        </w:rPr>
        <w:t xml:space="preserve">project </w:t>
      </w:r>
      <w:r w:rsidRPr="00FC45E9">
        <w:rPr>
          <w:rFonts w:cs="Arial"/>
        </w:rPr>
        <w:t xml:space="preserve">development is approved or constructed, persons wishing to build a dwelling or infrastructure within proximity of the wind farm should have their plans referred to the </w:t>
      </w:r>
      <w:r>
        <w:rPr>
          <w:rFonts w:cs="Arial"/>
        </w:rPr>
        <w:t xml:space="preserve">developer </w:t>
      </w:r>
      <w:r w:rsidRPr="00FC45E9">
        <w:rPr>
          <w:rFonts w:cs="Arial"/>
        </w:rPr>
        <w:t xml:space="preserve">to check whether the dwelling is within </w:t>
      </w:r>
      <w:r>
        <w:rPr>
          <w:rFonts w:cs="Arial"/>
        </w:rPr>
        <w:t xml:space="preserve">the </w:t>
      </w:r>
      <w:r w:rsidRPr="00FC45E9">
        <w:rPr>
          <w:rFonts w:cs="Arial"/>
        </w:rPr>
        <w:t>compliance</w:t>
      </w:r>
      <w:r>
        <w:rPr>
          <w:rFonts w:cs="Arial"/>
        </w:rPr>
        <w:t xml:space="preserve"> criteria </w:t>
      </w:r>
      <w:r w:rsidRPr="00FC45E9">
        <w:rPr>
          <w:rFonts w:cs="Arial"/>
        </w:rPr>
        <w:t>for matters su</w:t>
      </w:r>
      <w:r>
        <w:rPr>
          <w:rFonts w:cs="Arial"/>
        </w:rPr>
        <w:t>ch as noise and shadow flicker. In reviewing building permit applications for new dwellings, local government councils should also advise applicants of any submitted or approved projects in the vicinity.</w:t>
      </w:r>
    </w:p>
    <w:p w14:paraId="6AA82869" w14:textId="77777777" w:rsidR="00C66F7A" w:rsidRPr="00861E58" w:rsidRDefault="00C66F7A" w:rsidP="00F25864">
      <w:pPr>
        <w:pStyle w:val="Heading3"/>
        <w:ind w:firstLine="360"/>
      </w:pPr>
      <w:bookmarkStart w:id="200" w:name="_Toc135390638"/>
      <w:r w:rsidRPr="00861E58">
        <w:t>Other Project Infrastructure</w:t>
      </w:r>
      <w:bookmarkEnd w:id="200"/>
    </w:p>
    <w:p w14:paraId="50233D61" w14:textId="7997C75E" w:rsidR="00C66F7A" w:rsidRDefault="00C66F7A" w:rsidP="00C66F7A">
      <w:pPr>
        <w:spacing w:line="264" w:lineRule="auto"/>
        <w:ind w:left="360"/>
        <w:rPr>
          <w:rFonts w:cs="Arial"/>
        </w:rPr>
      </w:pPr>
      <w:r w:rsidRPr="00FC45E9">
        <w:rPr>
          <w:rFonts w:cs="Arial"/>
        </w:rPr>
        <w:t>In some jurisdictions, planning permits are not required for</w:t>
      </w:r>
      <w:r>
        <w:rPr>
          <w:rFonts w:cs="Arial"/>
        </w:rPr>
        <w:t xml:space="preserve"> connecting</w:t>
      </w:r>
      <w:r w:rsidRPr="00FC45E9">
        <w:rPr>
          <w:rFonts w:cs="Arial"/>
        </w:rPr>
        <w:t xml:space="preserve"> transmission</w:t>
      </w:r>
      <w:r>
        <w:rPr>
          <w:rFonts w:cs="Arial"/>
        </w:rPr>
        <w:t xml:space="preserve"> lines</w:t>
      </w:r>
      <w:r w:rsidRPr="00FC45E9">
        <w:rPr>
          <w:rFonts w:cs="Arial"/>
        </w:rPr>
        <w:t xml:space="preserve"> and other associated infrastructure to </w:t>
      </w:r>
      <w:r>
        <w:rPr>
          <w:rFonts w:cs="Arial"/>
        </w:rPr>
        <w:t xml:space="preserve">enable </w:t>
      </w:r>
      <w:r w:rsidRPr="00FC45E9">
        <w:rPr>
          <w:rFonts w:cs="Arial"/>
        </w:rPr>
        <w:t>connect</w:t>
      </w:r>
      <w:r>
        <w:rPr>
          <w:rFonts w:cs="Arial"/>
        </w:rPr>
        <w:t>ion of</w:t>
      </w:r>
      <w:r w:rsidRPr="00FC45E9">
        <w:rPr>
          <w:rFonts w:cs="Arial"/>
        </w:rPr>
        <w:t xml:space="preserve"> the </w:t>
      </w:r>
      <w:r>
        <w:rPr>
          <w:rFonts w:cs="Arial"/>
        </w:rPr>
        <w:t xml:space="preserve">power station to </w:t>
      </w:r>
      <w:r w:rsidRPr="00FC45E9">
        <w:rPr>
          <w:rFonts w:cs="Arial"/>
        </w:rPr>
        <w:t xml:space="preserve">the grid. This </w:t>
      </w:r>
      <w:r>
        <w:rPr>
          <w:rFonts w:cs="Arial"/>
        </w:rPr>
        <w:t xml:space="preserve">gap in review and </w:t>
      </w:r>
      <w:r w:rsidRPr="00FC45E9">
        <w:rPr>
          <w:rFonts w:cs="Arial"/>
        </w:rPr>
        <w:t xml:space="preserve">oversight can lead to a wide range of community issues related to the design, routing and installation of the transmission line and related assets. The prospect also exists for duplicative assets </w:t>
      </w:r>
      <w:r>
        <w:rPr>
          <w:rFonts w:cs="Arial"/>
        </w:rPr>
        <w:t xml:space="preserve">separately </w:t>
      </w:r>
      <w:r w:rsidRPr="00FC45E9">
        <w:rPr>
          <w:rFonts w:cs="Arial"/>
        </w:rPr>
        <w:t xml:space="preserve">connecting each </w:t>
      </w:r>
      <w:r>
        <w:rPr>
          <w:rFonts w:cs="Arial"/>
        </w:rPr>
        <w:t xml:space="preserve">generator </w:t>
      </w:r>
      <w:r w:rsidRPr="00FC45E9">
        <w:rPr>
          <w:rFonts w:cs="Arial"/>
        </w:rPr>
        <w:t>to the grid</w:t>
      </w:r>
      <w:r>
        <w:rPr>
          <w:rFonts w:cs="Arial"/>
        </w:rPr>
        <w:t>,</w:t>
      </w:r>
      <w:r w:rsidRPr="00FC45E9">
        <w:rPr>
          <w:rFonts w:cs="Arial"/>
        </w:rPr>
        <w:t xml:space="preserve"> with no mandatory requirement to seek consolidation of </w:t>
      </w:r>
      <w:r>
        <w:rPr>
          <w:rFonts w:cs="Arial"/>
        </w:rPr>
        <w:t xml:space="preserve">the transmission infrastructure so </w:t>
      </w:r>
      <w:r w:rsidRPr="00FC45E9">
        <w:rPr>
          <w:rFonts w:cs="Arial"/>
        </w:rPr>
        <w:t>to minimise community impact and promote a more efficient use of capital.</w:t>
      </w:r>
    </w:p>
    <w:p w14:paraId="4EC84ED8" w14:textId="77777777" w:rsidR="00861E58" w:rsidRDefault="00861E58" w:rsidP="00C66F7A">
      <w:pPr>
        <w:spacing w:line="264" w:lineRule="auto"/>
        <w:ind w:left="360"/>
        <w:rPr>
          <w:rFonts w:cs="Arial"/>
        </w:rPr>
      </w:pPr>
    </w:p>
    <w:p w14:paraId="72F68807" w14:textId="77777777" w:rsidR="00C66F7A" w:rsidRPr="00861E58" w:rsidRDefault="00C66F7A" w:rsidP="00F25864">
      <w:pPr>
        <w:pStyle w:val="Heading3"/>
        <w:ind w:firstLine="360"/>
      </w:pPr>
      <w:bookmarkStart w:id="201" w:name="_Toc135390639"/>
      <w:r w:rsidRPr="00861E58">
        <w:lastRenderedPageBreak/>
        <w:t>Responsible Authorities</w:t>
      </w:r>
      <w:bookmarkEnd w:id="201"/>
    </w:p>
    <w:p w14:paraId="76CD73EB" w14:textId="288FCE7C" w:rsidR="00C66F7A" w:rsidRDefault="00C66F7A" w:rsidP="00C66F7A">
      <w:pPr>
        <w:spacing w:line="264" w:lineRule="auto"/>
        <w:ind w:left="360"/>
        <w:rPr>
          <w:rFonts w:cs="Arial"/>
        </w:rPr>
      </w:pPr>
      <w:r>
        <w:rPr>
          <w:rFonts w:cs="Arial"/>
        </w:rPr>
        <w:t xml:space="preserve">In general, state governments are the designated responsible planning authority for large-scale renewable projects. However, some exceptions exist. For example, Tasmania’s responsible authority for approval of wind farms is currently local government (although there are some proposed planning reforms which may change this framework). Queensland’s planning scheme has </w:t>
      </w:r>
      <w:r w:rsidR="00C91856">
        <w:rPr>
          <w:rFonts w:cs="Arial"/>
        </w:rPr>
        <w:t xml:space="preserve">also </w:t>
      </w:r>
      <w:r>
        <w:rPr>
          <w:rFonts w:cs="Arial"/>
        </w:rPr>
        <w:t>delegated large-scale solar farms to local government as the responsible authority, as was the case in Victoria until recent changes.</w:t>
      </w:r>
    </w:p>
    <w:p w14:paraId="42E4F67B" w14:textId="2FF13CCC" w:rsidR="00C66F7A" w:rsidRDefault="00C66F7A" w:rsidP="00C66F7A">
      <w:pPr>
        <w:spacing w:line="264" w:lineRule="auto"/>
        <w:ind w:left="360"/>
        <w:rPr>
          <w:rFonts w:cs="Arial"/>
        </w:rPr>
      </w:pPr>
      <w:r>
        <w:rPr>
          <w:rFonts w:cs="Arial"/>
        </w:rPr>
        <w:t xml:space="preserve">Given the skills, resources and expertise required to properly assess and manage the planning process for these large-scale energy assets, it is strongly preferred that state governments retain responsibility for the planning process and approvals, along with compliance enforcement. Further, </w:t>
      </w:r>
      <w:r w:rsidR="00C91856">
        <w:rPr>
          <w:rFonts w:cs="Arial"/>
        </w:rPr>
        <w:t xml:space="preserve">a </w:t>
      </w:r>
      <w:r>
        <w:rPr>
          <w:rFonts w:cs="Arial"/>
        </w:rPr>
        <w:t>council may avoid decision-making by simply declining the proposed project, resulting in an appeal to the appropriate state planning and environment court or tribunal, adding delays and costs in the process.</w:t>
      </w:r>
    </w:p>
    <w:p w14:paraId="348E28F9"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4CC6A076"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A </w:t>
      </w:r>
      <w:r>
        <w:rPr>
          <w:rFonts w:cs="Arial"/>
        </w:rPr>
        <w:t xml:space="preserve">project’s </w:t>
      </w:r>
      <w:r w:rsidRPr="00FC45E9">
        <w:rPr>
          <w:rFonts w:cs="Arial"/>
        </w:rPr>
        <w:t>planning permit should only be renewed for one further term as a maximum</w:t>
      </w:r>
      <w:r>
        <w:rPr>
          <w:rFonts w:cs="Arial"/>
        </w:rPr>
        <w:t xml:space="preserve">, unless there are exceptional circumstances that have caused a delay in commencement. </w:t>
      </w:r>
      <w:r w:rsidRPr="00FC45E9">
        <w:rPr>
          <w:rFonts w:cs="Arial"/>
        </w:rPr>
        <w:t xml:space="preserve">Approval of permit renewals </w:t>
      </w:r>
      <w:r>
        <w:rPr>
          <w:rFonts w:cs="Arial"/>
        </w:rPr>
        <w:t xml:space="preserve">(or extensions) </w:t>
      </w:r>
      <w:r w:rsidRPr="00FC45E9">
        <w:rPr>
          <w:rFonts w:cs="Arial"/>
        </w:rPr>
        <w:t>should require the developer to demonstrate the likelihood of the project commenc</w:t>
      </w:r>
      <w:r>
        <w:rPr>
          <w:rFonts w:cs="Arial"/>
        </w:rPr>
        <w:t>ing</w:t>
      </w:r>
      <w:r w:rsidRPr="00FC45E9">
        <w:rPr>
          <w:rFonts w:cs="Arial"/>
        </w:rPr>
        <w:t xml:space="preserve"> and</w:t>
      </w:r>
      <w:r>
        <w:rPr>
          <w:rFonts w:cs="Arial"/>
        </w:rPr>
        <w:t xml:space="preserve"> being</w:t>
      </w:r>
      <w:r w:rsidRPr="00FC45E9">
        <w:rPr>
          <w:rFonts w:cs="Arial"/>
        </w:rPr>
        <w:t xml:space="preserve"> completed prior to the end of the requested/approved renewal </w:t>
      </w:r>
      <w:r>
        <w:rPr>
          <w:rFonts w:cs="Arial"/>
        </w:rPr>
        <w:t xml:space="preserve">or extension </w:t>
      </w:r>
      <w:r w:rsidRPr="00FC45E9">
        <w:rPr>
          <w:rFonts w:cs="Arial"/>
        </w:rPr>
        <w:t>period.</w:t>
      </w:r>
      <w:r>
        <w:rPr>
          <w:rFonts w:cs="Arial"/>
        </w:rPr>
        <w:t xml:space="preserve"> </w:t>
      </w:r>
    </w:p>
    <w:p w14:paraId="7B06BE0F"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Requests for material changes to </w:t>
      </w:r>
      <w:r>
        <w:rPr>
          <w:rFonts w:cs="Arial"/>
        </w:rPr>
        <w:t>a project’</w:t>
      </w:r>
      <w:r w:rsidRPr="00FC45E9">
        <w:rPr>
          <w:rFonts w:cs="Arial"/>
        </w:rPr>
        <w:t>s proposed design and technology need to be scrutinised through an appropriate and rigorous process</w:t>
      </w:r>
      <w:r>
        <w:rPr>
          <w:rFonts w:cs="Arial"/>
        </w:rPr>
        <w:t xml:space="preserve"> by the responsible authority. </w:t>
      </w:r>
      <w:r w:rsidRPr="00FC45E9">
        <w:rPr>
          <w:rFonts w:cs="Arial"/>
        </w:rPr>
        <w:t xml:space="preserve">The process should be transparent to all stakeholders and include re-assessments of key impacts such as noise, visual amenity, environmental considerations, </w:t>
      </w:r>
      <w:r>
        <w:rPr>
          <w:rFonts w:cs="Arial"/>
        </w:rPr>
        <w:t>aviation, transport route, transmission requirements</w:t>
      </w:r>
      <w:r w:rsidRPr="00FC45E9">
        <w:rPr>
          <w:rFonts w:cs="Arial"/>
        </w:rPr>
        <w:t xml:space="preserve"> and construction impacts.</w:t>
      </w:r>
      <w:r>
        <w:rPr>
          <w:rFonts w:cs="Arial"/>
        </w:rPr>
        <w:t xml:space="preserve"> Planning amendment applications for material changes should be subject to public exhibition and the ability for community members to raise concerns and objections.</w:t>
      </w:r>
    </w:p>
    <w:p w14:paraId="4CB63491"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The responsible authority should be able to reasonably introduce and apply current/updated planning guidelines, applicable standards and updated permit conditions when assessing a request to renew</w:t>
      </w:r>
      <w:r>
        <w:rPr>
          <w:rFonts w:cs="Arial"/>
        </w:rPr>
        <w:t xml:space="preserve">/extend a permit or when </w:t>
      </w:r>
      <w:r w:rsidRPr="00FC45E9">
        <w:rPr>
          <w:rFonts w:cs="Arial"/>
        </w:rPr>
        <w:t>approv</w:t>
      </w:r>
      <w:r>
        <w:rPr>
          <w:rFonts w:cs="Arial"/>
        </w:rPr>
        <w:t>ing</w:t>
      </w:r>
      <w:r w:rsidRPr="00FC45E9">
        <w:rPr>
          <w:rFonts w:cs="Arial"/>
        </w:rPr>
        <w:t xml:space="preserve"> a planning </w:t>
      </w:r>
      <w:r>
        <w:rPr>
          <w:rFonts w:cs="Arial"/>
        </w:rPr>
        <w:t>permit amendment</w:t>
      </w:r>
      <w:r w:rsidRPr="00FC45E9">
        <w:rPr>
          <w:rFonts w:cs="Arial"/>
        </w:rPr>
        <w:t>.</w:t>
      </w:r>
      <w:r>
        <w:rPr>
          <w:rFonts w:cs="Arial"/>
        </w:rPr>
        <w:t xml:space="preserve"> </w:t>
      </w:r>
      <w:r w:rsidRPr="00FC45E9">
        <w:rPr>
          <w:rFonts w:cs="Arial"/>
        </w:rPr>
        <w:t>For example, a developer seeking to renew a permit issued on 1 January 201</w:t>
      </w:r>
      <w:r>
        <w:rPr>
          <w:rFonts w:cs="Arial"/>
        </w:rPr>
        <w:t>8</w:t>
      </w:r>
      <w:r w:rsidRPr="00FC45E9">
        <w:rPr>
          <w:rFonts w:cs="Arial"/>
        </w:rPr>
        <w:t>, expiring 31 December 20</w:t>
      </w:r>
      <w:r>
        <w:rPr>
          <w:rFonts w:cs="Arial"/>
        </w:rPr>
        <w:t>23</w:t>
      </w:r>
      <w:r w:rsidRPr="00FC45E9">
        <w:rPr>
          <w:rFonts w:cs="Arial"/>
        </w:rPr>
        <w:t xml:space="preserve">, </w:t>
      </w:r>
      <w:r>
        <w:rPr>
          <w:rFonts w:cs="Arial"/>
        </w:rPr>
        <w:t>should</w:t>
      </w:r>
      <w:r w:rsidRPr="00FC45E9">
        <w:rPr>
          <w:rFonts w:cs="Arial"/>
        </w:rPr>
        <w:t xml:space="preserve"> be </w:t>
      </w:r>
      <w:r>
        <w:rPr>
          <w:rFonts w:cs="Arial"/>
        </w:rPr>
        <w:t xml:space="preserve">reasonably </w:t>
      </w:r>
      <w:r w:rsidRPr="00FC45E9">
        <w:rPr>
          <w:rFonts w:cs="Arial"/>
        </w:rPr>
        <w:t xml:space="preserve">required to comply with any contemporary guidelines and standards currently in force that could be </w:t>
      </w:r>
      <w:r>
        <w:rPr>
          <w:rFonts w:cs="Arial"/>
        </w:rPr>
        <w:t xml:space="preserve">expected to be </w:t>
      </w:r>
      <w:r w:rsidRPr="00FC45E9">
        <w:rPr>
          <w:rFonts w:cs="Arial"/>
        </w:rPr>
        <w:t>complied with</w:t>
      </w:r>
      <w:r>
        <w:rPr>
          <w:rFonts w:cs="Arial"/>
        </w:rPr>
        <w:t xml:space="preserve">, and the developer should </w:t>
      </w:r>
      <w:r w:rsidRPr="00FC45E9">
        <w:rPr>
          <w:rFonts w:cs="Arial"/>
        </w:rPr>
        <w:t>prepare the renewal submissions in accordance with th</w:t>
      </w:r>
      <w:r>
        <w:rPr>
          <w:rFonts w:cs="Arial"/>
        </w:rPr>
        <w:t>e</w:t>
      </w:r>
      <w:r w:rsidRPr="00FC45E9">
        <w:rPr>
          <w:rFonts w:cs="Arial"/>
        </w:rPr>
        <w:t xml:space="preserve"> </w:t>
      </w:r>
      <w:r>
        <w:rPr>
          <w:rFonts w:cs="Arial"/>
        </w:rPr>
        <w:t xml:space="preserve">contemporary </w:t>
      </w:r>
      <w:r w:rsidRPr="00FC45E9">
        <w:rPr>
          <w:rFonts w:cs="Arial"/>
        </w:rPr>
        <w:t>guidelines and standards.</w:t>
      </w:r>
    </w:p>
    <w:p w14:paraId="050B86E8"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Evidence of ongoing community engagement for the project</w:t>
      </w:r>
      <w:r>
        <w:rPr>
          <w:rFonts w:cs="Arial"/>
        </w:rPr>
        <w:t>, including feedback from community members,</w:t>
      </w:r>
      <w:r w:rsidRPr="00FC45E9">
        <w:rPr>
          <w:rFonts w:cs="Arial"/>
        </w:rPr>
        <w:t xml:space="preserve"> should be submitted to the responsible authority when seeking a renewal approval or permit modification request. Submissions should include evidence of </w:t>
      </w:r>
      <w:r>
        <w:rPr>
          <w:rFonts w:cs="Arial"/>
        </w:rPr>
        <w:t xml:space="preserve">current </w:t>
      </w:r>
      <w:r w:rsidRPr="00FC45E9">
        <w:rPr>
          <w:rFonts w:cs="Arial"/>
        </w:rPr>
        <w:t xml:space="preserve">community consultation </w:t>
      </w:r>
      <w:r>
        <w:rPr>
          <w:rFonts w:cs="Arial"/>
        </w:rPr>
        <w:t xml:space="preserve">efforts </w:t>
      </w:r>
      <w:r w:rsidRPr="00FC45E9">
        <w:rPr>
          <w:rFonts w:cs="Arial"/>
        </w:rPr>
        <w:t xml:space="preserve">regarding any proposed changes in the </w:t>
      </w:r>
      <w:r>
        <w:rPr>
          <w:rFonts w:cs="Arial"/>
        </w:rPr>
        <w:t>project</w:t>
      </w:r>
      <w:r w:rsidRPr="00FC45E9">
        <w:rPr>
          <w:rFonts w:cs="Arial"/>
        </w:rPr>
        <w:t xml:space="preserve"> design and layout subsequent to the original permit approval.</w:t>
      </w:r>
    </w:p>
    <w:p w14:paraId="264318CC"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In considering a renewal</w:t>
      </w:r>
      <w:r>
        <w:rPr>
          <w:rFonts w:cs="Arial"/>
        </w:rPr>
        <w:t>/extension</w:t>
      </w:r>
      <w:r w:rsidRPr="00FC45E9">
        <w:rPr>
          <w:rFonts w:cs="Arial"/>
        </w:rPr>
        <w:t xml:space="preserve"> or </w:t>
      </w:r>
      <w:r>
        <w:rPr>
          <w:rFonts w:cs="Arial"/>
        </w:rPr>
        <w:t>permit amendment</w:t>
      </w:r>
      <w:r w:rsidRPr="00FC45E9">
        <w:rPr>
          <w:rFonts w:cs="Arial"/>
        </w:rPr>
        <w:t xml:space="preserve"> application, the responsible authority should assess any compounding effects of other proposed or constructed </w:t>
      </w:r>
      <w:r>
        <w:rPr>
          <w:rFonts w:cs="Arial"/>
        </w:rPr>
        <w:t xml:space="preserve">projects </w:t>
      </w:r>
      <w:r w:rsidRPr="00FC45E9">
        <w:rPr>
          <w:rFonts w:cs="Arial"/>
        </w:rPr>
        <w:t xml:space="preserve">in the vicinity </w:t>
      </w:r>
      <w:r>
        <w:rPr>
          <w:rFonts w:cs="Arial"/>
        </w:rPr>
        <w:t xml:space="preserve">– with </w:t>
      </w:r>
      <w:r w:rsidRPr="00FC45E9">
        <w:rPr>
          <w:rFonts w:cs="Arial"/>
        </w:rPr>
        <w:t xml:space="preserve">respect to residents who may experience cumulative effects that may be exacerbated by the proposed </w:t>
      </w:r>
      <w:r>
        <w:rPr>
          <w:rFonts w:cs="Arial"/>
        </w:rPr>
        <w:t>project</w:t>
      </w:r>
      <w:r w:rsidRPr="00FC45E9">
        <w:rPr>
          <w:rFonts w:cs="Arial"/>
        </w:rPr>
        <w:t xml:space="preserve"> that is seeking permit renewal </w:t>
      </w:r>
      <w:r>
        <w:rPr>
          <w:rFonts w:cs="Arial"/>
        </w:rPr>
        <w:t xml:space="preserve">or amendment </w:t>
      </w:r>
      <w:r w:rsidRPr="00FC45E9">
        <w:rPr>
          <w:rFonts w:cs="Arial"/>
        </w:rPr>
        <w:t>approval</w:t>
      </w:r>
      <w:r>
        <w:rPr>
          <w:rFonts w:cs="Arial"/>
        </w:rPr>
        <w:t>s</w:t>
      </w:r>
      <w:r w:rsidRPr="00FC45E9">
        <w:rPr>
          <w:rFonts w:cs="Arial"/>
        </w:rPr>
        <w:t>.</w:t>
      </w:r>
    </w:p>
    <w:p w14:paraId="771B0B85"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Further to Recommendation 4.2.5, the responsible authority should assess </w:t>
      </w:r>
      <w:r>
        <w:rPr>
          <w:rFonts w:cs="Arial"/>
        </w:rPr>
        <w:t xml:space="preserve">the impacts of </w:t>
      </w:r>
      <w:r w:rsidRPr="00FC45E9">
        <w:rPr>
          <w:rFonts w:cs="Arial"/>
        </w:rPr>
        <w:t xml:space="preserve">any other planning approval requests </w:t>
      </w:r>
      <w:r>
        <w:rPr>
          <w:rFonts w:cs="Arial"/>
        </w:rPr>
        <w:t xml:space="preserve">or confirmed approvals </w:t>
      </w:r>
      <w:r w:rsidRPr="00FC45E9">
        <w:rPr>
          <w:rFonts w:cs="Arial"/>
        </w:rPr>
        <w:t xml:space="preserve">in the vicinity that have arisen after the </w:t>
      </w:r>
      <w:r>
        <w:rPr>
          <w:rFonts w:cs="Arial"/>
        </w:rPr>
        <w:t xml:space="preserve">project’s </w:t>
      </w:r>
      <w:r w:rsidRPr="00FC45E9">
        <w:rPr>
          <w:rFonts w:cs="Arial"/>
        </w:rPr>
        <w:t>original permit approval when considering the permit renewal</w:t>
      </w:r>
      <w:r>
        <w:rPr>
          <w:rFonts w:cs="Arial"/>
        </w:rPr>
        <w:t xml:space="preserve">/extension </w:t>
      </w:r>
      <w:r w:rsidRPr="00FC45E9">
        <w:rPr>
          <w:rFonts w:cs="Arial"/>
        </w:rPr>
        <w:lastRenderedPageBreak/>
        <w:t xml:space="preserve">application. These could include dwellings that had legitimate planning approvals prior to the </w:t>
      </w:r>
      <w:r>
        <w:rPr>
          <w:rFonts w:cs="Arial"/>
        </w:rPr>
        <w:t>project’s</w:t>
      </w:r>
      <w:r w:rsidRPr="00FC45E9">
        <w:rPr>
          <w:rFonts w:cs="Arial"/>
        </w:rPr>
        <w:t xml:space="preserve"> original permit being approved that have subsequently been built and are inhabited.</w:t>
      </w:r>
    </w:p>
    <w:p w14:paraId="6395DD1C"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If the </w:t>
      </w:r>
      <w:r>
        <w:rPr>
          <w:rFonts w:cs="Arial"/>
        </w:rPr>
        <w:t xml:space="preserve">project </w:t>
      </w:r>
      <w:r w:rsidRPr="00FC45E9">
        <w:rPr>
          <w:rFonts w:cs="Arial"/>
        </w:rPr>
        <w:t>is seeking a renewal/extension of the permit period to allow a commenced project further time for construction completion, the responsible authority needs to be fully satisfied that material construction has already commenced and provide extensions only for the period where it would be reasonably expected for the remaining construction to be completed.</w:t>
      </w:r>
      <w:r>
        <w:rPr>
          <w:rFonts w:cs="Arial"/>
        </w:rPr>
        <w:t xml:space="preserve"> For example, the project should have reached financial close and commenced actual construction of wind turbines or solar arrays. Minimal achievements, such as a roadway or shed constructed on the land should not be considered as material commencement of construction.</w:t>
      </w:r>
    </w:p>
    <w:p w14:paraId="07505550"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State governments should </w:t>
      </w:r>
      <w:r>
        <w:rPr>
          <w:rFonts w:cs="Arial"/>
        </w:rPr>
        <w:t xml:space="preserve">consider </w:t>
      </w:r>
      <w:r w:rsidRPr="00FC45E9">
        <w:rPr>
          <w:rFonts w:cs="Arial"/>
        </w:rPr>
        <w:t>includ</w:t>
      </w:r>
      <w:r>
        <w:rPr>
          <w:rFonts w:cs="Arial"/>
        </w:rPr>
        <w:t>ing</w:t>
      </w:r>
      <w:r w:rsidRPr="00FC45E9">
        <w:rPr>
          <w:rFonts w:cs="Arial"/>
        </w:rPr>
        <w:t xml:space="preserve"> </w:t>
      </w:r>
      <w:r>
        <w:rPr>
          <w:rFonts w:cs="Arial"/>
        </w:rPr>
        <w:t xml:space="preserve">relevant </w:t>
      </w:r>
      <w:r w:rsidRPr="00FC45E9">
        <w:rPr>
          <w:rFonts w:cs="Arial"/>
        </w:rPr>
        <w:t>question</w:t>
      </w:r>
      <w:r>
        <w:rPr>
          <w:rFonts w:cs="Arial"/>
        </w:rPr>
        <w:t>s</w:t>
      </w:r>
      <w:r w:rsidRPr="00FC45E9">
        <w:rPr>
          <w:rFonts w:cs="Arial"/>
        </w:rPr>
        <w:t xml:space="preserve"> for </w:t>
      </w:r>
      <w:r>
        <w:rPr>
          <w:rFonts w:cs="Arial"/>
        </w:rPr>
        <w:t xml:space="preserve">prospective </w:t>
      </w:r>
      <w:r w:rsidRPr="00FC45E9">
        <w:rPr>
          <w:rFonts w:cs="Arial"/>
        </w:rPr>
        <w:t xml:space="preserve">rural property purchasers to ask about potential </w:t>
      </w:r>
      <w:r>
        <w:rPr>
          <w:rFonts w:cs="Arial"/>
        </w:rPr>
        <w:t>projects</w:t>
      </w:r>
      <w:r w:rsidRPr="00FC45E9">
        <w:rPr>
          <w:rFonts w:cs="Arial"/>
        </w:rPr>
        <w:t xml:space="preserve"> </w:t>
      </w:r>
      <w:r>
        <w:rPr>
          <w:rFonts w:cs="Arial"/>
        </w:rPr>
        <w:t xml:space="preserve">in the vicinity of the property – to be included </w:t>
      </w:r>
      <w:r w:rsidRPr="00FC45E9">
        <w:rPr>
          <w:rFonts w:cs="Arial"/>
        </w:rPr>
        <w:t xml:space="preserve">in any due diligence </w:t>
      </w:r>
      <w:r>
        <w:rPr>
          <w:rFonts w:cs="Arial"/>
        </w:rPr>
        <w:t>‘</w:t>
      </w:r>
      <w:r w:rsidRPr="00FC45E9">
        <w:rPr>
          <w:rFonts w:cs="Arial"/>
        </w:rPr>
        <w:t>checklist</w:t>
      </w:r>
      <w:r>
        <w:rPr>
          <w:rFonts w:cs="Arial"/>
        </w:rPr>
        <w:t>’</w:t>
      </w:r>
      <w:r w:rsidRPr="00FC45E9">
        <w:rPr>
          <w:rFonts w:cs="Arial"/>
        </w:rPr>
        <w:t xml:space="preserve"> that may accompany </w:t>
      </w:r>
      <w:r>
        <w:rPr>
          <w:rFonts w:cs="Arial"/>
        </w:rPr>
        <w:t xml:space="preserve">a </w:t>
      </w:r>
      <w:r w:rsidRPr="00FC45E9">
        <w:rPr>
          <w:rFonts w:cs="Arial"/>
        </w:rPr>
        <w:t xml:space="preserve">contract of sale </w:t>
      </w:r>
      <w:r>
        <w:rPr>
          <w:rFonts w:cs="Arial"/>
        </w:rPr>
        <w:t xml:space="preserve">or vendor statement </w:t>
      </w:r>
      <w:r w:rsidRPr="00FC45E9">
        <w:rPr>
          <w:rFonts w:cs="Arial"/>
        </w:rPr>
        <w:t>document.</w:t>
      </w:r>
    </w:p>
    <w:p w14:paraId="2FE5A53F"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Planned dwellings</w:t>
      </w:r>
      <w:r>
        <w:rPr>
          <w:rFonts w:cs="Arial"/>
        </w:rPr>
        <w:t>,</w:t>
      </w:r>
      <w:r w:rsidRPr="00FC45E9">
        <w:rPr>
          <w:rFonts w:cs="Arial"/>
        </w:rPr>
        <w:t xml:space="preserve"> within proximity to a proposed </w:t>
      </w:r>
      <w:r>
        <w:rPr>
          <w:rFonts w:cs="Arial"/>
        </w:rPr>
        <w:t xml:space="preserve">project </w:t>
      </w:r>
      <w:r w:rsidRPr="00FC45E9">
        <w:rPr>
          <w:rFonts w:cs="Arial"/>
        </w:rPr>
        <w:t xml:space="preserve">that have </w:t>
      </w:r>
      <w:r>
        <w:rPr>
          <w:rFonts w:cs="Arial"/>
        </w:rPr>
        <w:t xml:space="preserve">existing, </w:t>
      </w:r>
      <w:r w:rsidRPr="00FC45E9">
        <w:rPr>
          <w:rFonts w:cs="Arial"/>
        </w:rPr>
        <w:t xml:space="preserve">approved and current planning and building permits, should be treated </w:t>
      </w:r>
      <w:r>
        <w:rPr>
          <w:rFonts w:cs="Arial"/>
        </w:rPr>
        <w:t xml:space="preserve">and assessed </w:t>
      </w:r>
      <w:r w:rsidRPr="00FC45E9">
        <w:rPr>
          <w:rFonts w:cs="Arial"/>
        </w:rPr>
        <w:t xml:space="preserve">as an existing dwelling </w:t>
      </w:r>
      <w:r>
        <w:rPr>
          <w:rFonts w:cs="Arial"/>
        </w:rPr>
        <w:t xml:space="preserve">by developers </w:t>
      </w:r>
      <w:r w:rsidRPr="00FC45E9">
        <w:rPr>
          <w:rFonts w:cs="Arial"/>
        </w:rPr>
        <w:t>when preparing and submitting permit applications. Planned dwellings that subsequently are not constructed</w:t>
      </w:r>
      <w:r>
        <w:rPr>
          <w:rFonts w:cs="Arial"/>
        </w:rPr>
        <w:t xml:space="preserve"> within the specified time limits and/</w:t>
      </w:r>
      <w:r w:rsidRPr="00FC45E9">
        <w:rPr>
          <w:rFonts w:cs="Arial"/>
        </w:rPr>
        <w:t xml:space="preserve">or have expired permits, can be removed </w:t>
      </w:r>
      <w:r>
        <w:rPr>
          <w:rFonts w:cs="Arial"/>
        </w:rPr>
        <w:t>as a constraint to</w:t>
      </w:r>
      <w:r w:rsidRPr="00FC45E9">
        <w:rPr>
          <w:rFonts w:cs="Arial"/>
        </w:rPr>
        <w:t xml:space="preserve"> the planning layout. See also recommendation 4.2.10 regarding development plans after a </w:t>
      </w:r>
      <w:r>
        <w:rPr>
          <w:rFonts w:cs="Arial"/>
        </w:rPr>
        <w:t xml:space="preserve">project </w:t>
      </w:r>
      <w:r w:rsidRPr="00FC45E9">
        <w:rPr>
          <w:rFonts w:cs="Arial"/>
        </w:rPr>
        <w:t>planning permit being approved.</w:t>
      </w:r>
    </w:p>
    <w:p w14:paraId="18012ACB" w14:textId="7C9F56BC"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Neighbours to projects, where the project is in either development or in operation, should be allowed to submit development plans to the responsible planning authority for new development on their property, such as a dwelling or a shed. Development proposals within at least 1.5 km of a proposed or operating wind turbine</w:t>
      </w:r>
      <w:r>
        <w:rPr>
          <w:rFonts w:cs="Arial"/>
        </w:rPr>
        <w:t>, within 300 m of a proposed or operating transmission line</w:t>
      </w:r>
      <w:r w:rsidRPr="00FC45E9">
        <w:rPr>
          <w:rFonts w:cs="Arial"/>
        </w:rPr>
        <w:t xml:space="preserve">, </w:t>
      </w:r>
      <w:r>
        <w:rPr>
          <w:rFonts w:cs="Arial"/>
        </w:rPr>
        <w:t>or within 100</w:t>
      </w:r>
      <w:r w:rsidR="00625DA0">
        <w:rPr>
          <w:rFonts w:cs="Arial"/>
        </w:rPr>
        <w:t xml:space="preserve"> </w:t>
      </w:r>
      <w:r>
        <w:rPr>
          <w:rFonts w:cs="Arial"/>
        </w:rPr>
        <w:t xml:space="preserve">m of a proposed or operating large scale solar array, </w:t>
      </w:r>
      <w:r w:rsidRPr="00FC45E9">
        <w:rPr>
          <w:rFonts w:cs="Arial"/>
        </w:rPr>
        <w:t xml:space="preserve">should be referred to the </w:t>
      </w:r>
      <w:r>
        <w:rPr>
          <w:rFonts w:cs="Arial"/>
        </w:rPr>
        <w:t xml:space="preserve">project </w:t>
      </w:r>
      <w:r w:rsidRPr="00FC45E9">
        <w:rPr>
          <w:rFonts w:cs="Arial"/>
        </w:rPr>
        <w:t>developer by the responsible authority</w:t>
      </w:r>
      <w:r>
        <w:rPr>
          <w:rFonts w:cs="Arial"/>
        </w:rPr>
        <w:t xml:space="preserve">. The developer should then assess and </w:t>
      </w:r>
      <w:r w:rsidRPr="00FC45E9">
        <w:rPr>
          <w:rFonts w:cs="Arial"/>
        </w:rPr>
        <w:t xml:space="preserve">verify </w:t>
      </w:r>
      <w:r>
        <w:rPr>
          <w:rFonts w:cs="Arial"/>
        </w:rPr>
        <w:t xml:space="preserve">potential </w:t>
      </w:r>
      <w:r w:rsidRPr="00FC45E9">
        <w:rPr>
          <w:rFonts w:cs="Arial"/>
        </w:rPr>
        <w:t xml:space="preserve">impact levels of the </w:t>
      </w:r>
      <w:r>
        <w:rPr>
          <w:rFonts w:cs="Arial"/>
        </w:rPr>
        <w:t xml:space="preserve">project </w:t>
      </w:r>
      <w:r w:rsidRPr="00FC45E9">
        <w:rPr>
          <w:rFonts w:cs="Arial"/>
        </w:rPr>
        <w:t xml:space="preserve">at the neighbour’s </w:t>
      </w:r>
      <w:r>
        <w:rPr>
          <w:rFonts w:cs="Arial"/>
        </w:rPr>
        <w:t xml:space="preserve">proposed </w:t>
      </w:r>
      <w:r w:rsidRPr="00FC45E9">
        <w:rPr>
          <w:rFonts w:cs="Arial"/>
        </w:rPr>
        <w:t xml:space="preserve">development site. Development proposals in locations where the </w:t>
      </w:r>
      <w:r>
        <w:rPr>
          <w:rFonts w:cs="Arial"/>
        </w:rPr>
        <w:t xml:space="preserve">project </w:t>
      </w:r>
      <w:r w:rsidRPr="00FC45E9">
        <w:rPr>
          <w:rFonts w:cs="Arial"/>
        </w:rPr>
        <w:t xml:space="preserve">is likely to exceed prescribed standards and limits may require written agreements to be reached between the neighbour and the </w:t>
      </w:r>
      <w:r>
        <w:rPr>
          <w:rFonts w:cs="Arial"/>
        </w:rPr>
        <w:t xml:space="preserve">project </w:t>
      </w:r>
      <w:r w:rsidRPr="00FC45E9">
        <w:rPr>
          <w:rFonts w:cs="Arial"/>
        </w:rPr>
        <w:t xml:space="preserve">before the neighbour’s development can be </w:t>
      </w:r>
      <w:r>
        <w:rPr>
          <w:rFonts w:cs="Arial"/>
        </w:rPr>
        <w:t xml:space="preserve">granted final </w:t>
      </w:r>
      <w:r w:rsidRPr="00FC45E9">
        <w:rPr>
          <w:rFonts w:cs="Arial"/>
        </w:rPr>
        <w:t>approv</w:t>
      </w:r>
      <w:r>
        <w:rPr>
          <w:rFonts w:cs="Arial"/>
        </w:rPr>
        <w:t>al by the responsible authority</w:t>
      </w:r>
      <w:r w:rsidRPr="00FC45E9">
        <w:rPr>
          <w:rFonts w:cs="Arial"/>
        </w:rPr>
        <w:t>.</w:t>
      </w:r>
    </w:p>
    <w:p w14:paraId="7FD37D77" w14:textId="77777777" w:rsidR="00C66F7A" w:rsidRDefault="00C66F7A" w:rsidP="00C66F7A">
      <w:pPr>
        <w:pStyle w:val="ListParagraph"/>
        <w:numPr>
          <w:ilvl w:val="2"/>
          <w:numId w:val="8"/>
        </w:numPr>
        <w:spacing w:line="264" w:lineRule="auto"/>
        <w:ind w:left="1400" w:hanging="680"/>
        <w:rPr>
          <w:rFonts w:cs="Arial"/>
        </w:rPr>
      </w:pPr>
      <w:r>
        <w:rPr>
          <w:rFonts w:cs="Arial"/>
        </w:rPr>
        <w:t>Private t</w:t>
      </w:r>
      <w:r w:rsidRPr="00FC45E9">
        <w:rPr>
          <w:rFonts w:cs="Arial"/>
        </w:rPr>
        <w:t xml:space="preserve">ransmission lines, substations and other related electrical infrastructure should all be subject to and require an appropriate planning permit, ideally as part of the overall permit for the project. Careful consideration should be given to the design and routing of the </w:t>
      </w:r>
      <w:r>
        <w:rPr>
          <w:rFonts w:cs="Arial"/>
        </w:rPr>
        <w:t>transmission line</w:t>
      </w:r>
      <w:r w:rsidRPr="00FC45E9">
        <w:rPr>
          <w:rFonts w:cs="Arial"/>
        </w:rPr>
        <w:t xml:space="preserve">. </w:t>
      </w:r>
      <w:r>
        <w:rPr>
          <w:rFonts w:cs="Arial"/>
        </w:rPr>
        <w:t>Developers</w:t>
      </w:r>
      <w:r w:rsidRPr="00FC45E9">
        <w:rPr>
          <w:rFonts w:cs="Arial"/>
        </w:rPr>
        <w:t xml:space="preserve"> should collaborate wherever possible to optimise use of shared transmission facilities. Relevant governance bodies (transmission planning, electrical safety, road safety, local councils etc.) should be properly consulted on the </w:t>
      </w:r>
      <w:r>
        <w:rPr>
          <w:rFonts w:cs="Arial"/>
        </w:rPr>
        <w:t xml:space="preserve">planning application </w:t>
      </w:r>
      <w:r w:rsidRPr="00FC45E9">
        <w:rPr>
          <w:rFonts w:cs="Arial"/>
        </w:rPr>
        <w:t>and exercise their oversight responsibilities accordingly.</w:t>
      </w:r>
    </w:p>
    <w:p w14:paraId="6F81489F" w14:textId="77777777" w:rsidR="00C66F7A" w:rsidRDefault="00C66F7A" w:rsidP="00C66F7A">
      <w:pPr>
        <w:pStyle w:val="ListParagraph"/>
        <w:numPr>
          <w:ilvl w:val="2"/>
          <w:numId w:val="8"/>
        </w:numPr>
        <w:spacing w:line="264" w:lineRule="auto"/>
        <w:ind w:left="1400" w:hanging="680"/>
        <w:rPr>
          <w:rFonts w:cs="Arial"/>
        </w:rPr>
      </w:pPr>
      <w:r>
        <w:rPr>
          <w:rFonts w:cs="Arial"/>
        </w:rPr>
        <w:t>State governments are best placed to be the responsible authority for large-scale renewable energy, and storage projects. Local governments have a very important role to play in the planning process, road access, community engagement, construction and operation of the project, but should not be burdened with the overall planning and compliance responsibilities.</w:t>
      </w:r>
    </w:p>
    <w:p w14:paraId="4DCBE87B" w14:textId="77777777" w:rsidR="00C66F7A" w:rsidRDefault="00C66F7A" w:rsidP="00C66F7A">
      <w:pPr>
        <w:pStyle w:val="ListParagraph"/>
        <w:numPr>
          <w:ilvl w:val="2"/>
          <w:numId w:val="8"/>
        </w:numPr>
        <w:spacing w:line="264" w:lineRule="auto"/>
        <w:ind w:left="1400" w:hanging="680"/>
        <w:rPr>
          <w:rFonts w:cs="Arial"/>
        </w:rPr>
      </w:pPr>
      <w:r>
        <w:rPr>
          <w:rFonts w:cs="Arial"/>
        </w:rPr>
        <w:t>Developers should provide evidence that they have landholder consent for the development application and any subsequent planning permit amendment applications. If the developer is declaring they have obtained such consent, the declaration should be subject to an audit.</w:t>
      </w:r>
    </w:p>
    <w:p w14:paraId="22A2A61B" w14:textId="5D40C63D" w:rsidR="00C66F7A" w:rsidRPr="008A240A" w:rsidRDefault="00C66F7A" w:rsidP="00C66F7A">
      <w:pPr>
        <w:pStyle w:val="ListParagraph"/>
        <w:numPr>
          <w:ilvl w:val="2"/>
          <w:numId w:val="8"/>
        </w:numPr>
        <w:spacing w:line="264" w:lineRule="auto"/>
        <w:ind w:left="1400" w:hanging="680"/>
        <w:rPr>
          <w:rFonts w:cs="Arial"/>
        </w:rPr>
      </w:pPr>
      <w:r>
        <w:rPr>
          <w:rFonts w:cs="Arial"/>
        </w:rPr>
        <w:lastRenderedPageBreak/>
        <w:t>Major new long-distance, large-scale transmission projects that form part of the strategic integrated system plan and transformation of the network grid, should be designated as ‘State Significant’ and/or ‘National</w:t>
      </w:r>
      <w:r w:rsidR="008B3040">
        <w:rPr>
          <w:rFonts w:cs="Arial"/>
        </w:rPr>
        <w:t>ly</w:t>
      </w:r>
      <w:r>
        <w:rPr>
          <w:rFonts w:cs="Arial"/>
        </w:rPr>
        <w:t xml:space="preserve"> Significant’ projects and be required to be assessed under the corresponding planning assessment process consistent with the project’s importance to the broader community.  </w:t>
      </w:r>
    </w:p>
    <w:p w14:paraId="54CB111B" w14:textId="77777777" w:rsidR="00C66F7A" w:rsidRDefault="00C66F7A" w:rsidP="00C66F7A">
      <w:pPr>
        <w:rPr>
          <w:rFonts w:cs="Arial"/>
        </w:rPr>
      </w:pPr>
      <w:r>
        <w:rPr>
          <w:rFonts w:cs="Arial"/>
        </w:rPr>
        <w:br w:type="page"/>
      </w:r>
    </w:p>
    <w:p w14:paraId="0D5C1499" w14:textId="77777777" w:rsidR="00C66F7A" w:rsidRPr="00FC45E9" w:rsidRDefault="00C66F7A" w:rsidP="00C66F7A">
      <w:pPr>
        <w:pStyle w:val="Heading2"/>
        <w:numPr>
          <w:ilvl w:val="0"/>
          <w:numId w:val="8"/>
        </w:numPr>
      </w:pPr>
      <w:bookmarkStart w:id="202" w:name="_Toc51224052"/>
      <w:bookmarkStart w:id="203" w:name="_Toc84430833"/>
      <w:bookmarkStart w:id="204" w:name="_Toc98781023"/>
      <w:bookmarkStart w:id="205" w:name="_Toc135390640"/>
      <w:r w:rsidRPr="00FC45E9">
        <w:lastRenderedPageBreak/>
        <w:t>Governance and Compliance of Standards and Permit Conditions</w:t>
      </w:r>
      <w:bookmarkEnd w:id="202"/>
      <w:bookmarkEnd w:id="203"/>
      <w:bookmarkEnd w:id="204"/>
      <w:bookmarkEnd w:id="205"/>
    </w:p>
    <w:p w14:paraId="208EF89E"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27E4805E" w14:textId="77777777" w:rsidR="00C66F7A" w:rsidRPr="00861E58" w:rsidRDefault="00C66F7A" w:rsidP="00F25864">
      <w:pPr>
        <w:pStyle w:val="Heading3"/>
        <w:ind w:firstLine="360"/>
      </w:pPr>
      <w:bookmarkStart w:id="206" w:name="_Toc132641495"/>
      <w:bookmarkStart w:id="207" w:name="_Toc135390641"/>
      <w:r w:rsidRPr="00861E58">
        <w:t>Background</w:t>
      </w:r>
      <w:bookmarkEnd w:id="206"/>
      <w:bookmarkEnd w:id="207"/>
    </w:p>
    <w:p w14:paraId="041D6E1E" w14:textId="4A9C1622"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 governance of </w:t>
      </w:r>
      <w:r>
        <w:rPr>
          <w:rFonts w:cs="Arial"/>
        </w:rPr>
        <w:t xml:space="preserve">standards related to the design, construction, operation and maintenance of large-scale </w:t>
      </w:r>
      <w:r w:rsidRPr="00FC45E9">
        <w:rPr>
          <w:rFonts w:cs="Arial"/>
        </w:rPr>
        <w:t>energy projects rel</w:t>
      </w:r>
      <w:r w:rsidR="00AD3508">
        <w:rPr>
          <w:rFonts w:cs="Arial"/>
        </w:rPr>
        <w:t>y</w:t>
      </w:r>
      <w:r w:rsidRPr="00FC45E9">
        <w:rPr>
          <w:rFonts w:cs="Arial"/>
        </w:rPr>
        <w:t xml:space="preserve"> on a range of standards</w:t>
      </w:r>
      <w:r>
        <w:rPr>
          <w:rFonts w:cs="Arial"/>
        </w:rPr>
        <w:t>, regulators, responsible authorities</w:t>
      </w:r>
      <w:r w:rsidRPr="00FC45E9">
        <w:rPr>
          <w:rFonts w:cs="Arial"/>
        </w:rPr>
        <w:t xml:space="preserve"> and compliance mechanisms to monitor and enforce those standards.</w:t>
      </w:r>
    </w:p>
    <w:p w14:paraId="781631D0" w14:textId="610A052B"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Standards are often set and maintained by the responsible authority (for example, a state planning department or environment department) and there are a variety of arrangements in place for enforcing compliance with the standards. Standards may be ‘borrowed’ from other jurisdictions (for example, Victoria uses the New Zealand </w:t>
      </w:r>
      <w:r>
        <w:rPr>
          <w:rFonts w:cs="Arial"/>
        </w:rPr>
        <w:t>(NZ) wind farm noise s</w:t>
      </w:r>
      <w:r w:rsidRPr="00FC45E9">
        <w:rPr>
          <w:rFonts w:cs="Arial"/>
        </w:rPr>
        <w:t>tandard</w:t>
      </w:r>
      <w:r w:rsidR="00681EA5">
        <w:rPr>
          <w:rFonts w:cs="Arial"/>
        </w:rPr>
        <w:t xml:space="preserve"> while</w:t>
      </w:r>
      <w:r w:rsidRPr="00FC45E9">
        <w:rPr>
          <w:rFonts w:cs="Arial"/>
        </w:rPr>
        <w:t xml:space="preserve"> the NSW noise standard is based on the South Australian standard), set by the planning function or set by the state agency responsible for environmental management and regulation.</w:t>
      </w:r>
    </w:p>
    <w:p w14:paraId="0681EC41" w14:textId="58753543"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Enforcement of standards and permit conditions also varies by jurisdiction and the type of standards. </w:t>
      </w:r>
      <w:r>
        <w:rPr>
          <w:rFonts w:cs="Arial"/>
        </w:rPr>
        <w:t>For the most part, t</w:t>
      </w:r>
      <w:r w:rsidRPr="00FC45E9">
        <w:rPr>
          <w:rFonts w:cs="Arial"/>
        </w:rPr>
        <w:t xml:space="preserve">here are no proactive </w:t>
      </w:r>
      <w:r>
        <w:rPr>
          <w:rFonts w:cs="Arial"/>
        </w:rPr>
        <w:t xml:space="preserve">compliance </w:t>
      </w:r>
      <w:r w:rsidRPr="00FC45E9">
        <w:rPr>
          <w:rFonts w:cs="Arial"/>
        </w:rPr>
        <w:t xml:space="preserve">audit regimes in place – rather, compliance relies on </w:t>
      </w:r>
      <w:r>
        <w:rPr>
          <w:rFonts w:cs="Arial"/>
        </w:rPr>
        <w:t xml:space="preserve">authorities </w:t>
      </w:r>
      <w:r w:rsidRPr="00FC45E9">
        <w:rPr>
          <w:rFonts w:cs="Arial"/>
        </w:rPr>
        <w:t xml:space="preserve">receiving </w:t>
      </w:r>
      <w:r>
        <w:rPr>
          <w:rFonts w:cs="Arial"/>
        </w:rPr>
        <w:t xml:space="preserve">and investigating </w:t>
      </w:r>
      <w:r w:rsidRPr="00FC45E9">
        <w:rPr>
          <w:rFonts w:cs="Arial"/>
        </w:rPr>
        <w:t>complaints or alleged breaches of permit</w:t>
      </w:r>
      <w:r>
        <w:rPr>
          <w:rFonts w:cs="Arial"/>
        </w:rPr>
        <w:t xml:space="preserve"> or license </w:t>
      </w:r>
      <w:r w:rsidRPr="00FC45E9">
        <w:rPr>
          <w:rFonts w:cs="Arial"/>
        </w:rPr>
        <w:t>conditions. The pathway to make a compliance complaint or allegation again varies by jurisdiction and type of complaint</w:t>
      </w:r>
      <w:r w:rsidR="00681EA5">
        <w:rPr>
          <w:rFonts w:cs="Arial"/>
        </w:rPr>
        <w:t>. I</w:t>
      </w:r>
      <w:r w:rsidRPr="00FC45E9">
        <w:rPr>
          <w:rFonts w:cs="Arial"/>
        </w:rPr>
        <w:t xml:space="preserve">n some cases the state environmental regulator can receive and investigate noise or environmental complaints, in other cases it may be a local council, state planning department or the </w:t>
      </w:r>
      <w:r>
        <w:rPr>
          <w:rFonts w:cs="Arial"/>
        </w:rPr>
        <w:t>relevant Australian Government d</w:t>
      </w:r>
      <w:r w:rsidRPr="00FC45E9">
        <w:rPr>
          <w:rFonts w:cs="Arial"/>
        </w:rPr>
        <w:t>epartment.</w:t>
      </w:r>
    </w:p>
    <w:p w14:paraId="41513E79" w14:textId="77777777" w:rsidR="00C66F7A" w:rsidRPr="00861E58" w:rsidRDefault="00C66F7A" w:rsidP="00F25864">
      <w:pPr>
        <w:pStyle w:val="Heading3"/>
        <w:ind w:firstLine="360"/>
      </w:pPr>
      <w:bookmarkStart w:id="208" w:name="_Toc135390642"/>
      <w:r w:rsidRPr="00861E58">
        <w:t>Compliance Complaints</w:t>
      </w:r>
      <w:bookmarkEnd w:id="208"/>
    </w:p>
    <w:p w14:paraId="64D67F06" w14:textId="238921BC"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It is often unclear to community members where or who they should lodge a complaint regarding compliance. Planning permits may not </w:t>
      </w:r>
      <w:r>
        <w:rPr>
          <w:rFonts w:cs="Arial"/>
        </w:rPr>
        <w:t xml:space="preserve">always </w:t>
      </w:r>
      <w:r w:rsidRPr="00FC45E9">
        <w:rPr>
          <w:rFonts w:cs="Arial"/>
        </w:rPr>
        <w:t xml:space="preserve">clearly state the accountability and responsibilities </w:t>
      </w:r>
      <w:r>
        <w:rPr>
          <w:rFonts w:cs="Arial"/>
        </w:rPr>
        <w:t>in</w:t>
      </w:r>
      <w:r w:rsidRPr="00FC45E9">
        <w:rPr>
          <w:rFonts w:cs="Arial"/>
        </w:rPr>
        <w:t xml:space="preserve"> regard to compliance oversight, nor may they prescribe a process for handling potential or actual non-compliance. Further, local councils and state planning functions may not have the necessary skills and expertise to handle and investigate a compliance complaint. Federal agencies, such as the Clean Energy Regulator, rely on a clear understanding of the responsible</w:t>
      </w:r>
      <w:r>
        <w:rPr>
          <w:rFonts w:cs="Arial"/>
        </w:rPr>
        <w:t>, state-based</w:t>
      </w:r>
      <w:r w:rsidRPr="00FC45E9">
        <w:rPr>
          <w:rFonts w:cs="Arial"/>
        </w:rPr>
        <w:t xml:space="preserve"> compliance authority and the authority’s advice if the Regulator is to consider acting on allegations of non-compliance or breach of a law.</w:t>
      </w:r>
    </w:p>
    <w:p w14:paraId="13D3E592" w14:textId="77777777" w:rsidR="00C66F7A" w:rsidRPr="00861E58" w:rsidRDefault="00C66F7A" w:rsidP="00F25864">
      <w:pPr>
        <w:pStyle w:val="Heading3"/>
        <w:ind w:firstLine="360"/>
      </w:pPr>
      <w:bookmarkStart w:id="209" w:name="_Toc135390643"/>
      <w:r w:rsidRPr="00861E58">
        <w:t>Interpretation and Consistency of Standards</w:t>
      </w:r>
      <w:bookmarkEnd w:id="209"/>
    </w:p>
    <w:p w14:paraId="431AC417" w14:textId="621A7C2B" w:rsidR="00C66F7A" w:rsidRPr="00FC45E9" w:rsidRDefault="00F44B6B" w:rsidP="00C66F7A">
      <w:pPr>
        <w:pStyle w:val="ListParagraph"/>
        <w:numPr>
          <w:ilvl w:val="0"/>
          <w:numId w:val="0"/>
        </w:numPr>
        <w:spacing w:line="264" w:lineRule="auto"/>
        <w:ind w:left="360"/>
        <w:rPr>
          <w:rFonts w:cs="Arial"/>
        </w:rPr>
      </w:pPr>
      <w:r>
        <w:rPr>
          <w:rFonts w:cs="Arial"/>
        </w:rPr>
        <w:t>‘</w:t>
      </w:r>
      <w:r w:rsidR="00C66F7A" w:rsidRPr="00FC45E9">
        <w:rPr>
          <w:rFonts w:cs="Arial"/>
        </w:rPr>
        <w:t>Borrowed</w:t>
      </w:r>
      <w:r>
        <w:rPr>
          <w:rFonts w:cs="Arial"/>
        </w:rPr>
        <w:t>’</w:t>
      </w:r>
      <w:r w:rsidR="00C66F7A" w:rsidRPr="00FC45E9">
        <w:rPr>
          <w:rFonts w:cs="Arial"/>
        </w:rPr>
        <w:t xml:space="preserve"> standards can be difficult to administrate or enforce if a protocol has not been developed for the local jurisdiction. </w:t>
      </w:r>
      <w:r w:rsidR="00C66F7A">
        <w:rPr>
          <w:rFonts w:cs="Arial"/>
        </w:rPr>
        <w:t>As an example</w:t>
      </w:r>
      <w:r w:rsidR="00C66F7A" w:rsidRPr="00FC45E9">
        <w:rPr>
          <w:rFonts w:cs="Arial"/>
        </w:rPr>
        <w:t xml:space="preserve">, the </w:t>
      </w:r>
      <w:r w:rsidR="00C66F7A">
        <w:rPr>
          <w:rFonts w:cs="Arial"/>
        </w:rPr>
        <w:t>NZ</w:t>
      </w:r>
      <w:r w:rsidR="00C66F7A" w:rsidRPr="00FC45E9">
        <w:rPr>
          <w:rFonts w:cs="Arial"/>
        </w:rPr>
        <w:t xml:space="preserve"> </w:t>
      </w:r>
      <w:r w:rsidR="00C66F7A">
        <w:rPr>
          <w:rFonts w:cs="Arial"/>
        </w:rPr>
        <w:t xml:space="preserve">noise </w:t>
      </w:r>
      <w:r w:rsidR="00C66F7A" w:rsidRPr="00FC45E9">
        <w:rPr>
          <w:rFonts w:cs="Arial"/>
        </w:rPr>
        <w:t xml:space="preserve">standard </w:t>
      </w:r>
      <w:r w:rsidR="00C66F7A">
        <w:rPr>
          <w:rFonts w:cs="Arial"/>
        </w:rPr>
        <w:t xml:space="preserve">(used in Victoria and Tasmania) </w:t>
      </w:r>
      <w:r w:rsidR="00C66F7A" w:rsidRPr="00FC45E9">
        <w:rPr>
          <w:rFonts w:cs="Arial"/>
        </w:rPr>
        <w:t xml:space="preserve">has a concept of low and high amenity </w:t>
      </w:r>
      <w:r w:rsidR="00C66F7A">
        <w:rPr>
          <w:rFonts w:cs="Arial"/>
        </w:rPr>
        <w:t xml:space="preserve">geographic </w:t>
      </w:r>
      <w:r w:rsidR="00C66F7A" w:rsidRPr="00FC45E9">
        <w:rPr>
          <w:rFonts w:cs="Arial"/>
        </w:rPr>
        <w:t xml:space="preserve">areas for determining the appropriate noise limits for a wind farm. Victoria’s planning scheme does not define such areas, making it difficult to interpret and apply the NZ standard </w:t>
      </w:r>
      <w:r w:rsidR="00C66F7A">
        <w:rPr>
          <w:rFonts w:cs="Arial"/>
        </w:rPr>
        <w:t>‘</w:t>
      </w:r>
      <w:r w:rsidR="00C66F7A" w:rsidRPr="00FC45E9">
        <w:rPr>
          <w:rFonts w:cs="Arial"/>
        </w:rPr>
        <w:t>as is</w:t>
      </w:r>
      <w:r w:rsidR="00C66F7A">
        <w:rPr>
          <w:rFonts w:cs="Arial"/>
        </w:rPr>
        <w:t>’</w:t>
      </w:r>
      <w:r w:rsidR="00C66F7A" w:rsidRPr="00FC45E9">
        <w:rPr>
          <w:rFonts w:cs="Arial"/>
        </w:rPr>
        <w:t xml:space="preserve"> in the Victorian context (see </w:t>
      </w:r>
      <w:r w:rsidR="00C66F7A" w:rsidRPr="00FC45E9">
        <w:rPr>
          <w:rFonts w:cs="Arial"/>
          <w:i/>
        </w:rPr>
        <w:t>Cherry Tree Wind Farm Pty Ltd v Mitchell S</w:t>
      </w:r>
      <w:r w:rsidR="001414E5">
        <w:rPr>
          <w:rFonts w:cs="Arial"/>
          <w:i/>
        </w:rPr>
        <w:t xml:space="preserve">C &amp; Ors </w:t>
      </w:r>
      <w:r w:rsidR="001414E5">
        <w:rPr>
          <w:rFonts w:cs="Arial"/>
          <w:iCs/>
        </w:rPr>
        <w:t>[2013] VCAT 435</w:t>
      </w:r>
      <w:r w:rsidR="00C66F7A" w:rsidRPr="00FC45E9">
        <w:rPr>
          <w:rFonts w:cs="Arial"/>
        </w:rPr>
        <w:t xml:space="preserve">). </w:t>
      </w:r>
    </w:p>
    <w:p w14:paraId="74E18D14"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Issues have also arisen regarding the application of tonal noise penalties provided for in the NZ standard. The application of the standard is open to interpretation in that regard, and Victoria</w:t>
      </w:r>
      <w:r>
        <w:rPr>
          <w:rFonts w:cs="Arial"/>
        </w:rPr>
        <w:t>/Tasmania</w:t>
      </w:r>
      <w:r w:rsidRPr="00FC45E9">
        <w:rPr>
          <w:rFonts w:cs="Arial"/>
        </w:rPr>
        <w:t xml:space="preserve"> must rely on interpretations from New Zealand court proceedings to clarify the standard</w:t>
      </w:r>
      <w:r>
        <w:rPr>
          <w:rFonts w:cs="Arial"/>
        </w:rPr>
        <w:t>’s application</w:t>
      </w:r>
      <w:r w:rsidRPr="00FC45E9">
        <w:rPr>
          <w:rFonts w:cs="Arial"/>
        </w:rPr>
        <w:t xml:space="preserve">. This can be </w:t>
      </w:r>
      <w:r>
        <w:rPr>
          <w:rFonts w:cs="Arial"/>
        </w:rPr>
        <w:t xml:space="preserve">a </w:t>
      </w:r>
      <w:r w:rsidRPr="00FC45E9">
        <w:rPr>
          <w:rFonts w:cs="Arial"/>
        </w:rPr>
        <w:t xml:space="preserve">difficult matter to resolve, particularly in the event the interpretation has also been a topic of debate in </w:t>
      </w:r>
      <w:r>
        <w:rPr>
          <w:rFonts w:cs="Arial"/>
        </w:rPr>
        <w:t>New Zealand itself</w:t>
      </w:r>
      <w:r w:rsidRPr="00FC45E9">
        <w:rPr>
          <w:rFonts w:cs="Arial"/>
        </w:rPr>
        <w:t xml:space="preserve"> (see </w:t>
      </w:r>
      <w:r w:rsidRPr="00494ED6">
        <w:rPr>
          <w:rFonts w:cs="Arial"/>
          <w:i/>
        </w:rPr>
        <w:t>Decision of Hearing Commissioners re Palmerston North City Council v New Zealand Windfarms Ltd</w:t>
      </w:r>
      <w:r w:rsidRPr="00FC45E9">
        <w:rPr>
          <w:rFonts w:cs="Arial"/>
          <w:i/>
        </w:rPr>
        <w:t xml:space="preserve"> – </w:t>
      </w:r>
      <w:r w:rsidRPr="00FC45E9">
        <w:rPr>
          <w:rFonts w:cs="Arial"/>
        </w:rPr>
        <w:t>November 2017).</w:t>
      </w:r>
    </w:p>
    <w:p w14:paraId="0BEE3998"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Typical standards and permit requirements relevant to a </w:t>
      </w:r>
      <w:r>
        <w:rPr>
          <w:rFonts w:cs="Arial"/>
        </w:rPr>
        <w:t>project’s</w:t>
      </w:r>
      <w:r w:rsidRPr="00FC45E9">
        <w:rPr>
          <w:rFonts w:cs="Arial"/>
        </w:rPr>
        <w:t xml:space="preserve"> development and operation can include matters such as audible noise, shadow flicker, visual amenity impacts, setback distances, environmental matters related to flora and fauna, vegetation clearance as well as noise and dust levels during construction.</w:t>
      </w:r>
    </w:p>
    <w:p w14:paraId="4D24437A" w14:textId="2D1A7848" w:rsidR="00C66F7A" w:rsidRDefault="00C66F7A" w:rsidP="00C66F7A">
      <w:pPr>
        <w:pStyle w:val="ListParagraph"/>
        <w:numPr>
          <w:ilvl w:val="0"/>
          <w:numId w:val="0"/>
        </w:numPr>
        <w:spacing w:line="264" w:lineRule="auto"/>
        <w:ind w:left="360"/>
        <w:rPr>
          <w:rFonts w:cs="Arial"/>
        </w:rPr>
      </w:pPr>
      <w:r>
        <w:rPr>
          <w:rFonts w:cs="Arial"/>
        </w:rPr>
        <w:lastRenderedPageBreak/>
        <w:t>It was pleasing to observe that, in 2021, the Victorian Government recognised these complexities. The Victorian EPA now has responsibility for wind farm noise regulations and compliance in Victoria (a role previously assigned to local Councils), including the interpretation and application of the NZ Noise Standard as it applies in Victoria. These changes followed similar reforms in NSW, where wind farms must obtain and maintain a license from the EPA to operate.</w:t>
      </w:r>
    </w:p>
    <w:p w14:paraId="033D6F33" w14:textId="77777777" w:rsidR="00C66F7A" w:rsidRPr="00861E58" w:rsidRDefault="00C66F7A" w:rsidP="00F25864">
      <w:pPr>
        <w:pStyle w:val="Heading3"/>
        <w:ind w:firstLine="360"/>
      </w:pPr>
      <w:bookmarkStart w:id="210" w:name="_Toc135390644"/>
      <w:r w:rsidRPr="00861E58">
        <w:t>Noise Limits and Criteria</w:t>
      </w:r>
      <w:bookmarkEnd w:id="210"/>
    </w:p>
    <w:p w14:paraId="66DF9CC4" w14:textId="77777777" w:rsidR="00C66F7A" w:rsidRPr="00FC45E9" w:rsidRDefault="00C66F7A" w:rsidP="00C66F7A">
      <w:pPr>
        <w:pStyle w:val="ListParagraph"/>
        <w:numPr>
          <w:ilvl w:val="0"/>
          <w:numId w:val="0"/>
        </w:numPr>
        <w:spacing w:line="264" w:lineRule="auto"/>
        <w:ind w:left="360"/>
        <w:rPr>
          <w:rFonts w:cs="Arial"/>
        </w:rPr>
      </w:pPr>
      <w:r>
        <w:rPr>
          <w:rFonts w:cs="Arial"/>
        </w:rPr>
        <w:t>Noise s</w:t>
      </w:r>
      <w:r w:rsidRPr="00FC45E9">
        <w:rPr>
          <w:rFonts w:cs="Arial"/>
        </w:rPr>
        <w:t>tandards relating to wind farms currently vary by state. For example, the wind farm noise limit standard in Victoria and Tasmania is 40 dB(A)</w:t>
      </w:r>
      <w:r w:rsidRPr="00FC45E9">
        <w:rPr>
          <w:rStyle w:val="FootnoteReference"/>
          <w:rFonts w:cs="Arial"/>
        </w:rPr>
        <w:footnoteReference w:customMarkFollows="1" w:id="2"/>
        <w:t>*</w:t>
      </w:r>
      <w:r w:rsidRPr="00FC45E9">
        <w:rPr>
          <w:rFonts w:cs="Arial"/>
        </w:rPr>
        <w:t xml:space="preserve"> measured outside the residence. South Australia varies between 35 dB(A)</w:t>
      </w:r>
      <w:r w:rsidRPr="00FC45E9">
        <w:rPr>
          <w:rStyle w:val="FootnoteReference"/>
          <w:rFonts w:cs="Arial"/>
        </w:rPr>
        <w:footnoteReference w:customMarkFollows="1" w:id="3"/>
        <w:t>*</w:t>
      </w:r>
      <w:r w:rsidRPr="00FC45E9">
        <w:rPr>
          <w:rFonts w:cs="Arial"/>
        </w:rPr>
        <w:t xml:space="preserve"> and 40 dB(A)</w:t>
      </w:r>
      <w:r w:rsidRPr="00FC45E9">
        <w:rPr>
          <w:rStyle w:val="FootnoteReference"/>
          <w:rFonts w:cs="Arial"/>
        </w:rPr>
        <w:footnoteReference w:customMarkFollows="1" w:id="4"/>
        <w:t>*</w:t>
      </w:r>
      <w:r w:rsidRPr="00FC45E9">
        <w:rPr>
          <w:rFonts w:cs="Arial"/>
        </w:rPr>
        <w:t xml:space="preserve"> based on the location of the wind farm, Western Australia is 35</w:t>
      </w:r>
      <w:r>
        <w:rPr>
          <w:rFonts w:cs="Arial"/>
        </w:rPr>
        <w:t> </w:t>
      </w:r>
      <w:r w:rsidRPr="00FC45E9">
        <w:rPr>
          <w:rFonts w:cs="Arial"/>
        </w:rPr>
        <w:t>dB(A)*, New South Wales is 35 dB(A)</w:t>
      </w:r>
      <w:r w:rsidRPr="00FC45E9">
        <w:rPr>
          <w:rStyle w:val="FootnoteReference"/>
          <w:rFonts w:cs="Arial"/>
        </w:rPr>
        <w:footnoteReference w:customMarkFollows="1" w:id="5"/>
        <w:t>*</w:t>
      </w:r>
      <w:r w:rsidRPr="00FC45E9">
        <w:rPr>
          <w:rFonts w:cs="Arial"/>
        </w:rPr>
        <w:t xml:space="preserve"> and Queensland’s standard is 37 dB(A)</w:t>
      </w:r>
      <w:r w:rsidRPr="00FC45E9">
        <w:rPr>
          <w:rStyle w:val="FootnoteReference"/>
          <w:rFonts w:cs="Arial"/>
        </w:rPr>
        <w:footnoteReference w:customMarkFollows="1" w:id="6"/>
        <w:t>*</w:t>
      </w:r>
      <w:r w:rsidRPr="00FC45E9">
        <w:rPr>
          <w:rFonts w:cs="Arial"/>
        </w:rPr>
        <w:t xml:space="preserve"> during the day and 35 dB(A)</w:t>
      </w:r>
      <w:r w:rsidRPr="00FC45E9">
        <w:rPr>
          <w:rStyle w:val="FootnoteReference"/>
          <w:rFonts w:cs="Arial"/>
        </w:rPr>
        <w:footnoteReference w:customMarkFollows="1" w:id="7"/>
        <w:t>*</w:t>
      </w:r>
      <w:r w:rsidRPr="00FC45E9">
        <w:rPr>
          <w:rFonts w:cs="Arial"/>
        </w:rPr>
        <w:t xml:space="preserve"> during the night. The approach to measuring </w:t>
      </w:r>
      <w:r>
        <w:rPr>
          <w:rFonts w:cs="Arial"/>
        </w:rPr>
        <w:t xml:space="preserve">both the background noise levels at a proposed wind farm site as well as </w:t>
      </w:r>
      <w:r w:rsidRPr="00FC45E9">
        <w:rPr>
          <w:rFonts w:cs="Arial"/>
        </w:rPr>
        <w:t>the noise emitted from a</w:t>
      </w:r>
      <w:r>
        <w:rPr>
          <w:rFonts w:cs="Arial"/>
        </w:rPr>
        <w:t xml:space="preserve">n operating </w:t>
      </w:r>
      <w:r w:rsidRPr="00FC45E9">
        <w:rPr>
          <w:rFonts w:cs="Arial"/>
        </w:rPr>
        <w:t>wind farm can also vary by project and jurisdiction</w:t>
      </w:r>
      <w:r>
        <w:rPr>
          <w:rFonts w:cs="Arial"/>
        </w:rPr>
        <w:t>,</w:t>
      </w:r>
      <w:r w:rsidRPr="00FC45E9">
        <w:rPr>
          <w:rFonts w:cs="Arial"/>
        </w:rPr>
        <w:t xml:space="preserve"> which can lead to debate over the veracity of the noise assessment results.</w:t>
      </w:r>
    </w:p>
    <w:p w14:paraId="2B8DEF9C" w14:textId="77777777" w:rsidR="00C66F7A" w:rsidRPr="00FC45E9" w:rsidRDefault="00C66F7A" w:rsidP="00C66F7A">
      <w:pPr>
        <w:pStyle w:val="ListParagraph"/>
        <w:numPr>
          <w:ilvl w:val="0"/>
          <w:numId w:val="0"/>
        </w:numPr>
        <w:spacing w:line="264" w:lineRule="auto"/>
        <w:ind w:left="360"/>
        <w:rPr>
          <w:rFonts w:cs="Arial"/>
        </w:rPr>
      </w:pPr>
      <w:r>
        <w:rPr>
          <w:rFonts w:cs="Arial"/>
        </w:rPr>
        <w:t xml:space="preserve">The </w:t>
      </w:r>
      <w:r w:rsidRPr="00FC45E9">
        <w:rPr>
          <w:rFonts w:cs="Arial"/>
        </w:rPr>
        <w:t>World Health Organi</w:t>
      </w:r>
      <w:r>
        <w:rPr>
          <w:rFonts w:cs="Arial"/>
        </w:rPr>
        <w:t>z</w:t>
      </w:r>
      <w:r w:rsidRPr="00FC45E9">
        <w:rPr>
          <w:rFonts w:cs="Arial"/>
        </w:rPr>
        <w:t>ation</w:t>
      </w:r>
      <w:r>
        <w:rPr>
          <w:rFonts w:cs="Arial"/>
        </w:rPr>
        <w:t>’s (WHO) noise</w:t>
      </w:r>
      <w:r w:rsidRPr="00FC45E9">
        <w:rPr>
          <w:rFonts w:cs="Arial"/>
        </w:rPr>
        <w:t xml:space="preserve"> </w:t>
      </w:r>
      <w:r>
        <w:rPr>
          <w:rFonts w:cs="Arial"/>
        </w:rPr>
        <w:t>g</w:t>
      </w:r>
      <w:r w:rsidRPr="00FC45E9">
        <w:rPr>
          <w:rFonts w:cs="Arial"/>
        </w:rPr>
        <w:t>uidelines</w:t>
      </w:r>
      <w:r>
        <w:rPr>
          <w:rFonts w:cs="Arial"/>
        </w:rPr>
        <w:t xml:space="preserve"> released in 2018</w:t>
      </w:r>
      <w:r w:rsidRPr="00FC45E9">
        <w:rPr>
          <w:rFonts w:cs="Arial"/>
        </w:rPr>
        <w:t xml:space="preserve"> recommended a 45 dB</w:t>
      </w:r>
      <w:r>
        <w:rPr>
          <w:rFonts w:cs="Arial"/>
        </w:rPr>
        <w:t xml:space="preserve"> (Lden)</w:t>
      </w:r>
      <w:r w:rsidRPr="00FC45E9">
        <w:rPr>
          <w:rFonts w:cs="Arial"/>
        </w:rPr>
        <w:t xml:space="preserve"> limit for wind </w:t>
      </w:r>
      <w:r>
        <w:rPr>
          <w:rFonts w:cs="Arial"/>
        </w:rPr>
        <w:t>farm</w:t>
      </w:r>
      <w:r w:rsidRPr="00FC45E9">
        <w:rPr>
          <w:rFonts w:cs="Arial"/>
        </w:rPr>
        <w:t xml:space="preserve"> noise, </w:t>
      </w:r>
      <w:r>
        <w:rPr>
          <w:rFonts w:cs="Arial"/>
        </w:rPr>
        <w:t xml:space="preserve">as </w:t>
      </w:r>
      <w:r w:rsidRPr="00FC45E9">
        <w:rPr>
          <w:rFonts w:cs="Arial"/>
        </w:rPr>
        <w:t>measured outside the residence, to prevent negative effects on sleep and health. However, the report noted the lack of research or evidence available to conclusively support this new guideline limit. Previous WHO guidelines were based on an inside measurement limit of 30</w:t>
      </w:r>
      <w:r>
        <w:rPr>
          <w:rFonts w:cs="Arial"/>
        </w:rPr>
        <w:t xml:space="preserve"> </w:t>
      </w:r>
      <w:r w:rsidRPr="00FC45E9">
        <w:rPr>
          <w:rFonts w:cs="Arial"/>
        </w:rPr>
        <w:t>dB(A), although it can be difficult and intrusive to carry out wind farm noise testing inside a residence, particularly over a long period of time.</w:t>
      </w:r>
    </w:p>
    <w:p w14:paraId="7F2E0D6F"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Current </w:t>
      </w:r>
      <w:r>
        <w:rPr>
          <w:rFonts w:cs="Arial"/>
        </w:rPr>
        <w:t xml:space="preserve">wind farm </w:t>
      </w:r>
      <w:r w:rsidRPr="00FC45E9">
        <w:rPr>
          <w:rFonts w:cs="Arial"/>
        </w:rPr>
        <w:t xml:space="preserve">noise </w:t>
      </w:r>
      <w:r>
        <w:rPr>
          <w:rFonts w:cs="Arial"/>
        </w:rPr>
        <w:t xml:space="preserve">criteria </w:t>
      </w:r>
      <w:r w:rsidRPr="00FC45E9">
        <w:rPr>
          <w:rFonts w:cs="Arial"/>
        </w:rPr>
        <w:t xml:space="preserve">therefore rely on the effects of attenuation of the noise by the residence structure and would </w:t>
      </w:r>
      <w:r>
        <w:rPr>
          <w:rFonts w:cs="Arial"/>
        </w:rPr>
        <w:t xml:space="preserve">assume that a noise level of say </w:t>
      </w:r>
      <w:r w:rsidRPr="00FC45E9">
        <w:rPr>
          <w:rFonts w:cs="Arial"/>
        </w:rPr>
        <w:t xml:space="preserve">40 dB(A) measured outside the residence should be less than 30 dB(A) measured inside, based on an expected attenuation in the order of 10-15 dB(A). This attenuation may be greater if the </w:t>
      </w:r>
      <w:r>
        <w:rPr>
          <w:rFonts w:cs="Arial"/>
        </w:rPr>
        <w:t xml:space="preserve">dwelling’s </w:t>
      </w:r>
      <w:r w:rsidRPr="00FC45E9">
        <w:rPr>
          <w:rFonts w:cs="Arial"/>
        </w:rPr>
        <w:t>windows are closed and the residence is of solid construction and well insulated, however, the effective attenuation may be less if windows are open and/or construction and insulation of the residence is less robust.</w:t>
      </w:r>
    </w:p>
    <w:p w14:paraId="24C64C65" w14:textId="21E3AE4B" w:rsidR="00C66F7A" w:rsidRPr="00FC45E9" w:rsidRDefault="00C66F7A" w:rsidP="00C66F7A">
      <w:pPr>
        <w:pStyle w:val="ListParagraph"/>
        <w:numPr>
          <w:ilvl w:val="0"/>
          <w:numId w:val="0"/>
        </w:numPr>
        <w:spacing w:line="264" w:lineRule="auto"/>
        <w:ind w:left="360"/>
        <w:rPr>
          <w:rFonts w:cs="Arial"/>
        </w:rPr>
      </w:pPr>
      <w:r w:rsidRPr="00FC45E9">
        <w:rPr>
          <w:rFonts w:cs="Arial"/>
        </w:rPr>
        <w:t>Issues can also arise where a wind farm is tested for noise and the result exceeds the limit by a marginal amount</w:t>
      </w:r>
      <w:r>
        <w:rPr>
          <w:rFonts w:cs="Arial"/>
        </w:rPr>
        <w:t>,</w:t>
      </w:r>
      <w:r w:rsidRPr="00FC45E9">
        <w:rPr>
          <w:rFonts w:cs="Arial"/>
        </w:rPr>
        <w:t xml:space="preserve"> for example 40.2 dB(A) against a limit of 40 dB(A). </w:t>
      </w:r>
      <w:r>
        <w:rPr>
          <w:rFonts w:cs="Arial"/>
        </w:rPr>
        <w:t xml:space="preserve">The Commissioner’s </w:t>
      </w:r>
      <w:r w:rsidRPr="00FC45E9">
        <w:rPr>
          <w:rFonts w:cs="Arial"/>
        </w:rPr>
        <w:t xml:space="preserve">understanding is that </w:t>
      </w:r>
      <w:r>
        <w:rPr>
          <w:rFonts w:cs="Arial"/>
        </w:rPr>
        <w:t xml:space="preserve">a difference of up to 2.0 dB(A) would not be </w:t>
      </w:r>
      <w:r w:rsidRPr="00FC45E9">
        <w:rPr>
          <w:rFonts w:cs="Arial"/>
        </w:rPr>
        <w:t xml:space="preserve">discernible by the human ear and is the result of the complex mathematical calculations that assess multiple noise data points. There may be some merit in allowing for a small, reasonable tolerance level to avoid wind farms </w:t>
      </w:r>
      <w:r>
        <w:rPr>
          <w:rFonts w:cs="Arial"/>
        </w:rPr>
        <w:t>b</w:t>
      </w:r>
      <w:r w:rsidRPr="00FC45E9">
        <w:rPr>
          <w:rFonts w:cs="Arial"/>
        </w:rPr>
        <w:t>eing in technical breach of compliance</w:t>
      </w:r>
      <w:r>
        <w:rPr>
          <w:rFonts w:cs="Arial"/>
        </w:rPr>
        <w:t xml:space="preserve"> while not materially exceeding the stated limit criteria</w:t>
      </w:r>
      <w:r w:rsidRPr="00FC45E9">
        <w:rPr>
          <w:rFonts w:cs="Arial"/>
        </w:rPr>
        <w:t>.</w:t>
      </w:r>
      <w:r>
        <w:rPr>
          <w:rFonts w:cs="Arial"/>
        </w:rPr>
        <w:t xml:space="preserve"> It should be noted that our Office now receives very few complaints about audible wind farm noise </w:t>
      </w:r>
      <w:r w:rsidR="00A022C2">
        <w:rPr>
          <w:rFonts w:cs="Arial"/>
        </w:rPr>
        <w:t>and n</w:t>
      </w:r>
      <w:r>
        <w:rPr>
          <w:rFonts w:cs="Arial"/>
        </w:rPr>
        <w:t>early all noise complaints relate to proposed wind farms and the perceived concern that the wind farm will be noisy.</w:t>
      </w:r>
    </w:p>
    <w:p w14:paraId="666D75E9" w14:textId="77777777" w:rsidR="00C66F7A" w:rsidRDefault="00C66F7A" w:rsidP="00C66F7A">
      <w:pPr>
        <w:pStyle w:val="ListParagraph"/>
        <w:numPr>
          <w:ilvl w:val="0"/>
          <w:numId w:val="0"/>
        </w:numPr>
        <w:spacing w:line="264" w:lineRule="auto"/>
        <w:ind w:left="360"/>
        <w:rPr>
          <w:rFonts w:cs="Arial"/>
        </w:rPr>
      </w:pPr>
      <w:r>
        <w:rPr>
          <w:rFonts w:cs="Arial"/>
        </w:rPr>
        <w:t>The d</w:t>
      </w:r>
      <w:r w:rsidRPr="00FC45E9">
        <w:rPr>
          <w:rFonts w:cs="Arial"/>
        </w:rPr>
        <w:t>ebate as to whether or not a low frequency standard should also be introduced, such as a dB(C) and/or dB(G) weighting</w:t>
      </w:r>
      <w:r>
        <w:rPr>
          <w:rFonts w:cs="Arial"/>
        </w:rPr>
        <w:t xml:space="preserve"> has dissipated</w:t>
      </w:r>
      <w:r w:rsidRPr="00FC45E9">
        <w:rPr>
          <w:rFonts w:cs="Arial"/>
        </w:rPr>
        <w:t>. The prevailing argument is that the ‘A</w:t>
      </w:r>
      <w:r w:rsidRPr="00FC45E9">
        <w:rPr>
          <w:rFonts w:cs="Arial"/>
        </w:rPr>
        <w:noBreakHyphen/>
        <w:t>weighted scale’</w:t>
      </w:r>
      <w:r>
        <w:rPr>
          <w:rFonts w:cs="Arial"/>
        </w:rPr>
        <w:t xml:space="preserve">, which has been designed to replicate the human ear’s sensitivity to noise, </w:t>
      </w:r>
      <w:r w:rsidRPr="00FC45E9">
        <w:rPr>
          <w:rFonts w:cs="Arial"/>
        </w:rPr>
        <w:t>accommodates a sufficient proxy for low frequency noise</w:t>
      </w:r>
      <w:r>
        <w:rPr>
          <w:rFonts w:cs="Arial"/>
        </w:rPr>
        <w:t xml:space="preserve"> – noting </w:t>
      </w:r>
      <w:r w:rsidRPr="00FC45E9">
        <w:rPr>
          <w:rFonts w:cs="Arial"/>
        </w:rPr>
        <w:t xml:space="preserve">that low frequency noise can be difficult to detect at levels that would </w:t>
      </w:r>
      <w:r>
        <w:rPr>
          <w:rFonts w:cs="Arial"/>
        </w:rPr>
        <w:t xml:space="preserve">actually </w:t>
      </w:r>
      <w:r w:rsidRPr="00FC45E9">
        <w:rPr>
          <w:rFonts w:cs="Arial"/>
        </w:rPr>
        <w:t xml:space="preserve">breach threshold targets. </w:t>
      </w:r>
    </w:p>
    <w:p w14:paraId="105166D4" w14:textId="77777777" w:rsidR="00C66F7A" w:rsidRDefault="00C66F7A" w:rsidP="00C66F7A">
      <w:pPr>
        <w:pStyle w:val="ListParagraph"/>
        <w:numPr>
          <w:ilvl w:val="0"/>
          <w:numId w:val="0"/>
        </w:numPr>
        <w:spacing w:line="264" w:lineRule="auto"/>
        <w:ind w:left="360"/>
        <w:rPr>
          <w:rFonts w:cs="Arial"/>
        </w:rPr>
      </w:pPr>
      <w:r>
        <w:rPr>
          <w:rFonts w:cs="Arial"/>
        </w:rPr>
        <w:t>The Office’s</w:t>
      </w:r>
      <w:r w:rsidRPr="00FC45E9">
        <w:rPr>
          <w:rFonts w:cs="Arial"/>
        </w:rPr>
        <w:t xml:space="preserve"> c</w:t>
      </w:r>
      <w:r>
        <w:rPr>
          <w:rFonts w:cs="Arial"/>
        </w:rPr>
        <w:t>ase</w:t>
      </w:r>
      <w:r w:rsidRPr="00FC45E9">
        <w:rPr>
          <w:rFonts w:cs="Arial"/>
        </w:rPr>
        <w:t xml:space="preserve"> data has seen a </w:t>
      </w:r>
      <w:r>
        <w:rPr>
          <w:rFonts w:cs="Arial"/>
        </w:rPr>
        <w:t xml:space="preserve">significant </w:t>
      </w:r>
      <w:r w:rsidRPr="00FC45E9">
        <w:rPr>
          <w:rFonts w:cs="Arial"/>
        </w:rPr>
        <w:t xml:space="preserve">reduction over time </w:t>
      </w:r>
      <w:r>
        <w:rPr>
          <w:rFonts w:cs="Arial"/>
        </w:rPr>
        <w:t>from</w:t>
      </w:r>
      <w:r w:rsidRPr="00FC45E9">
        <w:rPr>
          <w:rFonts w:cs="Arial"/>
        </w:rPr>
        <w:t xml:space="preserve"> complain</w:t>
      </w:r>
      <w:r>
        <w:rPr>
          <w:rFonts w:cs="Arial"/>
        </w:rPr>
        <w:t>ant</w:t>
      </w:r>
      <w:r w:rsidRPr="00FC45E9">
        <w:rPr>
          <w:rFonts w:cs="Arial"/>
        </w:rPr>
        <w:t xml:space="preserve">s citing concerns about low frequency noise </w:t>
      </w:r>
      <w:r>
        <w:rPr>
          <w:rFonts w:cs="Arial"/>
        </w:rPr>
        <w:t>or</w:t>
      </w:r>
      <w:r w:rsidRPr="00FC45E9">
        <w:rPr>
          <w:rFonts w:cs="Arial"/>
        </w:rPr>
        <w:t xml:space="preserve"> vibrations</w:t>
      </w:r>
      <w:r>
        <w:rPr>
          <w:rFonts w:cs="Arial"/>
        </w:rPr>
        <w:t xml:space="preserve"> emanating from operating wind farms</w:t>
      </w:r>
      <w:r w:rsidRPr="00FC45E9">
        <w:rPr>
          <w:rFonts w:cs="Arial"/>
        </w:rPr>
        <w:t>.</w:t>
      </w:r>
      <w:r>
        <w:rPr>
          <w:rFonts w:cs="Arial"/>
        </w:rPr>
        <w:t xml:space="preserve"> Further, recent research from Flinders University indicates that the source of vibrations being sensed by persons living near wind farms is unlikely to be from the wind farm’s turbines (see </w:t>
      </w:r>
      <w:r w:rsidRPr="00D7219A">
        <w:rPr>
          <w:rFonts w:cs="Arial"/>
          <w:i/>
        </w:rPr>
        <w:t xml:space="preserve">Human Perception of Wind Farm Vibration, </w:t>
      </w:r>
      <w:r>
        <w:rPr>
          <w:i/>
        </w:rPr>
        <w:t>Duc-Phuc Nguyen</w:t>
      </w:r>
      <w:r w:rsidRPr="00D7219A">
        <w:rPr>
          <w:i/>
        </w:rPr>
        <w:t>, Kristy Hansen and Branko Zajamsek</w:t>
      </w:r>
      <w:r>
        <w:t>)</w:t>
      </w:r>
      <w:r>
        <w:rPr>
          <w:rFonts w:cs="Arial"/>
        </w:rPr>
        <w:t>.</w:t>
      </w:r>
    </w:p>
    <w:p w14:paraId="1DE29E2C" w14:textId="77777777" w:rsidR="00C66F7A" w:rsidRDefault="00C66F7A" w:rsidP="00C66F7A">
      <w:pPr>
        <w:pStyle w:val="ListParagraph"/>
        <w:numPr>
          <w:ilvl w:val="0"/>
          <w:numId w:val="0"/>
        </w:numPr>
        <w:spacing w:line="264" w:lineRule="auto"/>
        <w:ind w:left="360"/>
        <w:rPr>
          <w:rFonts w:cs="Arial"/>
        </w:rPr>
      </w:pPr>
    </w:p>
    <w:p w14:paraId="19DAB895" w14:textId="77777777" w:rsidR="00C66F7A" w:rsidRDefault="00C66F7A" w:rsidP="00C66F7A">
      <w:pPr>
        <w:pStyle w:val="ListParagraph"/>
        <w:numPr>
          <w:ilvl w:val="0"/>
          <w:numId w:val="0"/>
        </w:numPr>
        <w:spacing w:line="264" w:lineRule="auto"/>
        <w:ind w:left="360"/>
        <w:rPr>
          <w:rFonts w:cs="Arial"/>
        </w:rPr>
      </w:pPr>
      <w:r>
        <w:rPr>
          <w:rFonts w:cs="Arial"/>
        </w:rPr>
        <w:lastRenderedPageBreak/>
        <w:t xml:space="preserve">Another recent Flinders University study found that residents, who live within 10km of a wind farm, reported sleep issues were from other sources, such as insomnia, stress and snoring spouses, rather than the nearby wind farms – only 0.3% of the 500+ residents involved in the study attributed sleep disturbance to wind farm noise (see </w:t>
      </w:r>
      <w:r w:rsidRPr="003B16B1">
        <w:rPr>
          <w:rFonts w:cs="Arial"/>
          <w:i/>
        </w:rPr>
        <w:t>Wind Farm Noise and Sleep Disruption</w:t>
      </w:r>
      <w:r>
        <w:rPr>
          <w:rFonts w:cs="Arial"/>
        </w:rPr>
        <w:t xml:space="preserve"> – Flinders University NewsDesk, 13 October 2021).</w:t>
      </w:r>
    </w:p>
    <w:p w14:paraId="76E7E140" w14:textId="02AE60DD" w:rsidR="00C66F7A" w:rsidRDefault="00C66F7A" w:rsidP="00C66F7A">
      <w:pPr>
        <w:pStyle w:val="ListParagraph"/>
        <w:numPr>
          <w:ilvl w:val="0"/>
          <w:numId w:val="0"/>
        </w:numPr>
        <w:spacing w:line="264" w:lineRule="auto"/>
        <w:ind w:left="360"/>
        <w:rPr>
          <w:rFonts w:cs="Arial"/>
        </w:rPr>
      </w:pPr>
      <w:r>
        <w:rPr>
          <w:rFonts w:cs="Arial"/>
        </w:rPr>
        <w:t>Based on this research and our own findings from handling noise complaints, it is unlikely that wind farm noise is causing sleep deprivation. Residents concerned about wind farm noise being heard inside the dwelling should have their residence checked by a qualified acoustician to determine the root cause of the noise. Residents having difficulty sleeping should seek advice from their doctor.</w:t>
      </w:r>
    </w:p>
    <w:p w14:paraId="38B94C23"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There may be other sources of noise as a result of the </w:t>
      </w:r>
      <w:r>
        <w:rPr>
          <w:rFonts w:cs="Arial"/>
        </w:rPr>
        <w:t xml:space="preserve">project’s </w:t>
      </w:r>
      <w:r w:rsidRPr="00FC45E9">
        <w:rPr>
          <w:rFonts w:cs="Arial"/>
        </w:rPr>
        <w:t>operation, in particular noise that would emanate from the electrical infrastructure, including power substations, transformers and back-up generators. The</w:t>
      </w:r>
      <w:r>
        <w:rPr>
          <w:rFonts w:cs="Arial"/>
        </w:rPr>
        <w:t xml:space="preserve"> potential </w:t>
      </w:r>
      <w:r w:rsidRPr="00FC45E9">
        <w:rPr>
          <w:rFonts w:cs="Arial"/>
        </w:rPr>
        <w:t>impact of such noise sources should be assessed during the design phase and tested for compliance during any post-construction noise testing.</w:t>
      </w:r>
    </w:p>
    <w:p w14:paraId="37AAA62B" w14:textId="77777777" w:rsidR="00C66F7A" w:rsidRPr="00FC45E9" w:rsidRDefault="00C66F7A" w:rsidP="00C66F7A">
      <w:pPr>
        <w:pStyle w:val="ListParagraph"/>
        <w:numPr>
          <w:ilvl w:val="0"/>
          <w:numId w:val="0"/>
        </w:numPr>
        <w:spacing w:line="264" w:lineRule="auto"/>
        <w:ind w:left="360"/>
        <w:rPr>
          <w:rFonts w:cs="Arial"/>
        </w:rPr>
      </w:pPr>
      <w:r>
        <w:rPr>
          <w:rFonts w:cs="Arial"/>
        </w:rPr>
        <w:t>Finally, t</w:t>
      </w:r>
      <w:r w:rsidRPr="00AB13F6">
        <w:rPr>
          <w:rFonts w:cs="Arial"/>
        </w:rPr>
        <w:t xml:space="preserve">he Independent Scientific Committee on Wind Turbines has derived a </w:t>
      </w:r>
      <w:r>
        <w:rPr>
          <w:rFonts w:cs="Arial"/>
        </w:rPr>
        <w:t xml:space="preserve">suggested </w:t>
      </w:r>
      <w:r w:rsidRPr="00AB13F6">
        <w:rPr>
          <w:rFonts w:cs="Arial"/>
        </w:rPr>
        <w:t>wind turbine noise limit of 3</w:t>
      </w:r>
      <w:r>
        <w:rPr>
          <w:rFonts w:cs="Arial"/>
        </w:rPr>
        <w:t>5</w:t>
      </w:r>
      <w:r w:rsidRPr="00AB13F6">
        <w:rPr>
          <w:rFonts w:cs="Arial"/>
        </w:rPr>
        <w:t xml:space="preserve"> dB(A) </w:t>
      </w:r>
      <w:r>
        <w:rPr>
          <w:rFonts w:cs="Arial"/>
        </w:rPr>
        <w:t>(</w:t>
      </w:r>
      <w:r w:rsidRPr="00AB13F6">
        <w:rPr>
          <w:rFonts w:cs="Arial"/>
        </w:rPr>
        <w:t>LA90,10</w:t>
      </w:r>
      <w:r>
        <w:rPr>
          <w:rFonts w:cs="Arial"/>
        </w:rPr>
        <w:t>-</w:t>
      </w:r>
      <w:r w:rsidRPr="00AB13F6">
        <w:rPr>
          <w:rFonts w:cs="Arial"/>
        </w:rPr>
        <w:t>min</w:t>
      </w:r>
      <w:r>
        <w:rPr>
          <w:rFonts w:cs="Arial"/>
        </w:rPr>
        <w:t>)</w:t>
      </w:r>
      <w:r w:rsidRPr="00AB13F6">
        <w:rPr>
          <w:rFonts w:cs="Arial"/>
        </w:rPr>
        <w:t xml:space="preserve"> </w:t>
      </w:r>
      <w:r>
        <w:rPr>
          <w:rFonts w:cs="Arial"/>
        </w:rPr>
        <w:t xml:space="preserve">to ensure minimal possible annoyance. This suggested limit approximately </w:t>
      </w:r>
      <w:r w:rsidRPr="00AB13F6">
        <w:rPr>
          <w:rFonts w:cs="Arial"/>
        </w:rPr>
        <w:t>equ</w:t>
      </w:r>
      <w:r>
        <w:rPr>
          <w:rFonts w:cs="Arial"/>
        </w:rPr>
        <w:t>ates</w:t>
      </w:r>
      <w:r w:rsidRPr="00AB13F6">
        <w:rPr>
          <w:rFonts w:cs="Arial"/>
        </w:rPr>
        <w:t xml:space="preserve"> to </w:t>
      </w:r>
      <w:r>
        <w:rPr>
          <w:rFonts w:cs="Arial"/>
        </w:rPr>
        <w:t xml:space="preserve">a </w:t>
      </w:r>
      <w:r w:rsidRPr="00AB13F6">
        <w:rPr>
          <w:rFonts w:cs="Arial"/>
        </w:rPr>
        <w:t>LA</w:t>
      </w:r>
      <w:r>
        <w:rPr>
          <w:rFonts w:cs="Arial"/>
        </w:rPr>
        <w:t>eq,10-</w:t>
      </w:r>
      <w:r w:rsidRPr="00AB13F6">
        <w:rPr>
          <w:rFonts w:cs="Arial"/>
        </w:rPr>
        <w:t xml:space="preserve">min </w:t>
      </w:r>
      <w:r>
        <w:rPr>
          <w:rFonts w:cs="Arial"/>
        </w:rPr>
        <w:t>of 37 </w:t>
      </w:r>
      <w:r w:rsidRPr="00AB13F6">
        <w:rPr>
          <w:rFonts w:cs="Arial"/>
        </w:rPr>
        <w:t xml:space="preserve">dB(A) </w:t>
      </w:r>
      <w:r>
        <w:rPr>
          <w:rFonts w:cs="Arial"/>
        </w:rPr>
        <w:t>or</w:t>
      </w:r>
      <w:r w:rsidRPr="00AB13F6">
        <w:rPr>
          <w:rFonts w:cs="Arial"/>
        </w:rPr>
        <w:t xml:space="preserve"> a Lden of 4</w:t>
      </w:r>
      <w:r>
        <w:rPr>
          <w:rFonts w:cs="Arial"/>
        </w:rPr>
        <w:t>3</w:t>
      </w:r>
      <w:r w:rsidRPr="00AB13F6">
        <w:rPr>
          <w:rFonts w:cs="Arial"/>
        </w:rPr>
        <w:t xml:space="preserve"> dB(A).</w:t>
      </w:r>
    </w:p>
    <w:p w14:paraId="28B59617" w14:textId="77777777" w:rsidR="00C66F7A" w:rsidRPr="00861E58" w:rsidRDefault="00C66F7A" w:rsidP="00F25864">
      <w:pPr>
        <w:pStyle w:val="Heading3"/>
        <w:ind w:firstLine="360"/>
      </w:pPr>
      <w:bookmarkStart w:id="211" w:name="_Toc135390645"/>
      <w:r w:rsidRPr="00861E58">
        <w:t>Setback Distances</w:t>
      </w:r>
      <w:bookmarkEnd w:id="211"/>
    </w:p>
    <w:p w14:paraId="594BBB5C"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A setback distance</w:t>
      </w:r>
      <w:r>
        <w:rPr>
          <w:rFonts w:cs="Arial"/>
        </w:rPr>
        <w:t xml:space="preserve"> (also known as a ‘veto’ distance)</w:t>
      </w:r>
      <w:r w:rsidRPr="00FC45E9">
        <w:rPr>
          <w:rFonts w:cs="Arial"/>
        </w:rPr>
        <w:t xml:space="preserve"> is a default distance that, if a residence </w:t>
      </w:r>
      <w:r>
        <w:rPr>
          <w:rFonts w:cs="Arial"/>
        </w:rPr>
        <w:t xml:space="preserve">(dwelling) </w:t>
      </w:r>
      <w:r w:rsidRPr="00FC45E9">
        <w:rPr>
          <w:rFonts w:cs="Arial"/>
        </w:rPr>
        <w:t xml:space="preserve">is within that specified distance from a proposed </w:t>
      </w:r>
      <w:r>
        <w:rPr>
          <w:rFonts w:cs="Arial"/>
        </w:rPr>
        <w:t xml:space="preserve">infrastructure, such as a wind </w:t>
      </w:r>
      <w:r w:rsidRPr="00FC45E9">
        <w:rPr>
          <w:rFonts w:cs="Arial"/>
        </w:rPr>
        <w:t>turbine</w:t>
      </w:r>
      <w:r>
        <w:rPr>
          <w:rFonts w:cs="Arial"/>
        </w:rPr>
        <w:t>, solar array or even potentially a large-scale transmission line</w:t>
      </w:r>
      <w:r w:rsidRPr="00FC45E9">
        <w:rPr>
          <w:rFonts w:cs="Arial"/>
        </w:rPr>
        <w:t xml:space="preserve">, </w:t>
      </w:r>
      <w:r>
        <w:rPr>
          <w:rFonts w:cs="Arial"/>
        </w:rPr>
        <w:t xml:space="preserve">that </w:t>
      </w:r>
      <w:r w:rsidRPr="00FC45E9">
        <w:rPr>
          <w:rFonts w:cs="Arial"/>
        </w:rPr>
        <w:t xml:space="preserve">the resident can </w:t>
      </w:r>
      <w:r>
        <w:rPr>
          <w:rFonts w:cs="Arial"/>
        </w:rPr>
        <w:t xml:space="preserve">either </w:t>
      </w:r>
      <w:r w:rsidRPr="00FC45E9">
        <w:rPr>
          <w:rFonts w:cs="Arial"/>
        </w:rPr>
        <w:t xml:space="preserve">veto the </w:t>
      </w:r>
      <w:r>
        <w:rPr>
          <w:rFonts w:cs="Arial"/>
        </w:rPr>
        <w:t>proposed asset</w:t>
      </w:r>
      <w:r w:rsidRPr="00FC45E9">
        <w:rPr>
          <w:rFonts w:cs="Arial"/>
        </w:rPr>
        <w:t xml:space="preserve"> </w:t>
      </w:r>
      <w:r>
        <w:rPr>
          <w:rFonts w:cs="Arial"/>
        </w:rPr>
        <w:t xml:space="preserve">location </w:t>
      </w:r>
      <w:r w:rsidRPr="00FC45E9">
        <w:rPr>
          <w:rFonts w:cs="Arial"/>
        </w:rPr>
        <w:t xml:space="preserve">or </w:t>
      </w:r>
      <w:r>
        <w:rPr>
          <w:rFonts w:cs="Arial"/>
        </w:rPr>
        <w:t xml:space="preserve">enter into a commercial </w:t>
      </w:r>
      <w:r w:rsidRPr="00FC45E9">
        <w:rPr>
          <w:rFonts w:cs="Arial"/>
        </w:rPr>
        <w:t xml:space="preserve">agreement with the developer to allow the </w:t>
      </w:r>
      <w:r>
        <w:rPr>
          <w:rFonts w:cs="Arial"/>
        </w:rPr>
        <w:t>asset to be sited within the set</w:t>
      </w:r>
      <w:r w:rsidRPr="00FC45E9">
        <w:rPr>
          <w:rFonts w:cs="Arial"/>
        </w:rPr>
        <w:t>back distance limit.</w:t>
      </w:r>
    </w:p>
    <w:p w14:paraId="495F8B71"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Setback distances from </w:t>
      </w:r>
      <w:r>
        <w:rPr>
          <w:rFonts w:cs="Arial"/>
        </w:rPr>
        <w:t xml:space="preserve">an asset to a </w:t>
      </w:r>
      <w:r w:rsidRPr="00FC45E9">
        <w:rPr>
          <w:rFonts w:cs="Arial"/>
        </w:rPr>
        <w:t xml:space="preserve">residence also vary across states. </w:t>
      </w:r>
      <w:r>
        <w:rPr>
          <w:rFonts w:cs="Arial"/>
        </w:rPr>
        <w:t xml:space="preserve">For example, </w:t>
      </w:r>
      <w:r w:rsidRPr="00FC45E9">
        <w:rPr>
          <w:rFonts w:cs="Arial"/>
        </w:rPr>
        <w:t>Victoria originally had no setback dista</w:t>
      </w:r>
      <w:r>
        <w:rPr>
          <w:rFonts w:cs="Arial"/>
        </w:rPr>
        <w:t>nces for wind turbines, then introduced a 2 km set</w:t>
      </w:r>
      <w:r w:rsidRPr="00FC45E9">
        <w:rPr>
          <w:rFonts w:cs="Arial"/>
        </w:rPr>
        <w:t xml:space="preserve">back </w:t>
      </w:r>
      <w:r>
        <w:rPr>
          <w:rFonts w:cs="Arial"/>
        </w:rPr>
        <w:t>distance in 2011 and subsequently</w:t>
      </w:r>
      <w:r w:rsidRPr="00FC45E9">
        <w:rPr>
          <w:rFonts w:cs="Arial"/>
        </w:rPr>
        <w:t xml:space="preserve"> </w:t>
      </w:r>
      <w:r>
        <w:rPr>
          <w:rFonts w:cs="Arial"/>
        </w:rPr>
        <w:t>amended</w:t>
      </w:r>
      <w:r w:rsidRPr="00FC45E9">
        <w:rPr>
          <w:rFonts w:cs="Arial"/>
        </w:rPr>
        <w:t xml:space="preserve"> it to 1 km in 2015. </w:t>
      </w:r>
      <w:r>
        <w:rPr>
          <w:rFonts w:cs="Arial"/>
        </w:rPr>
        <w:t>Queensland has a set</w:t>
      </w:r>
      <w:r w:rsidRPr="00FC45E9">
        <w:rPr>
          <w:rFonts w:cs="Arial"/>
        </w:rPr>
        <w:t xml:space="preserve">back distance of 1.5 km, while the New South Wales framework is </w:t>
      </w:r>
      <w:r>
        <w:rPr>
          <w:rFonts w:cs="Arial"/>
        </w:rPr>
        <w:t xml:space="preserve">currently </w:t>
      </w:r>
      <w:r w:rsidRPr="00FC45E9">
        <w:rPr>
          <w:rFonts w:cs="Arial"/>
        </w:rPr>
        <w:t xml:space="preserve">based on a merit assessment of each project against the criteria and performance standards in the framework. Western Australia </w:t>
      </w:r>
      <w:r>
        <w:rPr>
          <w:rFonts w:cs="Arial"/>
        </w:rPr>
        <w:t>has recommended</w:t>
      </w:r>
      <w:r w:rsidRPr="00FC45E9">
        <w:rPr>
          <w:rFonts w:cs="Arial"/>
        </w:rPr>
        <w:t xml:space="preserve"> a 1.5 km setback</w:t>
      </w:r>
      <w:r>
        <w:rPr>
          <w:rFonts w:cs="Arial"/>
        </w:rPr>
        <w:t xml:space="preserve"> in their </w:t>
      </w:r>
      <w:r w:rsidRPr="000847FB">
        <w:rPr>
          <w:rFonts w:cs="Arial"/>
          <w:i/>
        </w:rPr>
        <w:t>Position Statement: Renewable Energy Facilities</w:t>
      </w:r>
      <w:r>
        <w:rPr>
          <w:rFonts w:cs="Arial"/>
        </w:rPr>
        <w:t xml:space="preserve"> (Western Australian Planning Commission, March 2020)</w:t>
      </w:r>
      <w:r w:rsidRPr="00FC45E9">
        <w:rPr>
          <w:rFonts w:cs="Arial"/>
        </w:rPr>
        <w:t xml:space="preserve">. </w:t>
      </w:r>
    </w:p>
    <w:p w14:paraId="717551C7" w14:textId="77777777" w:rsidR="00C66F7A" w:rsidRDefault="00C66F7A" w:rsidP="00C66F7A">
      <w:pPr>
        <w:pStyle w:val="ListParagraph"/>
        <w:numPr>
          <w:ilvl w:val="0"/>
          <w:numId w:val="0"/>
        </w:numPr>
        <w:spacing w:line="264" w:lineRule="auto"/>
        <w:ind w:left="360"/>
        <w:rPr>
          <w:rFonts w:cs="Arial"/>
        </w:rPr>
      </w:pPr>
      <w:r>
        <w:rPr>
          <w:rFonts w:cs="Arial"/>
        </w:rPr>
        <w:t>Setback distances for large-scale solar arrays are still largely being developed and refined by state governments. We would expect default setback distances to be in place for distances between neighbouring residences, property boundaries and roads</w:t>
      </w:r>
      <w:r w:rsidRPr="00FC45E9">
        <w:rPr>
          <w:rFonts w:cs="Arial"/>
        </w:rPr>
        <w:t xml:space="preserve"> </w:t>
      </w:r>
      <w:r>
        <w:rPr>
          <w:rFonts w:cs="Arial"/>
        </w:rPr>
        <w:t>and the nearest solar array.</w:t>
      </w:r>
    </w:p>
    <w:p w14:paraId="3CCF366E"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Current setback </w:t>
      </w:r>
      <w:r>
        <w:rPr>
          <w:rFonts w:cs="Arial"/>
        </w:rPr>
        <w:t xml:space="preserve">distances for wind turbines </w:t>
      </w:r>
      <w:r w:rsidRPr="00FC45E9">
        <w:rPr>
          <w:rFonts w:cs="Arial"/>
        </w:rPr>
        <w:t xml:space="preserve">have been predominately set based on legacy turbine dimensions and </w:t>
      </w:r>
      <w:r>
        <w:rPr>
          <w:rFonts w:cs="Arial"/>
        </w:rPr>
        <w:t xml:space="preserve">expected outcomes from </w:t>
      </w:r>
      <w:r w:rsidRPr="00FC45E9">
        <w:rPr>
          <w:rFonts w:cs="Arial"/>
        </w:rPr>
        <w:t>noise standards. As a rough rule of thumb, a 40 dB(A) noise contour should be just less than about one kilometre</w:t>
      </w:r>
      <w:r>
        <w:rPr>
          <w:rFonts w:cs="Arial"/>
        </w:rPr>
        <w:t xml:space="preserve"> from the turbine(s)</w:t>
      </w:r>
      <w:r w:rsidRPr="00FC45E9">
        <w:rPr>
          <w:rFonts w:cs="Arial"/>
        </w:rPr>
        <w:t xml:space="preserve">, whereas </w:t>
      </w:r>
      <w:r>
        <w:rPr>
          <w:rFonts w:cs="Arial"/>
        </w:rPr>
        <w:t xml:space="preserve">a </w:t>
      </w:r>
      <w:r w:rsidRPr="00FC45E9">
        <w:rPr>
          <w:rFonts w:cs="Arial"/>
        </w:rPr>
        <w:t xml:space="preserve">35 dB(A) noise contour </w:t>
      </w:r>
      <w:r>
        <w:rPr>
          <w:rFonts w:cs="Arial"/>
        </w:rPr>
        <w:t xml:space="preserve">is typically </w:t>
      </w:r>
      <w:r w:rsidRPr="00FC45E9">
        <w:rPr>
          <w:rFonts w:cs="Arial"/>
        </w:rPr>
        <w:t xml:space="preserve">less than </w:t>
      </w:r>
      <w:r>
        <w:rPr>
          <w:rFonts w:cs="Arial"/>
        </w:rPr>
        <w:t xml:space="preserve">1.5 km from turbines, although these distances can vary with topography and terrain. </w:t>
      </w:r>
      <w:r w:rsidRPr="00FC45E9">
        <w:rPr>
          <w:rFonts w:cs="Arial"/>
        </w:rPr>
        <w:t>Turbines installed during th</w:t>
      </w:r>
      <w:r>
        <w:rPr>
          <w:rFonts w:cs="Arial"/>
        </w:rPr>
        <w:t>e</w:t>
      </w:r>
      <w:r w:rsidRPr="00FC45E9">
        <w:rPr>
          <w:rFonts w:cs="Arial"/>
        </w:rPr>
        <w:t xml:space="preserve"> </w:t>
      </w:r>
      <w:r>
        <w:rPr>
          <w:rFonts w:cs="Arial"/>
        </w:rPr>
        <w:t xml:space="preserve">last </w:t>
      </w:r>
      <w:r w:rsidRPr="00FC45E9">
        <w:rPr>
          <w:rFonts w:cs="Arial"/>
        </w:rPr>
        <w:t xml:space="preserve">decade have </w:t>
      </w:r>
      <w:r>
        <w:rPr>
          <w:rFonts w:cs="Arial"/>
        </w:rPr>
        <w:t xml:space="preserve">mostly </w:t>
      </w:r>
      <w:r w:rsidRPr="00FC45E9">
        <w:rPr>
          <w:rFonts w:cs="Arial"/>
        </w:rPr>
        <w:t>been at tip heights in the order of 150</w:t>
      </w:r>
      <w:r>
        <w:rPr>
          <w:rFonts w:cs="Arial"/>
        </w:rPr>
        <w:t> </w:t>
      </w:r>
      <w:r w:rsidRPr="00D7219A">
        <w:rPr>
          <w:rFonts w:cs="Arial"/>
        </w:rPr>
        <w:t>metres</w:t>
      </w:r>
      <w:r w:rsidRPr="00FC45E9">
        <w:rPr>
          <w:rFonts w:cs="Arial"/>
        </w:rPr>
        <w:t xml:space="preserve"> and around 2</w:t>
      </w:r>
      <w:r>
        <w:rPr>
          <w:rFonts w:cs="Arial"/>
        </w:rPr>
        <w:t xml:space="preserve"> </w:t>
      </w:r>
      <w:r w:rsidRPr="00FC45E9">
        <w:rPr>
          <w:rFonts w:cs="Arial"/>
        </w:rPr>
        <w:t>MW to 3</w:t>
      </w:r>
      <w:r>
        <w:rPr>
          <w:rFonts w:cs="Arial"/>
        </w:rPr>
        <w:t xml:space="preserve"> </w:t>
      </w:r>
      <w:r w:rsidRPr="00FC45E9">
        <w:rPr>
          <w:rFonts w:cs="Arial"/>
        </w:rPr>
        <w:t>MW in capacity.</w:t>
      </w:r>
    </w:p>
    <w:p w14:paraId="7467EC9B"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New projects are now proposing turbines with tip heights in excess of 220 m</w:t>
      </w:r>
      <w:r>
        <w:rPr>
          <w:rFonts w:cs="Arial"/>
        </w:rPr>
        <w:t>etres</w:t>
      </w:r>
      <w:r w:rsidRPr="00FC45E9">
        <w:rPr>
          <w:rFonts w:cs="Arial"/>
        </w:rPr>
        <w:t xml:space="preserve"> and capacity of </w:t>
      </w:r>
      <w:r>
        <w:rPr>
          <w:rFonts w:cs="Arial"/>
        </w:rPr>
        <w:t>up to 6</w:t>
      </w:r>
      <w:r w:rsidRPr="00FC45E9">
        <w:rPr>
          <w:rFonts w:cs="Arial"/>
        </w:rPr>
        <w:t xml:space="preserve"> MW </w:t>
      </w:r>
      <w:r>
        <w:rPr>
          <w:rFonts w:cs="Arial"/>
        </w:rPr>
        <w:t xml:space="preserve">or more </w:t>
      </w:r>
      <w:r w:rsidRPr="00FC45E9">
        <w:rPr>
          <w:rFonts w:cs="Arial"/>
        </w:rPr>
        <w:t>per turbine. Improvements in turbine design have mitigated the noise effects and, general</w:t>
      </w:r>
      <w:r>
        <w:rPr>
          <w:rFonts w:cs="Arial"/>
        </w:rPr>
        <w:t>ly</w:t>
      </w:r>
      <w:r w:rsidRPr="00FC45E9">
        <w:rPr>
          <w:rFonts w:cs="Arial"/>
        </w:rPr>
        <w:t xml:space="preserve"> speaking, the noise contours have not materially changed for these larger turbines</w:t>
      </w:r>
      <w:r>
        <w:rPr>
          <w:rFonts w:cs="Arial"/>
        </w:rPr>
        <w:t>, despite increased hub and tip heights as well as generating capacity</w:t>
      </w:r>
      <w:r w:rsidRPr="00FC45E9">
        <w:rPr>
          <w:rFonts w:cs="Arial"/>
        </w:rPr>
        <w:t>.</w:t>
      </w:r>
      <w:r>
        <w:rPr>
          <w:rFonts w:cs="Arial"/>
        </w:rPr>
        <w:t xml:space="preserve"> </w:t>
      </w:r>
      <w:r w:rsidRPr="00FC45E9">
        <w:rPr>
          <w:rFonts w:cs="Arial"/>
        </w:rPr>
        <w:t>However, there may well be effects of increased visual amenity and shadow flicker impacts that may give rise for a need to revisit current set back distances and increase them accordingly.</w:t>
      </w:r>
      <w:r>
        <w:rPr>
          <w:rFonts w:cs="Arial"/>
        </w:rPr>
        <w:t xml:space="preserve"> </w:t>
      </w:r>
    </w:p>
    <w:p w14:paraId="51ECDD8F"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While setback distances are typically based on the distance from the wind turbine to the residence, there may also be circumstances where the distance of the turbine from the neighbour’s property </w:t>
      </w:r>
      <w:r w:rsidRPr="00FC45E9">
        <w:rPr>
          <w:rFonts w:cs="Arial"/>
        </w:rPr>
        <w:lastRenderedPageBreak/>
        <w:t xml:space="preserve">boundary should also be a consideration. Such circumstances could include the potential effect of wind turbines on animals such as horses, </w:t>
      </w:r>
      <w:r>
        <w:rPr>
          <w:rFonts w:cs="Arial"/>
        </w:rPr>
        <w:t xml:space="preserve">driving distractions on nearby roads </w:t>
      </w:r>
      <w:r w:rsidRPr="00FC45E9">
        <w:rPr>
          <w:rFonts w:cs="Arial"/>
        </w:rPr>
        <w:t xml:space="preserve">or other situations where turbines may impact neighbouring properties due to their proximity to land use activities on a property. </w:t>
      </w:r>
    </w:p>
    <w:p w14:paraId="06FC9C7B" w14:textId="77777777" w:rsidR="00C66F7A" w:rsidRPr="00FC45E9" w:rsidRDefault="00C66F7A" w:rsidP="00C66F7A">
      <w:pPr>
        <w:pStyle w:val="ListParagraph"/>
        <w:numPr>
          <w:ilvl w:val="0"/>
          <w:numId w:val="0"/>
        </w:numPr>
        <w:spacing w:line="264" w:lineRule="auto"/>
        <w:ind w:left="360"/>
        <w:rPr>
          <w:rFonts w:cs="Arial"/>
        </w:rPr>
      </w:pPr>
      <w:r w:rsidRPr="00577D13">
        <w:rPr>
          <w:rFonts w:cs="Arial"/>
        </w:rPr>
        <w:t>The British Horse Society recommends a minimum setback distance from wind turbines to horses of 200 metres or three times the blade tip height – whichever is greater – on the basis that horses could potentially react to noise, blade rotation and shadow flicker impacts from wind turbines (see</w:t>
      </w:r>
      <w:r>
        <w:rPr>
          <w:rFonts w:cs="Arial"/>
        </w:rPr>
        <w:t xml:space="preserve"> the Society’s</w:t>
      </w:r>
      <w:r w:rsidRPr="00577D13">
        <w:rPr>
          <w:rFonts w:cs="Arial"/>
        </w:rPr>
        <w:t xml:space="preserve"> </w:t>
      </w:r>
      <w:r w:rsidRPr="00577D13">
        <w:rPr>
          <w:rFonts w:cs="Arial"/>
          <w:i/>
        </w:rPr>
        <w:t>Wind Turbines and Horses – Guidance for Planners and Developers</w:t>
      </w:r>
      <w:r w:rsidRPr="00577D13">
        <w:rPr>
          <w:rFonts w:cs="Arial"/>
        </w:rPr>
        <w:t xml:space="preserve">, 2015). </w:t>
      </w:r>
      <w:r>
        <w:rPr>
          <w:rFonts w:cs="Arial"/>
        </w:rPr>
        <w:t>The Society’s report notes that, w</w:t>
      </w:r>
      <w:r w:rsidRPr="00577D13">
        <w:rPr>
          <w:rFonts w:cs="Arial"/>
        </w:rPr>
        <w:t xml:space="preserve">hile there have been anecdotal reports of livestock such as horses being impacted by turbines, no formally recognised studies have established </w:t>
      </w:r>
      <w:r>
        <w:rPr>
          <w:rFonts w:cs="Arial"/>
        </w:rPr>
        <w:t xml:space="preserve">demonstrable </w:t>
      </w:r>
      <w:r w:rsidRPr="00577D13">
        <w:rPr>
          <w:rFonts w:cs="Arial"/>
        </w:rPr>
        <w:t>causality.</w:t>
      </w:r>
    </w:p>
    <w:p w14:paraId="240BD2E2" w14:textId="77777777" w:rsidR="00C66F7A" w:rsidRDefault="00C66F7A" w:rsidP="00C66F7A">
      <w:pPr>
        <w:pStyle w:val="ListParagraph"/>
        <w:numPr>
          <w:ilvl w:val="0"/>
          <w:numId w:val="0"/>
        </w:numPr>
        <w:spacing w:line="264" w:lineRule="auto"/>
        <w:ind w:left="360"/>
        <w:rPr>
          <w:rFonts w:cs="Arial"/>
        </w:rPr>
      </w:pPr>
      <w:r w:rsidRPr="00FC45E9">
        <w:rPr>
          <w:rFonts w:cs="Arial"/>
        </w:rPr>
        <w:t>Upper Lachlan Shire</w:t>
      </w:r>
      <w:r>
        <w:rPr>
          <w:rFonts w:cs="Arial"/>
        </w:rPr>
        <w:t>’s Development Control Plan</w:t>
      </w:r>
      <w:r w:rsidRPr="00FC45E9">
        <w:rPr>
          <w:rFonts w:cs="Arial"/>
        </w:rPr>
        <w:t xml:space="preserve"> specifies that turbines shall not be located within a distance of two times the tip height of a turbine from a formed public road or a non-involved property boundary. For example, a tip height of 150 metres would require a setback of 300 metres from a road or property boundary according to these guidelines (see </w:t>
      </w:r>
      <w:r w:rsidRPr="00FC45E9">
        <w:rPr>
          <w:rFonts w:cs="Arial"/>
          <w:i/>
        </w:rPr>
        <w:t>Upper Lachlan Development Control Plan 2010</w:t>
      </w:r>
      <w:r w:rsidRPr="004E40B1">
        <w:rPr>
          <w:rFonts w:cs="Arial"/>
        </w:rPr>
        <w:t xml:space="preserve">, </w:t>
      </w:r>
      <w:r w:rsidRPr="00665ACC">
        <w:rPr>
          <w:rFonts w:cs="Arial"/>
        </w:rPr>
        <w:t>page 93</w:t>
      </w:r>
      <w:r w:rsidRPr="00FC45E9">
        <w:rPr>
          <w:rFonts w:cs="Arial"/>
        </w:rPr>
        <w:t>).</w:t>
      </w:r>
    </w:p>
    <w:p w14:paraId="74A5E46A" w14:textId="77777777" w:rsidR="00C66F7A" w:rsidRPr="0079034D" w:rsidRDefault="00C66F7A" w:rsidP="00C66F7A">
      <w:pPr>
        <w:pStyle w:val="ListParagraph"/>
        <w:numPr>
          <w:ilvl w:val="0"/>
          <w:numId w:val="0"/>
        </w:numPr>
        <w:spacing w:line="264" w:lineRule="auto"/>
        <w:ind w:left="360"/>
        <w:rPr>
          <w:rFonts w:cs="Arial"/>
        </w:rPr>
      </w:pPr>
      <w:r w:rsidRPr="0079034D">
        <w:rPr>
          <w:rFonts w:cs="Arial"/>
        </w:rPr>
        <w:t xml:space="preserve">Further, there is the possibility of a turbine blade ‘dropping’ or being ‘thrown’ from the turbine while in operation. The Commissioner is aware of five such events in Australia in recent times. </w:t>
      </w:r>
      <w:r>
        <w:rPr>
          <w:rFonts w:cs="Arial"/>
        </w:rPr>
        <w:t>As discussed in further detail in Section 9 (Health and Safety), the Commissioner has facilitated meetings with</w:t>
      </w:r>
      <w:r w:rsidRPr="0079034D">
        <w:rPr>
          <w:rFonts w:cs="Arial"/>
        </w:rPr>
        <w:t xml:space="preserve"> industry to discuss wind farm safety incidents, agreeing to adopt measures to ensure full transparency and sharing of incident information across the industry. Corrective actions and mitigation strategies are in the process of being implem</w:t>
      </w:r>
      <w:r>
        <w:rPr>
          <w:rFonts w:cs="Arial"/>
        </w:rPr>
        <w:t xml:space="preserve">ented to avoid future incidents, however these recent events also </w:t>
      </w:r>
      <w:r w:rsidRPr="008B1737">
        <w:rPr>
          <w:rFonts w:cs="Arial"/>
        </w:rPr>
        <w:t xml:space="preserve">support the need for a </w:t>
      </w:r>
      <w:r>
        <w:rPr>
          <w:rFonts w:cs="Arial"/>
        </w:rPr>
        <w:t xml:space="preserve">default </w:t>
      </w:r>
      <w:r w:rsidRPr="008B1737">
        <w:rPr>
          <w:rFonts w:cs="Arial"/>
        </w:rPr>
        <w:t>setback distance from roads and boundary fences in the order of 200 metres to allow for a safety margin</w:t>
      </w:r>
      <w:r>
        <w:rPr>
          <w:rFonts w:cs="Arial"/>
        </w:rPr>
        <w:t xml:space="preserve"> in the event of a blade drop or throw.</w:t>
      </w:r>
    </w:p>
    <w:p w14:paraId="1B38BF2E"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Electrical infrastructure required for the </w:t>
      </w:r>
      <w:r>
        <w:rPr>
          <w:rFonts w:cs="Arial"/>
        </w:rPr>
        <w:t>project</w:t>
      </w:r>
      <w:r w:rsidRPr="00FC45E9">
        <w:rPr>
          <w:rFonts w:cs="Arial"/>
        </w:rPr>
        <w:t xml:space="preserve">, such as </w:t>
      </w:r>
      <w:r>
        <w:rPr>
          <w:rFonts w:cs="Arial"/>
        </w:rPr>
        <w:t xml:space="preserve">new high voltage </w:t>
      </w:r>
      <w:r w:rsidRPr="00FC45E9">
        <w:rPr>
          <w:rFonts w:cs="Arial"/>
        </w:rPr>
        <w:t>transmission lines</w:t>
      </w:r>
      <w:r>
        <w:rPr>
          <w:rFonts w:cs="Arial"/>
        </w:rPr>
        <w:t xml:space="preserve"> to connect the generator to the grid</w:t>
      </w:r>
      <w:r w:rsidRPr="00FC45E9">
        <w:rPr>
          <w:rFonts w:cs="Arial"/>
        </w:rPr>
        <w:t>, may also cause a change in visual amenity for community members</w:t>
      </w:r>
      <w:r>
        <w:rPr>
          <w:rFonts w:cs="Arial"/>
        </w:rPr>
        <w:t xml:space="preserve"> and have other impacts</w:t>
      </w:r>
      <w:r w:rsidRPr="00FC45E9">
        <w:rPr>
          <w:rFonts w:cs="Arial"/>
        </w:rPr>
        <w:t xml:space="preserve">. Consideration should be given for those impacts and </w:t>
      </w:r>
      <w:r>
        <w:rPr>
          <w:rFonts w:cs="Arial"/>
        </w:rPr>
        <w:t xml:space="preserve">require </w:t>
      </w:r>
      <w:r w:rsidRPr="00FC45E9">
        <w:rPr>
          <w:rFonts w:cs="Arial"/>
        </w:rPr>
        <w:t xml:space="preserve">setback distances </w:t>
      </w:r>
      <w:r>
        <w:rPr>
          <w:rFonts w:cs="Arial"/>
        </w:rPr>
        <w:t xml:space="preserve">as they </w:t>
      </w:r>
      <w:r w:rsidRPr="00FC45E9">
        <w:rPr>
          <w:rFonts w:cs="Arial"/>
        </w:rPr>
        <w:t>may also be appropriate to mitigate visual amenity loss and noise issues arising from the infrastructure.</w:t>
      </w:r>
    </w:p>
    <w:p w14:paraId="6B0B072C" w14:textId="77777777" w:rsidR="00C66F7A" w:rsidRDefault="00C66F7A" w:rsidP="00C66F7A">
      <w:pPr>
        <w:pStyle w:val="ListParagraph"/>
        <w:numPr>
          <w:ilvl w:val="0"/>
          <w:numId w:val="0"/>
        </w:numPr>
        <w:spacing w:line="264" w:lineRule="auto"/>
        <w:ind w:left="360"/>
        <w:rPr>
          <w:rFonts w:cs="Arial"/>
        </w:rPr>
      </w:pPr>
      <w:r>
        <w:rPr>
          <w:rFonts w:cs="Arial"/>
        </w:rPr>
        <w:t>Guidelines for setback distances between a large-scale, high voltage transmission lines and say neighbouring residences, parks, schools, roads etc. currently do not exist and rely on the best efforts of the route plan to avoid conflicts where possible. A typical industry design guideline is a setback distance of 300 </w:t>
      </w:r>
      <w:r w:rsidRPr="00D7219A">
        <w:rPr>
          <w:rFonts w:cs="Arial"/>
        </w:rPr>
        <w:t>metres</w:t>
      </w:r>
      <w:r>
        <w:rPr>
          <w:rFonts w:cs="Arial"/>
        </w:rPr>
        <w:t xml:space="preserve"> between the transmission line (500kV) and an existing residence.  </w:t>
      </w:r>
    </w:p>
    <w:p w14:paraId="211F1D6B" w14:textId="76C6AE03" w:rsidR="00C66F7A" w:rsidRPr="00D7219A" w:rsidRDefault="00C66F7A" w:rsidP="00C66F7A">
      <w:pPr>
        <w:pStyle w:val="ListParagraph"/>
        <w:numPr>
          <w:ilvl w:val="0"/>
          <w:numId w:val="0"/>
        </w:numPr>
        <w:spacing w:line="264" w:lineRule="auto"/>
        <w:ind w:left="360"/>
        <w:rPr>
          <w:rFonts w:cs="Arial"/>
        </w:rPr>
      </w:pPr>
      <w:r>
        <w:rPr>
          <w:rFonts w:cs="Arial"/>
        </w:rPr>
        <w:t>The transition of the energy industry to renewables and the requirement to build transmission to facilitate this transition, will require transmission routes to traverse established, built up areas. Setback guidelines from planning authorities are essential to protect close neighbours, as well as hosts, of the project.</w:t>
      </w:r>
    </w:p>
    <w:p w14:paraId="41B86438" w14:textId="77777777" w:rsidR="00C66F7A" w:rsidRPr="00861E58" w:rsidRDefault="00C66F7A" w:rsidP="00F25864">
      <w:pPr>
        <w:pStyle w:val="Heading3"/>
        <w:ind w:firstLine="360"/>
      </w:pPr>
      <w:bookmarkStart w:id="212" w:name="_Toc135390646"/>
      <w:r w:rsidRPr="00861E58">
        <w:t>Shadow Flicker</w:t>
      </w:r>
      <w:bookmarkEnd w:id="212"/>
    </w:p>
    <w:p w14:paraId="59E983B8" w14:textId="77777777" w:rsidR="00C66F7A" w:rsidRDefault="00C66F7A" w:rsidP="00C66F7A">
      <w:pPr>
        <w:spacing w:line="264" w:lineRule="auto"/>
        <w:ind w:left="369" w:hanging="9"/>
        <w:rPr>
          <w:rFonts w:cs="Arial"/>
        </w:rPr>
      </w:pPr>
      <w:r>
        <w:rPr>
          <w:rFonts w:cs="Arial"/>
        </w:rPr>
        <w:t xml:space="preserve">As mentioned in our 2021 Annual Report, the time has come to review </w:t>
      </w:r>
      <w:r w:rsidRPr="00F61A44">
        <w:rPr>
          <w:rFonts w:cs="Arial"/>
        </w:rPr>
        <w:t xml:space="preserve">the current standards for wind turbine shadow flicker. A typical standard at present is a limit of 30 hours of shadow flicker per year </w:t>
      </w:r>
      <w:r>
        <w:rPr>
          <w:rFonts w:cs="Arial"/>
        </w:rPr>
        <w:t xml:space="preserve">received </w:t>
      </w:r>
      <w:r w:rsidRPr="00F61A44">
        <w:rPr>
          <w:rFonts w:cs="Arial"/>
        </w:rPr>
        <w:t>at a resident’s external window or garden area. This standard, used across Australia, has been sourced from shadow flicker standards developed and u</w:t>
      </w:r>
      <w:r>
        <w:rPr>
          <w:rFonts w:cs="Arial"/>
        </w:rPr>
        <w:t xml:space="preserve">tilised </w:t>
      </w:r>
      <w:r w:rsidRPr="00F61A44">
        <w:rPr>
          <w:rFonts w:cs="Arial"/>
        </w:rPr>
        <w:t xml:space="preserve">in Europe, where setback distances to residences are typically less restrictive. At, say, a 1 km distance from a turbine, the residence would be </w:t>
      </w:r>
      <w:r>
        <w:rPr>
          <w:rFonts w:cs="Arial"/>
        </w:rPr>
        <w:t xml:space="preserve">highly </w:t>
      </w:r>
      <w:r w:rsidRPr="00F61A44">
        <w:rPr>
          <w:rFonts w:cs="Arial"/>
        </w:rPr>
        <w:t>unlikely to receive 30 hours of actual shadow flicker</w:t>
      </w:r>
      <w:r>
        <w:rPr>
          <w:rFonts w:cs="Arial"/>
        </w:rPr>
        <w:t xml:space="preserve"> across a twelve-month period</w:t>
      </w:r>
      <w:r w:rsidRPr="00F61A44">
        <w:rPr>
          <w:rFonts w:cs="Arial"/>
        </w:rPr>
        <w:t xml:space="preserve">. </w:t>
      </w:r>
    </w:p>
    <w:p w14:paraId="6E6F1FB4" w14:textId="77777777" w:rsidR="00C66F7A" w:rsidRDefault="00C66F7A" w:rsidP="00C66F7A">
      <w:pPr>
        <w:spacing w:line="264" w:lineRule="auto"/>
        <w:ind w:left="369" w:hanging="9"/>
        <w:rPr>
          <w:rFonts w:cs="Arial"/>
        </w:rPr>
      </w:pPr>
      <w:r w:rsidRPr="00F61A44">
        <w:rPr>
          <w:rFonts w:cs="Arial"/>
        </w:rPr>
        <w:t xml:space="preserve">A more appropriate standard in the Australian context </w:t>
      </w:r>
      <w:r>
        <w:rPr>
          <w:rFonts w:cs="Arial"/>
        </w:rPr>
        <w:t>could</w:t>
      </w:r>
      <w:r w:rsidRPr="00F61A44">
        <w:rPr>
          <w:rFonts w:cs="Arial"/>
        </w:rPr>
        <w:t xml:space="preserve"> be </w:t>
      </w:r>
      <w:r>
        <w:rPr>
          <w:rFonts w:cs="Arial"/>
        </w:rPr>
        <w:t xml:space="preserve">a limit of </w:t>
      </w:r>
      <w:r w:rsidRPr="00F61A44">
        <w:rPr>
          <w:rFonts w:cs="Arial"/>
        </w:rPr>
        <w:t xml:space="preserve">no more than a total 15 hours of actual shadow flicker per year </w:t>
      </w:r>
      <w:r>
        <w:rPr>
          <w:rFonts w:cs="Arial"/>
        </w:rPr>
        <w:t xml:space="preserve">received </w:t>
      </w:r>
      <w:r w:rsidRPr="00F61A44">
        <w:rPr>
          <w:rFonts w:cs="Arial"/>
        </w:rPr>
        <w:t>at a residence and no more than 30 minutes of shadow flicker should be experienced on a given day. Neighbours experiencing (or likely to experience) shadow flicker that is annoying</w:t>
      </w:r>
      <w:r>
        <w:rPr>
          <w:rFonts w:cs="Arial"/>
        </w:rPr>
        <w:t>,</w:t>
      </w:r>
      <w:r w:rsidRPr="00F61A44">
        <w:rPr>
          <w:rFonts w:cs="Arial"/>
        </w:rPr>
        <w:t xml:space="preserve"> should also be provided with the opportunity for having visual screening installed. </w:t>
      </w:r>
    </w:p>
    <w:p w14:paraId="382031E1" w14:textId="5890E480" w:rsidR="00C66F7A" w:rsidRDefault="00C66F7A" w:rsidP="00C66F7A">
      <w:pPr>
        <w:spacing w:line="264" w:lineRule="auto"/>
        <w:ind w:left="369" w:hanging="9"/>
        <w:rPr>
          <w:rFonts w:cs="Arial"/>
        </w:rPr>
      </w:pPr>
      <w:r>
        <w:rPr>
          <w:rFonts w:cs="Arial"/>
        </w:rPr>
        <w:lastRenderedPageBreak/>
        <w:t>However, to</w:t>
      </w:r>
      <w:r w:rsidRPr="00F61A44">
        <w:rPr>
          <w:rFonts w:cs="Arial"/>
        </w:rPr>
        <w:t xml:space="preserve"> date, shadow flicker complaints </w:t>
      </w:r>
      <w:r>
        <w:rPr>
          <w:rFonts w:cs="Arial"/>
        </w:rPr>
        <w:t xml:space="preserve">about operating wind farms </w:t>
      </w:r>
      <w:r w:rsidRPr="00F61A44">
        <w:rPr>
          <w:rFonts w:cs="Arial"/>
        </w:rPr>
        <w:t>have been minimal</w:t>
      </w:r>
      <w:r>
        <w:rPr>
          <w:rFonts w:cs="Arial"/>
        </w:rPr>
        <w:t>. Given the other standards placed on wind turbines regarding setbacks and turbine noise emission contour requirements, there may be merit in discontinuing the requirement for modelling and predicting shadow flicker impacts beyond a threshold distance (</w:t>
      </w:r>
      <w:r w:rsidR="006E499A">
        <w:rPr>
          <w:rFonts w:cs="Arial"/>
        </w:rPr>
        <w:t>e.g.,</w:t>
      </w:r>
      <w:r>
        <w:rPr>
          <w:rFonts w:cs="Arial"/>
        </w:rPr>
        <w:t xml:space="preserve"> 1 km) between the dwelling and the turbine.                                                                                                                              </w:t>
      </w:r>
    </w:p>
    <w:p w14:paraId="46265762" w14:textId="77777777" w:rsidR="00C66F7A" w:rsidRPr="00861E58" w:rsidRDefault="00C66F7A" w:rsidP="00F25864">
      <w:pPr>
        <w:pStyle w:val="Heading3"/>
        <w:ind w:firstLine="360"/>
      </w:pPr>
      <w:bookmarkStart w:id="213" w:name="_Toc135390647"/>
      <w:r w:rsidRPr="00861E58">
        <w:t>Guidelines for Solar Farms</w:t>
      </w:r>
      <w:bookmarkEnd w:id="213"/>
    </w:p>
    <w:p w14:paraId="47F331DA" w14:textId="0FAF5DF1" w:rsidR="00C66F7A" w:rsidRDefault="00C66F7A" w:rsidP="00C66F7A">
      <w:pPr>
        <w:spacing w:line="264" w:lineRule="auto"/>
        <w:ind w:left="369" w:hanging="9"/>
        <w:rPr>
          <w:rFonts w:cs="Arial"/>
        </w:rPr>
      </w:pPr>
      <w:r>
        <w:rPr>
          <w:rFonts w:cs="Arial"/>
        </w:rPr>
        <w:t xml:space="preserve">Solar farms have their own specific parameters requiring standards and criteria to assist in assessing potential projects and recommending mitigations </w:t>
      </w:r>
      <w:r w:rsidR="00DD5FE0">
        <w:rPr>
          <w:rFonts w:cs="Arial"/>
        </w:rPr>
        <w:t>for</w:t>
      </w:r>
      <w:r>
        <w:rPr>
          <w:rFonts w:cs="Arial"/>
        </w:rPr>
        <w:t xml:space="preserve"> predicted impacts. Examples include impacts related to visual amenity, glare and glint, reduction in productive agricultural land, hydrology and water flows, environment and biodiversity, ‘heat island’ effect, health and contribution to cumulative impacts of neighbouring projects on nearby residents and communities.</w:t>
      </w:r>
    </w:p>
    <w:p w14:paraId="57CC5D92" w14:textId="2ECF7E87" w:rsidR="00C66F7A" w:rsidRPr="009820FE" w:rsidRDefault="00C66F7A" w:rsidP="00C66F7A">
      <w:pPr>
        <w:spacing w:line="264" w:lineRule="auto"/>
        <w:ind w:left="369" w:hanging="9"/>
        <w:rPr>
          <w:rFonts w:cs="Arial"/>
        </w:rPr>
      </w:pPr>
      <w:r>
        <w:rPr>
          <w:rFonts w:cs="Arial"/>
        </w:rPr>
        <w:t xml:space="preserve">Most jurisdictions continue to evolve and refine their large-scale solar farm guidelines. Examples include the New South Wales Government’s </w:t>
      </w:r>
      <w:r w:rsidRPr="005878C1">
        <w:rPr>
          <w:rFonts w:cs="Arial"/>
          <w:i/>
          <w:iCs/>
        </w:rPr>
        <w:t>Large</w:t>
      </w:r>
      <w:r>
        <w:rPr>
          <w:rFonts w:cs="Arial"/>
          <w:i/>
          <w:iCs/>
        </w:rPr>
        <w:t>-</w:t>
      </w:r>
      <w:r w:rsidRPr="005878C1">
        <w:rPr>
          <w:rFonts w:cs="Arial"/>
          <w:i/>
          <w:iCs/>
        </w:rPr>
        <w:t>Scale Solar Energy Guideline</w:t>
      </w:r>
      <w:r>
        <w:rPr>
          <w:rFonts w:cs="Arial"/>
        </w:rPr>
        <w:t xml:space="preserve">, drafted in 2018 and updated in August 2022; the Victorian Government’s </w:t>
      </w:r>
      <w:r>
        <w:rPr>
          <w:rFonts w:cs="Arial"/>
          <w:i/>
          <w:iCs/>
        </w:rPr>
        <w:t xml:space="preserve">Solar Energy Facilities – Design and Development Guidelines, </w:t>
      </w:r>
      <w:r>
        <w:rPr>
          <w:rFonts w:cs="Arial"/>
        </w:rPr>
        <w:t xml:space="preserve">initially drafted in 2019 and updated in October 2022; and the Queensland Government’s </w:t>
      </w:r>
      <w:r>
        <w:rPr>
          <w:rFonts w:cs="Arial"/>
          <w:i/>
          <w:iCs/>
        </w:rPr>
        <w:t>Solar Farm Guidelines</w:t>
      </w:r>
      <w:r>
        <w:rPr>
          <w:rFonts w:cs="Arial"/>
        </w:rPr>
        <w:t xml:space="preserve">, drafted in 2018. Though there are no standalone solar farm guidelines issued by the South Australian </w:t>
      </w:r>
      <w:r w:rsidRPr="00B44A28">
        <w:rPr>
          <w:rFonts w:cs="Arial"/>
        </w:rPr>
        <w:t>Government</w:t>
      </w:r>
      <w:r>
        <w:rPr>
          <w:rFonts w:cs="Arial"/>
        </w:rPr>
        <w:t xml:space="preserve">, their overall </w:t>
      </w:r>
      <w:r w:rsidRPr="00B44A28">
        <w:rPr>
          <w:rFonts w:cs="Arial"/>
          <w:i/>
          <w:iCs/>
        </w:rPr>
        <w:t>Planning and Design Code</w:t>
      </w:r>
      <w:r>
        <w:rPr>
          <w:rFonts w:cs="Arial"/>
        </w:rPr>
        <w:t xml:space="preserve"> document provides provisions for solar developments, which was released in July 2020. All of the above guidelines are available on the Commissioner’s website. </w:t>
      </w:r>
    </w:p>
    <w:p w14:paraId="562EA106" w14:textId="77777777" w:rsidR="00C66F7A" w:rsidRDefault="00C66F7A" w:rsidP="00C66F7A">
      <w:pPr>
        <w:spacing w:line="264" w:lineRule="auto"/>
        <w:ind w:left="369" w:hanging="9"/>
        <w:rPr>
          <w:rFonts w:cs="Arial"/>
        </w:rPr>
      </w:pPr>
      <w:r>
        <w:t xml:space="preserve">The primary objective of these guidelines is to support the development of the sustainable solar industry by providing clear, consistent and responsive policy framework from the standpoint of each jurisdiction. </w:t>
      </w:r>
      <w:r>
        <w:rPr>
          <w:rFonts w:cs="Arial"/>
        </w:rPr>
        <w:t xml:space="preserve">They aim is to provide information on issues like planning frameworks, community and stakeholder engagement, site selection, assessment issues and requirements, agricultural impact assessment requirements, private agreements between landholders and applicants and glint and glare assessments and best practices on decommissioning and rehabilitation, among other things. </w:t>
      </w:r>
    </w:p>
    <w:p w14:paraId="55E44E1A" w14:textId="77777777" w:rsidR="00C66F7A" w:rsidRDefault="00C66F7A" w:rsidP="00C66F7A">
      <w:pPr>
        <w:spacing w:line="264" w:lineRule="auto"/>
        <w:ind w:left="369" w:hanging="9"/>
        <w:rPr>
          <w:rFonts w:cs="Arial"/>
        </w:rPr>
      </w:pPr>
      <w:r>
        <w:rPr>
          <w:rFonts w:cs="Arial"/>
        </w:rPr>
        <w:t>Most guidelines are informed by each jurisdiction’s legislative and statutory planning framework, extensive consultation and feedback from community, industry and regulators on the assessment of large-scale solar energy projects. The guidelines provide information from the perspectives of community and landowners as well the perspective of the proponents.</w:t>
      </w:r>
    </w:p>
    <w:p w14:paraId="32951D01" w14:textId="54DB8916" w:rsidR="00C66F7A" w:rsidRDefault="00C66F7A" w:rsidP="00C66F7A">
      <w:pPr>
        <w:spacing w:line="264" w:lineRule="auto"/>
        <w:ind w:left="369" w:hanging="9"/>
        <w:rPr>
          <w:rFonts w:cs="Arial"/>
        </w:rPr>
      </w:pPr>
      <w:r>
        <w:rPr>
          <w:rFonts w:cs="Arial"/>
        </w:rPr>
        <w:t xml:space="preserve">Our Office will continue to work with each jurisdiction and contribute to further refinements </w:t>
      </w:r>
      <w:r w:rsidR="006E499A">
        <w:rPr>
          <w:rFonts w:cs="Arial"/>
        </w:rPr>
        <w:t>to solar</w:t>
      </w:r>
      <w:r>
        <w:rPr>
          <w:rFonts w:cs="Arial"/>
        </w:rPr>
        <w:t xml:space="preserve"> development guidelines. </w:t>
      </w:r>
    </w:p>
    <w:p w14:paraId="1D8675E0" w14:textId="77777777" w:rsidR="00C66F7A" w:rsidRPr="00861E58" w:rsidRDefault="00C66F7A" w:rsidP="00F25864">
      <w:pPr>
        <w:pStyle w:val="Heading3"/>
        <w:ind w:firstLine="360"/>
      </w:pPr>
      <w:bookmarkStart w:id="214" w:name="_Toc135390648"/>
      <w:r w:rsidRPr="00861E58">
        <w:t>Harmonisation of Standards</w:t>
      </w:r>
      <w:bookmarkEnd w:id="214"/>
    </w:p>
    <w:p w14:paraId="4A64C2EE" w14:textId="77777777" w:rsidR="00C66F7A" w:rsidRPr="00FC45E9" w:rsidRDefault="00C66F7A" w:rsidP="00C66F7A">
      <w:pPr>
        <w:pStyle w:val="ListParagraph"/>
        <w:numPr>
          <w:ilvl w:val="0"/>
          <w:numId w:val="0"/>
        </w:numPr>
        <w:spacing w:line="264" w:lineRule="auto"/>
        <w:ind w:left="360"/>
        <w:rPr>
          <w:rFonts w:cs="Arial"/>
        </w:rPr>
      </w:pPr>
      <w:r>
        <w:rPr>
          <w:rFonts w:cs="Arial"/>
        </w:rPr>
        <w:t>While great progress has been made in some jurisdictions, t</w:t>
      </w:r>
      <w:r w:rsidRPr="00FC45E9">
        <w:rPr>
          <w:rFonts w:cs="Arial"/>
        </w:rPr>
        <w:t xml:space="preserve">he opportunity </w:t>
      </w:r>
      <w:r>
        <w:rPr>
          <w:rFonts w:cs="Arial"/>
        </w:rPr>
        <w:t xml:space="preserve">still </w:t>
      </w:r>
      <w:r w:rsidRPr="00FC45E9">
        <w:rPr>
          <w:rFonts w:cs="Arial"/>
        </w:rPr>
        <w:t>exists for a clearer framework of standard setting and enforcement of standards, whereby there is independence in the setting and enforcement of standards from the planning function. Such independence allows for increased community confidence in the objectivity of setting standards and assessing compliance. It also allows the relevant independent agency to acquire and maintain the appropriate skills and expertise to fulfil its standards and compliance responsibilities.</w:t>
      </w:r>
    </w:p>
    <w:p w14:paraId="1696F2EA" w14:textId="07FD6B90"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 opportunity also exists for increased harmonisation of key standards across state jurisdictions, such as noise, visual amenity, shadow flicker and setback distances, providing a consistent approach and expectations for governments, industry and the community. Consistency across the states will not only provide a more equitable outcome for residents potentially affected by </w:t>
      </w:r>
      <w:r w:rsidR="006E499A">
        <w:rPr>
          <w:rFonts w:cs="Arial"/>
        </w:rPr>
        <w:t>projects</w:t>
      </w:r>
      <w:r w:rsidR="006E499A" w:rsidRPr="00FC45E9">
        <w:rPr>
          <w:rFonts w:cs="Arial"/>
        </w:rPr>
        <w:t xml:space="preserve"> but</w:t>
      </w:r>
      <w:r w:rsidRPr="00FC45E9">
        <w:rPr>
          <w:rFonts w:cs="Arial"/>
        </w:rPr>
        <w:t xml:space="preserve"> </w:t>
      </w:r>
      <w:r w:rsidRPr="00FC45E9">
        <w:rPr>
          <w:rStyle w:val="Emphasis"/>
          <w:rFonts w:cs="Arial"/>
          <w:bCs/>
          <w:i w:val="0"/>
          <w:color w:val="000000"/>
        </w:rPr>
        <w:t>may also result in the additional benefit of driving improvements in the technology across the entire market based on the more stringent, while appropriate, standard</w:t>
      </w:r>
      <w:r w:rsidRPr="00FC45E9">
        <w:rPr>
          <w:rStyle w:val="Emphasis"/>
          <w:rFonts w:cs="Arial"/>
          <w:bCs/>
          <w:color w:val="000000"/>
        </w:rPr>
        <w:t>.</w:t>
      </w:r>
    </w:p>
    <w:p w14:paraId="37F1B54E"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While there may be a number of ways to address these issues, best practice appears to be </w:t>
      </w:r>
      <w:r>
        <w:rPr>
          <w:rFonts w:cs="Arial"/>
        </w:rPr>
        <w:t xml:space="preserve">assigning responsibility for </w:t>
      </w:r>
      <w:r w:rsidRPr="00FC45E9">
        <w:rPr>
          <w:rFonts w:cs="Arial"/>
        </w:rPr>
        <w:t xml:space="preserve">the setting and compliance oversight of environmental-related standards with the state environmental regulator, while the application of the standards to specific projects rests with the state or </w:t>
      </w:r>
      <w:r w:rsidRPr="00FC45E9">
        <w:rPr>
          <w:rFonts w:cs="Arial"/>
        </w:rPr>
        <w:lastRenderedPageBreak/>
        <w:t xml:space="preserve">local government planning </w:t>
      </w:r>
      <w:r>
        <w:rPr>
          <w:rFonts w:cs="Arial"/>
        </w:rPr>
        <w:t>authority</w:t>
      </w:r>
      <w:r w:rsidRPr="00FC45E9">
        <w:rPr>
          <w:rFonts w:cs="Arial"/>
        </w:rPr>
        <w:t>. The current arrangements in place in New South Wales and South Australia generally reflect practices along these lines.</w:t>
      </w:r>
      <w:r>
        <w:rPr>
          <w:rFonts w:cs="Arial"/>
        </w:rPr>
        <w:t xml:space="preserve"> Victoria is now also heading in that direction.  Without such separation, there is strong potential for conflicts of interest to arise if the planning authority is also the environmental regulator – and vice versa.</w:t>
      </w:r>
    </w:p>
    <w:p w14:paraId="4EC530F3" w14:textId="77777777" w:rsidR="00C66F7A" w:rsidRDefault="00C66F7A" w:rsidP="00C66F7A">
      <w:pPr>
        <w:pStyle w:val="ListParagraph"/>
        <w:numPr>
          <w:ilvl w:val="0"/>
          <w:numId w:val="0"/>
        </w:numPr>
        <w:spacing w:line="264" w:lineRule="auto"/>
        <w:ind w:left="360"/>
        <w:rPr>
          <w:rFonts w:cs="Arial"/>
        </w:rPr>
      </w:pPr>
      <w:r>
        <w:rPr>
          <w:rFonts w:cs="Arial"/>
        </w:rPr>
        <w:t>While standards and categories of standards for wind farm projects is reasonably mature, more work is required to detail the equivalent set of planning and environmental standards for solar farms.</w:t>
      </w:r>
    </w:p>
    <w:p w14:paraId="7DF3BC48" w14:textId="77777777" w:rsidR="00C66F7A" w:rsidRPr="00861E58" w:rsidRDefault="00C66F7A" w:rsidP="00F25864">
      <w:pPr>
        <w:pStyle w:val="Heading3"/>
        <w:ind w:firstLine="360"/>
      </w:pPr>
      <w:bookmarkStart w:id="215" w:name="_Toc135390649"/>
      <w:r w:rsidRPr="00861E58">
        <w:t>Large-scale Transmission (new build)</w:t>
      </w:r>
      <w:bookmarkEnd w:id="215"/>
    </w:p>
    <w:p w14:paraId="0A8B067A" w14:textId="77777777" w:rsidR="00C66F7A" w:rsidRDefault="00C66F7A" w:rsidP="00C66F7A">
      <w:pPr>
        <w:pStyle w:val="ListParagraph"/>
        <w:numPr>
          <w:ilvl w:val="0"/>
          <w:numId w:val="0"/>
        </w:numPr>
        <w:spacing w:line="264" w:lineRule="auto"/>
        <w:ind w:left="360"/>
        <w:rPr>
          <w:rFonts w:cs="Arial"/>
        </w:rPr>
      </w:pPr>
      <w:r>
        <w:rPr>
          <w:rFonts w:cs="Arial"/>
        </w:rPr>
        <w:t>For new major transmission projects, guidance should be provided on appropriate setback distances from residences, schools, public buildings, parks etc. to the transmission line easement boundary Guidance is also required for other impacts including visual amenity, cumulative assets, environment and biodiversity, noise, health and safety.</w:t>
      </w:r>
    </w:p>
    <w:p w14:paraId="12843497" w14:textId="77777777" w:rsidR="00C66F7A" w:rsidRDefault="00C66F7A" w:rsidP="00C66F7A">
      <w:pPr>
        <w:pStyle w:val="ListParagraph"/>
        <w:numPr>
          <w:ilvl w:val="0"/>
          <w:numId w:val="0"/>
        </w:numPr>
        <w:spacing w:line="264" w:lineRule="auto"/>
        <w:ind w:left="360"/>
        <w:rPr>
          <w:rFonts w:cs="Arial"/>
        </w:rPr>
      </w:pPr>
      <w:r>
        <w:rPr>
          <w:rFonts w:cs="Arial"/>
        </w:rPr>
        <w:t xml:space="preserve">These topics are still very much work in progress and further direction may arise as a result of environmental impact studies underway for major transmission projects currently being developed.  </w:t>
      </w:r>
    </w:p>
    <w:p w14:paraId="74E23628" w14:textId="2D47A49F" w:rsidR="00C66F7A" w:rsidRDefault="00C66F7A" w:rsidP="00C66F7A">
      <w:pPr>
        <w:pStyle w:val="ListParagraph"/>
        <w:numPr>
          <w:ilvl w:val="0"/>
          <w:numId w:val="0"/>
        </w:numPr>
        <w:spacing w:line="264" w:lineRule="auto"/>
        <w:ind w:left="360"/>
        <w:rPr>
          <w:rFonts w:cs="Arial"/>
        </w:rPr>
      </w:pPr>
      <w:r>
        <w:rPr>
          <w:rFonts w:cs="Arial"/>
        </w:rPr>
        <w:t xml:space="preserve">NSW gas commenced the development of draft planning guidelines for large scale </w:t>
      </w:r>
      <w:r w:rsidR="006E499A">
        <w:rPr>
          <w:rFonts w:cs="Arial"/>
        </w:rPr>
        <w:t>transmission,</w:t>
      </w:r>
      <w:r>
        <w:rPr>
          <w:rFonts w:cs="Arial"/>
        </w:rPr>
        <w:t xml:space="preserve"> and we expect others will follow suit.</w:t>
      </w:r>
    </w:p>
    <w:p w14:paraId="25448A4E" w14:textId="77777777" w:rsidR="00C66F7A" w:rsidRDefault="00C66F7A" w:rsidP="00C66F7A">
      <w:pPr>
        <w:pStyle w:val="ListParagraph"/>
        <w:numPr>
          <w:ilvl w:val="0"/>
          <w:numId w:val="0"/>
        </w:numPr>
        <w:spacing w:line="264" w:lineRule="auto"/>
        <w:ind w:left="360"/>
        <w:rPr>
          <w:rFonts w:cs="Arial"/>
        </w:rPr>
      </w:pPr>
      <w:r>
        <w:rPr>
          <w:rFonts w:cs="Arial"/>
        </w:rPr>
        <w:t>Some suggested planning guidelines and metrics are provided in the recommendations in this section.</w:t>
      </w:r>
    </w:p>
    <w:p w14:paraId="517A89DB" w14:textId="77777777" w:rsidR="00C66F7A" w:rsidRPr="00861E58" w:rsidRDefault="00C66F7A" w:rsidP="00F25864">
      <w:pPr>
        <w:pStyle w:val="Heading3"/>
        <w:ind w:firstLine="360"/>
      </w:pPr>
      <w:bookmarkStart w:id="216" w:name="_Toc135390650"/>
      <w:r w:rsidRPr="00861E58">
        <w:t>Deemed Compliance</w:t>
      </w:r>
      <w:bookmarkEnd w:id="216"/>
    </w:p>
    <w:p w14:paraId="65078740"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Finally, once a wind </w:t>
      </w:r>
      <w:r>
        <w:rPr>
          <w:rFonts w:cs="Arial"/>
        </w:rPr>
        <w:t xml:space="preserve">or solar </w:t>
      </w:r>
      <w:r w:rsidRPr="00FC45E9">
        <w:rPr>
          <w:rFonts w:cs="Arial"/>
        </w:rPr>
        <w:t xml:space="preserve">farm commences operations, it </w:t>
      </w:r>
      <w:r>
        <w:rPr>
          <w:rFonts w:cs="Arial"/>
        </w:rPr>
        <w:t>may</w:t>
      </w:r>
      <w:r w:rsidRPr="00FC45E9">
        <w:rPr>
          <w:rFonts w:cs="Arial"/>
        </w:rPr>
        <w:t xml:space="preserve"> not </w:t>
      </w:r>
      <w:r>
        <w:rPr>
          <w:rFonts w:cs="Arial"/>
        </w:rPr>
        <w:t xml:space="preserve">have </w:t>
      </w:r>
      <w:r w:rsidRPr="00FC45E9">
        <w:rPr>
          <w:rFonts w:cs="Arial"/>
        </w:rPr>
        <w:t xml:space="preserve">achieved formal compliance </w:t>
      </w:r>
      <w:r>
        <w:rPr>
          <w:rFonts w:cs="Arial"/>
        </w:rPr>
        <w:t xml:space="preserve">of all conditions </w:t>
      </w:r>
      <w:r w:rsidRPr="00FC45E9">
        <w:rPr>
          <w:rFonts w:cs="Arial"/>
        </w:rPr>
        <w:t xml:space="preserve">until </w:t>
      </w:r>
      <w:r>
        <w:rPr>
          <w:rFonts w:cs="Arial"/>
        </w:rPr>
        <w:t xml:space="preserve">the project is completed, commissioned and </w:t>
      </w:r>
      <w:r w:rsidRPr="00FC45E9">
        <w:rPr>
          <w:rFonts w:cs="Arial"/>
        </w:rPr>
        <w:t>all the post-construction compliance testing has been completed and accepted. Typically, formal post construction testing, such as noise</w:t>
      </w:r>
      <w:r>
        <w:rPr>
          <w:rFonts w:cs="Arial"/>
        </w:rPr>
        <w:t xml:space="preserve"> testing of a wind farm</w:t>
      </w:r>
      <w:r w:rsidRPr="00FC45E9">
        <w:rPr>
          <w:rFonts w:cs="Arial"/>
        </w:rPr>
        <w:t xml:space="preserve">, can only commence once all turbines are operating. The </w:t>
      </w:r>
      <w:r>
        <w:rPr>
          <w:rFonts w:cs="Arial"/>
        </w:rPr>
        <w:t xml:space="preserve">post-construction noise </w:t>
      </w:r>
      <w:r w:rsidRPr="00FC45E9">
        <w:rPr>
          <w:rFonts w:cs="Arial"/>
        </w:rPr>
        <w:t xml:space="preserve">testing itself may take up to 12 months to </w:t>
      </w:r>
      <w:r>
        <w:rPr>
          <w:rFonts w:cs="Arial"/>
        </w:rPr>
        <w:t xml:space="preserve">complete </w:t>
      </w:r>
      <w:r w:rsidRPr="00FC45E9">
        <w:rPr>
          <w:rFonts w:cs="Arial"/>
        </w:rPr>
        <w:t xml:space="preserve">and report. </w:t>
      </w:r>
      <w:r>
        <w:rPr>
          <w:rFonts w:cs="Arial"/>
        </w:rPr>
        <w:t>As a result, there</w:t>
      </w:r>
      <w:r w:rsidRPr="00FC45E9">
        <w:rPr>
          <w:rFonts w:cs="Arial"/>
        </w:rPr>
        <w:t xml:space="preserve"> may be a period of two or more years where the wind farm is partially or fully operating but is yet to be confirmed as compl</w:t>
      </w:r>
      <w:r>
        <w:rPr>
          <w:rFonts w:cs="Arial"/>
        </w:rPr>
        <w:t>iant</w:t>
      </w:r>
      <w:r w:rsidRPr="00FC45E9">
        <w:rPr>
          <w:rFonts w:cs="Arial"/>
        </w:rPr>
        <w:t xml:space="preserve">. </w:t>
      </w:r>
    </w:p>
    <w:p w14:paraId="6CDC8348"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A </w:t>
      </w:r>
      <w:r>
        <w:rPr>
          <w:rFonts w:cs="Arial"/>
        </w:rPr>
        <w:t>project</w:t>
      </w:r>
      <w:r w:rsidRPr="00FC45E9">
        <w:rPr>
          <w:rFonts w:cs="Arial"/>
        </w:rPr>
        <w:t xml:space="preserve"> may </w:t>
      </w:r>
      <w:r>
        <w:rPr>
          <w:rFonts w:cs="Arial"/>
        </w:rPr>
        <w:t xml:space="preserve">therefore effectively default to being </w:t>
      </w:r>
      <w:r w:rsidRPr="004F7C1E">
        <w:rPr>
          <w:rFonts w:cs="Arial"/>
          <w:i/>
          <w:iCs/>
        </w:rPr>
        <w:t>deemed</w:t>
      </w:r>
      <w:r>
        <w:rPr>
          <w:rFonts w:cs="Arial"/>
        </w:rPr>
        <w:t xml:space="preserve"> as </w:t>
      </w:r>
      <w:r w:rsidRPr="004F7C1E">
        <w:rPr>
          <w:rFonts w:cs="Arial"/>
          <w:i/>
          <w:iCs/>
        </w:rPr>
        <w:t>compliant</w:t>
      </w:r>
      <w:r w:rsidRPr="00FC45E9">
        <w:rPr>
          <w:rFonts w:cs="Arial"/>
        </w:rPr>
        <w:t xml:space="preserve"> in some jurisdictions</w:t>
      </w:r>
      <w:r>
        <w:rPr>
          <w:rFonts w:cs="Arial"/>
        </w:rPr>
        <w:t>,</w:t>
      </w:r>
      <w:r w:rsidRPr="00FC45E9">
        <w:rPr>
          <w:rFonts w:cs="Arial"/>
        </w:rPr>
        <w:t xml:space="preserve"> even though post-construction assessments have not commenced or been completed</w:t>
      </w:r>
      <w:r>
        <w:rPr>
          <w:rFonts w:cs="Arial"/>
        </w:rPr>
        <w:t>, relying on the predictive assessments undertaken prior to construction as the basis of being ‘compliant’</w:t>
      </w:r>
      <w:r w:rsidRPr="00FC45E9">
        <w:rPr>
          <w:rFonts w:cs="Arial"/>
        </w:rPr>
        <w:t xml:space="preserve">. There </w:t>
      </w:r>
      <w:r>
        <w:rPr>
          <w:rFonts w:cs="Arial"/>
        </w:rPr>
        <w:t xml:space="preserve">is </w:t>
      </w:r>
      <w:r w:rsidRPr="00FC45E9">
        <w:rPr>
          <w:rFonts w:cs="Arial"/>
        </w:rPr>
        <w:t xml:space="preserve">an opportunity </w:t>
      </w:r>
      <w:r>
        <w:rPr>
          <w:rFonts w:cs="Arial"/>
        </w:rPr>
        <w:t xml:space="preserve">for planning/compliance authorities </w:t>
      </w:r>
      <w:r w:rsidRPr="00FC45E9">
        <w:rPr>
          <w:rFonts w:cs="Arial"/>
        </w:rPr>
        <w:t xml:space="preserve">to introduce more formal processes to properly clarify the </w:t>
      </w:r>
      <w:r>
        <w:rPr>
          <w:rFonts w:cs="Arial"/>
        </w:rPr>
        <w:t>‘</w:t>
      </w:r>
      <w:r w:rsidRPr="00FC45E9">
        <w:rPr>
          <w:rFonts w:cs="Arial"/>
        </w:rPr>
        <w:t>deemed</w:t>
      </w:r>
      <w:r>
        <w:rPr>
          <w:rFonts w:cs="Arial"/>
        </w:rPr>
        <w:t>’</w:t>
      </w:r>
      <w:r w:rsidRPr="00FC45E9">
        <w:rPr>
          <w:rFonts w:cs="Arial"/>
        </w:rPr>
        <w:t xml:space="preserve"> compliance period and then </w:t>
      </w:r>
      <w:r>
        <w:rPr>
          <w:rFonts w:cs="Arial"/>
        </w:rPr>
        <w:t xml:space="preserve">clearly state </w:t>
      </w:r>
      <w:r w:rsidRPr="00FC45E9">
        <w:rPr>
          <w:rFonts w:cs="Arial"/>
        </w:rPr>
        <w:t xml:space="preserve">when a </w:t>
      </w:r>
      <w:r>
        <w:rPr>
          <w:rFonts w:cs="Arial"/>
        </w:rPr>
        <w:t xml:space="preserve">project </w:t>
      </w:r>
      <w:r w:rsidRPr="00FC45E9">
        <w:rPr>
          <w:rFonts w:cs="Arial"/>
        </w:rPr>
        <w:t xml:space="preserve">is </w:t>
      </w:r>
      <w:r>
        <w:rPr>
          <w:rFonts w:cs="Arial"/>
        </w:rPr>
        <w:t>confirmed as</w:t>
      </w:r>
      <w:r w:rsidRPr="00FC45E9">
        <w:rPr>
          <w:rFonts w:cs="Arial"/>
        </w:rPr>
        <w:t xml:space="preserve"> compliant </w:t>
      </w:r>
      <w:r>
        <w:rPr>
          <w:rFonts w:cs="Arial"/>
        </w:rPr>
        <w:t>(</w:t>
      </w:r>
      <w:r w:rsidRPr="00FC45E9">
        <w:rPr>
          <w:rFonts w:cs="Arial"/>
        </w:rPr>
        <w:t xml:space="preserve">once all the required </w:t>
      </w:r>
      <w:r>
        <w:rPr>
          <w:rFonts w:cs="Arial"/>
        </w:rPr>
        <w:t xml:space="preserve">post-construction </w:t>
      </w:r>
      <w:r w:rsidRPr="00FC45E9">
        <w:rPr>
          <w:rFonts w:cs="Arial"/>
        </w:rPr>
        <w:t>testing is complete</w:t>
      </w:r>
      <w:r>
        <w:rPr>
          <w:rFonts w:cs="Arial"/>
        </w:rPr>
        <w:t xml:space="preserve"> and the results confirm compliance with the criteria) </w:t>
      </w:r>
      <w:r w:rsidRPr="00FC45E9">
        <w:rPr>
          <w:rFonts w:cs="Arial"/>
        </w:rPr>
        <w:t>and the timeframes for wh</w:t>
      </w:r>
      <w:r>
        <w:rPr>
          <w:rFonts w:cs="Arial"/>
        </w:rPr>
        <w:t>en</w:t>
      </w:r>
      <w:r w:rsidRPr="00FC45E9">
        <w:rPr>
          <w:rFonts w:cs="Arial"/>
        </w:rPr>
        <w:t xml:space="preserve"> that must occur. </w:t>
      </w:r>
    </w:p>
    <w:p w14:paraId="62A5439C"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Th</w:t>
      </w:r>
      <w:r>
        <w:rPr>
          <w:rFonts w:cs="Arial"/>
        </w:rPr>
        <w:t>e</w:t>
      </w:r>
      <w:r w:rsidRPr="00FC45E9">
        <w:rPr>
          <w:rFonts w:cs="Arial"/>
        </w:rPr>
        <w:t xml:space="preserve"> </w:t>
      </w:r>
      <w:r>
        <w:rPr>
          <w:rFonts w:cs="Arial"/>
        </w:rPr>
        <w:t xml:space="preserve">interim period </w:t>
      </w:r>
      <w:r w:rsidRPr="00FC45E9">
        <w:rPr>
          <w:rFonts w:cs="Arial"/>
        </w:rPr>
        <w:t xml:space="preserve">of </w:t>
      </w:r>
      <w:r>
        <w:rPr>
          <w:rFonts w:cs="Arial"/>
        </w:rPr>
        <w:t xml:space="preserve">compliance </w:t>
      </w:r>
      <w:r w:rsidRPr="00FC45E9">
        <w:rPr>
          <w:rFonts w:cs="Arial"/>
        </w:rPr>
        <w:t>uncertainty can cause a range of community concerns</w:t>
      </w:r>
      <w:r>
        <w:rPr>
          <w:rFonts w:cs="Arial"/>
        </w:rPr>
        <w:t>,</w:t>
      </w:r>
      <w:r w:rsidRPr="00FC45E9">
        <w:rPr>
          <w:rFonts w:cs="Arial"/>
        </w:rPr>
        <w:t xml:space="preserve"> particularly </w:t>
      </w:r>
      <w:r>
        <w:rPr>
          <w:rFonts w:cs="Arial"/>
        </w:rPr>
        <w:t>at, say</w:t>
      </w:r>
      <w:r w:rsidRPr="00FC45E9">
        <w:rPr>
          <w:rFonts w:cs="Arial"/>
        </w:rPr>
        <w:t xml:space="preserve"> large wind farm</w:t>
      </w:r>
      <w:r>
        <w:rPr>
          <w:rFonts w:cs="Arial"/>
        </w:rPr>
        <w:t xml:space="preserve"> project</w:t>
      </w:r>
      <w:r w:rsidRPr="00FC45E9">
        <w:rPr>
          <w:rFonts w:cs="Arial"/>
        </w:rPr>
        <w:t>s that may have a two year plus construction cycle</w:t>
      </w:r>
      <w:r>
        <w:rPr>
          <w:rFonts w:cs="Arial"/>
        </w:rPr>
        <w:t xml:space="preserve"> followed by a 12-month post-construction testing/reporting program</w:t>
      </w:r>
      <w:r w:rsidRPr="00FC45E9">
        <w:rPr>
          <w:rFonts w:cs="Arial"/>
        </w:rPr>
        <w:t>.</w:t>
      </w:r>
    </w:p>
    <w:p w14:paraId="791FAB95"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Anecdotally, some </w:t>
      </w:r>
      <w:r>
        <w:rPr>
          <w:rFonts w:cs="Arial"/>
        </w:rPr>
        <w:t xml:space="preserve">projects </w:t>
      </w:r>
      <w:r w:rsidRPr="00FC45E9">
        <w:rPr>
          <w:rFonts w:cs="Arial"/>
        </w:rPr>
        <w:t xml:space="preserve">have been described as being </w:t>
      </w:r>
      <w:r>
        <w:rPr>
          <w:rFonts w:cs="Arial"/>
        </w:rPr>
        <w:t>‘</w:t>
      </w:r>
      <w:r w:rsidRPr="00FC45E9">
        <w:rPr>
          <w:rFonts w:cs="Arial"/>
        </w:rPr>
        <w:t>not non-compliant</w:t>
      </w:r>
      <w:r>
        <w:rPr>
          <w:rFonts w:cs="Arial"/>
        </w:rPr>
        <w:t>’</w:t>
      </w:r>
      <w:r w:rsidRPr="00FC45E9">
        <w:rPr>
          <w:rFonts w:cs="Arial"/>
        </w:rPr>
        <w:t xml:space="preserve"> when unable to confirm compliance with required permit conditions, highlighting the difficulty of declaring a </w:t>
      </w:r>
      <w:r>
        <w:rPr>
          <w:rFonts w:cs="Arial"/>
        </w:rPr>
        <w:t xml:space="preserve">project </w:t>
      </w:r>
      <w:r w:rsidRPr="00FC45E9">
        <w:rPr>
          <w:rFonts w:cs="Arial"/>
        </w:rPr>
        <w:t xml:space="preserve">to be </w:t>
      </w:r>
      <w:r>
        <w:rPr>
          <w:rFonts w:cs="Arial"/>
        </w:rPr>
        <w:t>‘</w:t>
      </w:r>
      <w:r w:rsidRPr="00FC45E9">
        <w:rPr>
          <w:rFonts w:cs="Arial"/>
        </w:rPr>
        <w:t>non-compliant</w:t>
      </w:r>
      <w:r>
        <w:rPr>
          <w:rFonts w:cs="Arial"/>
        </w:rPr>
        <w:t>’</w:t>
      </w:r>
      <w:r w:rsidRPr="00FC45E9">
        <w:rPr>
          <w:rFonts w:cs="Arial"/>
        </w:rPr>
        <w:t xml:space="preserve"> when its default status is compliant. </w:t>
      </w:r>
      <w:r>
        <w:rPr>
          <w:rFonts w:cs="Arial"/>
        </w:rPr>
        <w:t>Again</w:t>
      </w:r>
      <w:r w:rsidRPr="00FC45E9">
        <w:rPr>
          <w:rFonts w:cs="Arial"/>
        </w:rPr>
        <w:t xml:space="preserve">, it may be appropriate to consider that a </w:t>
      </w:r>
      <w:r>
        <w:rPr>
          <w:rFonts w:cs="Arial"/>
        </w:rPr>
        <w:t xml:space="preserve">project </w:t>
      </w:r>
      <w:r w:rsidRPr="00FC45E9">
        <w:rPr>
          <w:rFonts w:cs="Arial"/>
        </w:rPr>
        <w:t>is deemed to be operationally compliant during the construction, commissioning and testing periods, but ongoing compliance is subject to final confirmation by the responsible or regulatory authority</w:t>
      </w:r>
      <w:r>
        <w:rPr>
          <w:rFonts w:cs="Arial"/>
        </w:rPr>
        <w:t xml:space="preserve"> after compliance testing is completed</w:t>
      </w:r>
      <w:r w:rsidRPr="00FC45E9">
        <w:rPr>
          <w:rFonts w:cs="Arial"/>
        </w:rPr>
        <w:t>.</w:t>
      </w:r>
    </w:p>
    <w:p w14:paraId="4F067341" w14:textId="77777777" w:rsidR="00C66F7A" w:rsidRDefault="00C66F7A" w:rsidP="00C66F7A">
      <w:pPr>
        <w:pStyle w:val="ListParagraph"/>
        <w:numPr>
          <w:ilvl w:val="0"/>
          <w:numId w:val="0"/>
        </w:numPr>
        <w:spacing w:line="264" w:lineRule="auto"/>
        <w:ind w:left="360"/>
        <w:rPr>
          <w:rFonts w:cs="Arial"/>
        </w:rPr>
      </w:pPr>
      <w:r w:rsidRPr="00FC45E9">
        <w:rPr>
          <w:rFonts w:cs="Arial"/>
        </w:rPr>
        <w:t>From</w:t>
      </w:r>
      <w:r>
        <w:rPr>
          <w:rFonts w:cs="Arial"/>
        </w:rPr>
        <w:t xml:space="preserve"> the Commissioner’s</w:t>
      </w:r>
      <w:r w:rsidRPr="00FC45E9">
        <w:rPr>
          <w:rFonts w:cs="Arial"/>
        </w:rPr>
        <w:t xml:space="preserve"> observations, one solution to this issue is for a wind farm to be licensed by the appropriate environmental regulator. Under this scenario, the wind farm would need to confirm and maintain its compliance with the applicable license and permit conditions or risk losing its license to operate in the event of unrectified material breaches of the license and/or permit conditions. The license </w:t>
      </w:r>
      <w:r w:rsidRPr="00FC45E9">
        <w:rPr>
          <w:rFonts w:cs="Arial"/>
        </w:rPr>
        <w:lastRenderedPageBreak/>
        <w:t xml:space="preserve">conditions could include conditions to </w:t>
      </w:r>
      <w:r>
        <w:rPr>
          <w:rFonts w:cs="Arial"/>
        </w:rPr>
        <w:t>be met</w:t>
      </w:r>
      <w:r w:rsidRPr="00FC45E9">
        <w:rPr>
          <w:rFonts w:cs="Arial"/>
        </w:rPr>
        <w:t xml:space="preserve"> during the period prior to post-construction testing, particularly regarding handling abnormal or mechanical noise issues</w:t>
      </w:r>
      <w:r>
        <w:rPr>
          <w:rFonts w:cs="Arial"/>
        </w:rPr>
        <w:t xml:space="preserve"> that can arise</w:t>
      </w:r>
      <w:r w:rsidRPr="00FC45E9">
        <w:rPr>
          <w:rFonts w:cs="Arial"/>
        </w:rPr>
        <w:t>.</w:t>
      </w:r>
    </w:p>
    <w:p w14:paraId="458075D4" w14:textId="77777777" w:rsidR="00C66F7A" w:rsidRPr="00FC45E9" w:rsidRDefault="00C66F7A" w:rsidP="00C66F7A">
      <w:pPr>
        <w:pStyle w:val="ListParagraph"/>
        <w:numPr>
          <w:ilvl w:val="0"/>
          <w:numId w:val="0"/>
        </w:numPr>
        <w:spacing w:line="264" w:lineRule="auto"/>
        <w:ind w:left="360"/>
        <w:rPr>
          <w:rFonts w:cs="Arial"/>
        </w:rPr>
      </w:pPr>
      <w:r>
        <w:rPr>
          <w:rFonts w:cs="Arial"/>
        </w:rPr>
        <w:t>The license or approval to operate may also require the asset operator to carry out periodic post-construction noise testing on the wind farm to be able to confirm ongoing compliance of the asset. Victoria has recently introduced such a requirement on all operating wind farms in that State.</w:t>
      </w:r>
    </w:p>
    <w:p w14:paraId="6C353176" w14:textId="77777777" w:rsidR="00C66F7A" w:rsidRDefault="00C66F7A" w:rsidP="00C66F7A">
      <w:pPr>
        <w:pStyle w:val="ListParagraph"/>
        <w:numPr>
          <w:ilvl w:val="0"/>
          <w:numId w:val="0"/>
        </w:numPr>
        <w:spacing w:line="264" w:lineRule="auto"/>
        <w:ind w:left="360"/>
        <w:rPr>
          <w:rFonts w:cs="Arial"/>
        </w:rPr>
      </w:pPr>
      <w:r w:rsidRPr="00FC45E9">
        <w:rPr>
          <w:rFonts w:cs="Arial"/>
        </w:rPr>
        <w:t>Measurement approaches for measuring compliance with the standards can also vary between projects and jurisdictions. Given the extraordinary number of variables to be measured, consideration needs to be given to the consistency of measurement, calculations and reporting for assessing environmental measures such as noise and flora and fauna impacts when settin</w:t>
      </w:r>
      <w:r>
        <w:rPr>
          <w:rFonts w:cs="Arial"/>
        </w:rPr>
        <w:t>g permit or license conditions.</w:t>
      </w:r>
    </w:p>
    <w:p w14:paraId="4FB767D7"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For example, there is much scope for variability when selecting the noise data points to be included </w:t>
      </w:r>
      <w:r>
        <w:rPr>
          <w:rFonts w:cs="Arial"/>
        </w:rPr>
        <w:t xml:space="preserve">in a noise compliance assessment </w:t>
      </w:r>
      <w:r w:rsidRPr="00FC45E9">
        <w:rPr>
          <w:rFonts w:cs="Arial"/>
        </w:rPr>
        <w:t xml:space="preserve">and determining the </w:t>
      </w:r>
      <w:r>
        <w:rPr>
          <w:rFonts w:cs="Arial"/>
        </w:rPr>
        <w:t>‘</w:t>
      </w:r>
      <w:r w:rsidRPr="00FC45E9">
        <w:rPr>
          <w:rFonts w:cs="Arial"/>
        </w:rPr>
        <w:t>line of best fit</w:t>
      </w:r>
      <w:r>
        <w:rPr>
          <w:rFonts w:cs="Arial"/>
        </w:rPr>
        <w:t>’</w:t>
      </w:r>
      <w:r w:rsidRPr="00FC45E9">
        <w:rPr>
          <w:rFonts w:cs="Arial"/>
        </w:rPr>
        <w:t xml:space="preserve"> for those set of noise data points – such variances could mean the difference between compliance or otherwise when assessing the results of a noise testing program.</w:t>
      </w:r>
      <w:r>
        <w:rPr>
          <w:rFonts w:cs="Arial"/>
        </w:rPr>
        <w:t xml:space="preserve"> Section 6, which follows this section, discusses the merits of an independent audit regime to check the accuracy and integrity of environmental assessments, such as noise.</w:t>
      </w:r>
    </w:p>
    <w:p w14:paraId="00AB7267" w14:textId="77777777" w:rsidR="00C66F7A" w:rsidRPr="00FC45E9" w:rsidRDefault="00C66F7A" w:rsidP="00C66F7A">
      <w:pPr>
        <w:pStyle w:val="ListParagraph"/>
        <w:numPr>
          <w:ilvl w:val="1"/>
          <w:numId w:val="8"/>
        </w:numPr>
        <w:spacing w:line="264" w:lineRule="auto"/>
        <w:rPr>
          <w:rFonts w:cs="Arial"/>
          <w:b/>
        </w:rPr>
      </w:pPr>
      <w:r w:rsidRPr="00FC45E9">
        <w:rPr>
          <w:rFonts w:cs="Arial"/>
          <w:b/>
        </w:rPr>
        <w:t xml:space="preserve">Recommendations </w:t>
      </w:r>
    </w:p>
    <w:p w14:paraId="4C508B18" w14:textId="77777777" w:rsidR="00C66F7A" w:rsidRDefault="00C66F7A" w:rsidP="00C66F7A">
      <w:pPr>
        <w:pStyle w:val="ListParagraph"/>
        <w:numPr>
          <w:ilvl w:val="2"/>
          <w:numId w:val="8"/>
        </w:numPr>
        <w:spacing w:line="264" w:lineRule="auto"/>
        <w:ind w:left="1400" w:hanging="680"/>
        <w:rPr>
          <w:rFonts w:cs="Arial"/>
        </w:rPr>
      </w:pPr>
      <w:r w:rsidRPr="00FC45E9">
        <w:rPr>
          <w:rFonts w:cs="Arial"/>
        </w:rPr>
        <w:t>State governments should review and clarify their arrangements for the setting of</w:t>
      </w:r>
      <w:r>
        <w:rPr>
          <w:rFonts w:cs="Arial"/>
        </w:rPr>
        <w:t xml:space="preserve"> and maintaining </w:t>
      </w:r>
      <w:r w:rsidRPr="00FC45E9">
        <w:rPr>
          <w:rFonts w:cs="Arial"/>
        </w:rPr>
        <w:t>environmental standards</w:t>
      </w:r>
      <w:r>
        <w:rPr>
          <w:rFonts w:cs="Arial"/>
        </w:rPr>
        <w:t>,</w:t>
      </w:r>
      <w:r w:rsidRPr="00FC45E9">
        <w:rPr>
          <w:rFonts w:cs="Arial"/>
        </w:rPr>
        <w:t xml:space="preserve"> along with the arrangements for oversight and confirmation of </w:t>
      </w:r>
      <w:r>
        <w:rPr>
          <w:rFonts w:cs="Arial"/>
        </w:rPr>
        <w:t xml:space="preserve">a project’s </w:t>
      </w:r>
      <w:r w:rsidRPr="00FC45E9">
        <w:rPr>
          <w:rFonts w:cs="Arial"/>
        </w:rPr>
        <w:t>compliance with those standards. It is preferred that the department</w:t>
      </w:r>
      <w:r>
        <w:rPr>
          <w:rFonts w:cs="Arial"/>
        </w:rPr>
        <w:t>(s)</w:t>
      </w:r>
      <w:r w:rsidRPr="00FC45E9">
        <w:rPr>
          <w:rFonts w:cs="Arial"/>
        </w:rPr>
        <w:t xml:space="preserve"> or agency setting and maintaining the various standards is independent of the </w:t>
      </w:r>
      <w:r>
        <w:rPr>
          <w:rFonts w:cs="Arial"/>
        </w:rPr>
        <w:t xml:space="preserve">authority </w:t>
      </w:r>
      <w:r w:rsidRPr="00FC45E9">
        <w:rPr>
          <w:rFonts w:cs="Arial"/>
        </w:rPr>
        <w:t>responsible for planning</w:t>
      </w:r>
      <w:r>
        <w:rPr>
          <w:rFonts w:cs="Arial"/>
        </w:rPr>
        <w:t xml:space="preserve"> guidelines</w:t>
      </w:r>
      <w:r w:rsidRPr="00FC45E9">
        <w:rPr>
          <w:rFonts w:cs="Arial"/>
        </w:rPr>
        <w:t xml:space="preserve"> and applying those standards. </w:t>
      </w:r>
    </w:p>
    <w:p w14:paraId="48F501F8" w14:textId="77777777" w:rsidR="00C66F7A" w:rsidRPr="00FC45E9" w:rsidRDefault="00C66F7A" w:rsidP="00C66F7A">
      <w:pPr>
        <w:pStyle w:val="ListParagraph"/>
        <w:numPr>
          <w:ilvl w:val="2"/>
          <w:numId w:val="8"/>
        </w:numPr>
        <w:spacing w:line="264" w:lineRule="auto"/>
        <w:ind w:left="1400" w:hanging="680"/>
        <w:rPr>
          <w:rFonts w:cs="Arial"/>
        </w:rPr>
      </w:pPr>
      <w:r>
        <w:rPr>
          <w:rFonts w:cs="Arial"/>
        </w:rPr>
        <w:t>T</w:t>
      </w:r>
      <w:r w:rsidRPr="00FC45E9">
        <w:rPr>
          <w:rFonts w:cs="Arial"/>
        </w:rPr>
        <w:t xml:space="preserve">he compliance authorities for a </w:t>
      </w:r>
      <w:r>
        <w:rPr>
          <w:rFonts w:cs="Arial"/>
        </w:rPr>
        <w:t>project</w:t>
      </w:r>
      <w:r w:rsidRPr="00FC45E9">
        <w:rPr>
          <w:rFonts w:cs="Arial"/>
        </w:rPr>
        <w:t xml:space="preserve"> should be clearly defined, transparent, accessible to the community and able to receive and investigate allegations of compliance breaches. Where compliance oversight currently rests with local government, appropriate support and resources should be made available to the council/shire to enable them to effectively perform their compliance and investigative responsibilities</w:t>
      </w:r>
      <w:r>
        <w:rPr>
          <w:rFonts w:cs="Arial"/>
        </w:rPr>
        <w:t>. This includes</w:t>
      </w:r>
      <w:r w:rsidRPr="00FC45E9">
        <w:rPr>
          <w:rFonts w:cs="Arial"/>
        </w:rPr>
        <w:t xml:space="preserve"> being equipped with the appropriate policies</w:t>
      </w:r>
      <w:r>
        <w:rPr>
          <w:rFonts w:cs="Arial"/>
        </w:rPr>
        <w:t>, processes</w:t>
      </w:r>
      <w:r w:rsidRPr="00FC45E9">
        <w:rPr>
          <w:rFonts w:cs="Arial"/>
        </w:rPr>
        <w:t xml:space="preserve"> and procedures to handle alleged breaches of permit/license compliance and/or laws.</w:t>
      </w:r>
    </w:p>
    <w:p w14:paraId="7A595BC2"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Based on the outcome of the review outlined in Recommendation 5.2.1, state governments should consider whether the current arrangements are appropriate, effective and consistent with best practices for the independent development, maintenance, compliance management and governance of environmental standards</w:t>
      </w:r>
      <w:r>
        <w:rPr>
          <w:rFonts w:cs="Arial"/>
        </w:rPr>
        <w:t xml:space="preserve"> applicable to projects</w:t>
      </w:r>
      <w:r w:rsidRPr="00FC45E9">
        <w:rPr>
          <w:rFonts w:cs="Arial"/>
        </w:rPr>
        <w:t>.</w:t>
      </w:r>
    </w:p>
    <w:p w14:paraId="51222B6B"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In considering the above recommendations and possible reforms, the roles of an appropriate independent, state based, </w:t>
      </w:r>
      <w:r>
        <w:rPr>
          <w:rFonts w:cs="Arial"/>
        </w:rPr>
        <w:t xml:space="preserve">standards and </w:t>
      </w:r>
      <w:r w:rsidRPr="00FC45E9">
        <w:rPr>
          <w:rFonts w:cs="Arial"/>
        </w:rPr>
        <w:t xml:space="preserve">compliance agency (such as a state environmental protection or regulatory authority) could include responsibility to: </w:t>
      </w:r>
    </w:p>
    <w:p w14:paraId="26E89126" w14:textId="77777777" w:rsidR="00C66F7A" w:rsidRPr="00FC45E9" w:rsidRDefault="00C66F7A" w:rsidP="00C66F7A">
      <w:pPr>
        <w:pStyle w:val="ListParagraph"/>
        <w:numPr>
          <w:ilvl w:val="0"/>
          <w:numId w:val="13"/>
        </w:numPr>
        <w:spacing w:line="264" w:lineRule="auto"/>
        <w:rPr>
          <w:rFonts w:cs="Arial"/>
        </w:rPr>
      </w:pPr>
      <w:r w:rsidRPr="00FC45E9">
        <w:rPr>
          <w:rFonts w:cs="Arial"/>
        </w:rPr>
        <w:t xml:space="preserve">Set and maintain the environmental standards applied to wind </w:t>
      </w:r>
      <w:r>
        <w:rPr>
          <w:rFonts w:cs="Arial"/>
        </w:rPr>
        <w:t xml:space="preserve">and solar </w:t>
      </w:r>
      <w:r w:rsidRPr="00FC45E9">
        <w:rPr>
          <w:rFonts w:cs="Arial"/>
        </w:rPr>
        <w:t xml:space="preserve">farms, including </w:t>
      </w:r>
      <w:r>
        <w:rPr>
          <w:rFonts w:cs="Arial"/>
        </w:rPr>
        <w:t xml:space="preserve">setback distances, </w:t>
      </w:r>
      <w:r w:rsidRPr="00FC45E9">
        <w:rPr>
          <w:rFonts w:cs="Arial"/>
        </w:rPr>
        <w:t>noise, shadow flicker, visual amenity, flora and fauna, environment and heritage (noting the role of the Commonwealth</w:t>
      </w:r>
      <w:r>
        <w:rPr>
          <w:rFonts w:cs="Arial"/>
        </w:rPr>
        <w:t xml:space="preserve"> in the</w:t>
      </w:r>
      <w:r w:rsidRPr="00FC45E9">
        <w:rPr>
          <w:rFonts w:cs="Arial"/>
        </w:rPr>
        <w:t xml:space="preserve"> </w:t>
      </w:r>
      <w:r w:rsidRPr="00FC45E9">
        <w:rPr>
          <w:rFonts w:cs="Arial"/>
          <w:i/>
        </w:rPr>
        <w:t xml:space="preserve">Environment Protection and Biodiversity Conservation Act 1999 </w:t>
      </w:r>
      <w:r w:rsidRPr="00FC45E9">
        <w:rPr>
          <w:rFonts w:cs="Arial"/>
        </w:rPr>
        <w:t xml:space="preserve">with regard to Matters of National Environmental Significance </w:t>
      </w:r>
      <w:r>
        <w:rPr>
          <w:rFonts w:cs="Arial"/>
        </w:rPr>
        <w:t>– in</w:t>
      </w:r>
      <w:r w:rsidRPr="00FC45E9">
        <w:rPr>
          <w:rFonts w:cs="Arial"/>
        </w:rPr>
        <w:t>cluding protected flora and fauna), along with specifying the methods and procedures for measurement of the prescribed standards.</w:t>
      </w:r>
    </w:p>
    <w:p w14:paraId="43151A26" w14:textId="77777777" w:rsidR="00C66F7A" w:rsidRPr="00FC45E9" w:rsidRDefault="00C66F7A" w:rsidP="00C66F7A">
      <w:pPr>
        <w:pStyle w:val="ListParagraph"/>
        <w:numPr>
          <w:ilvl w:val="0"/>
          <w:numId w:val="13"/>
        </w:numPr>
        <w:spacing w:line="264" w:lineRule="auto"/>
        <w:rPr>
          <w:rFonts w:cs="Arial"/>
        </w:rPr>
      </w:pPr>
      <w:r w:rsidRPr="00FC45E9">
        <w:rPr>
          <w:rFonts w:cs="Arial"/>
        </w:rPr>
        <w:t xml:space="preserve">Review planning applications for projects and recommend/require permit conditions related to the environmental standards. Environmental standard conditions in permits should clearly state the process for how the measurements are to be undertaken and reported as well as provide the opportunity for peer review of the process, calculations and results. </w:t>
      </w:r>
    </w:p>
    <w:p w14:paraId="1B98F840" w14:textId="77777777" w:rsidR="00C66F7A" w:rsidRPr="00FC45E9" w:rsidRDefault="00C66F7A" w:rsidP="00C66F7A">
      <w:pPr>
        <w:pStyle w:val="ListParagraph"/>
        <w:numPr>
          <w:ilvl w:val="0"/>
          <w:numId w:val="13"/>
        </w:numPr>
        <w:spacing w:line="264" w:lineRule="auto"/>
        <w:rPr>
          <w:rFonts w:cs="Arial"/>
        </w:rPr>
      </w:pPr>
      <w:r w:rsidRPr="00FC45E9">
        <w:rPr>
          <w:rFonts w:cs="Arial"/>
        </w:rPr>
        <w:lastRenderedPageBreak/>
        <w:t xml:space="preserve">Provide or facilitate peer review and audit of </w:t>
      </w:r>
      <w:r>
        <w:rPr>
          <w:rFonts w:cs="Arial"/>
        </w:rPr>
        <w:t xml:space="preserve">any </w:t>
      </w:r>
      <w:r w:rsidRPr="00FC45E9">
        <w:rPr>
          <w:rFonts w:cs="Arial"/>
        </w:rPr>
        <w:t xml:space="preserve">expert reports, including review of testing and modelling programs, submitted by the developer </w:t>
      </w:r>
      <w:r>
        <w:rPr>
          <w:rFonts w:cs="Arial"/>
        </w:rPr>
        <w:t>to the relevant planning or statutory authority (see also Section 6)</w:t>
      </w:r>
      <w:r w:rsidRPr="00FC45E9">
        <w:rPr>
          <w:rFonts w:cs="Arial"/>
        </w:rPr>
        <w:t>.</w:t>
      </w:r>
    </w:p>
    <w:p w14:paraId="56787DEC" w14:textId="77777777" w:rsidR="00C66F7A" w:rsidRPr="00FC45E9" w:rsidRDefault="00C66F7A" w:rsidP="00C66F7A">
      <w:pPr>
        <w:pStyle w:val="ListParagraph"/>
        <w:numPr>
          <w:ilvl w:val="0"/>
          <w:numId w:val="13"/>
        </w:numPr>
        <w:spacing w:line="264" w:lineRule="auto"/>
        <w:rPr>
          <w:rFonts w:cs="Arial"/>
        </w:rPr>
      </w:pPr>
      <w:r w:rsidRPr="00FC45E9">
        <w:rPr>
          <w:rFonts w:cs="Arial"/>
        </w:rPr>
        <w:t xml:space="preserve">Where appropriate, license the </w:t>
      </w:r>
      <w:r>
        <w:rPr>
          <w:rFonts w:cs="Arial"/>
        </w:rPr>
        <w:t xml:space="preserve">facility </w:t>
      </w:r>
      <w:r w:rsidRPr="00FC45E9">
        <w:rPr>
          <w:rFonts w:cs="Arial"/>
        </w:rPr>
        <w:t xml:space="preserve">once it is constructed </w:t>
      </w:r>
      <w:r>
        <w:rPr>
          <w:rFonts w:cs="Arial"/>
        </w:rPr>
        <w:t xml:space="preserve">– </w:t>
      </w:r>
      <w:r w:rsidRPr="00FC45E9">
        <w:rPr>
          <w:rFonts w:cs="Arial"/>
        </w:rPr>
        <w:t xml:space="preserve">and issue and monitor license conditions for the operation of the </w:t>
      </w:r>
      <w:r>
        <w:rPr>
          <w:rFonts w:cs="Arial"/>
        </w:rPr>
        <w:t xml:space="preserve">asset </w:t>
      </w:r>
      <w:r w:rsidRPr="00FC45E9">
        <w:rPr>
          <w:rFonts w:cs="Arial"/>
        </w:rPr>
        <w:t>that may be subjec</w:t>
      </w:r>
      <w:r>
        <w:rPr>
          <w:rFonts w:cs="Arial"/>
        </w:rPr>
        <w:t>t to review and renewal. State g</w:t>
      </w:r>
      <w:r w:rsidRPr="00FC45E9">
        <w:rPr>
          <w:rFonts w:cs="Arial"/>
        </w:rPr>
        <w:t xml:space="preserve">overnments should also receive and review regular reporting against those licence conditions from the </w:t>
      </w:r>
      <w:r>
        <w:rPr>
          <w:rFonts w:cs="Arial"/>
        </w:rPr>
        <w:t xml:space="preserve">project </w:t>
      </w:r>
      <w:r w:rsidRPr="00FC45E9">
        <w:rPr>
          <w:rFonts w:cs="Arial"/>
        </w:rPr>
        <w:t>operator and may withdraw licences in the event of unrectified material breaches of applicable license and permit conditions.</w:t>
      </w:r>
    </w:p>
    <w:p w14:paraId="6783BC4B" w14:textId="77777777" w:rsidR="00C66F7A" w:rsidRPr="00FC45E9" w:rsidRDefault="00C66F7A" w:rsidP="00C66F7A">
      <w:pPr>
        <w:pStyle w:val="ListParagraph"/>
        <w:numPr>
          <w:ilvl w:val="0"/>
          <w:numId w:val="13"/>
        </w:numPr>
        <w:spacing w:line="264" w:lineRule="auto"/>
        <w:rPr>
          <w:rFonts w:cs="Arial"/>
        </w:rPr>
      </w:pPr>
      <w:r w:rsidRPr="00FC45E9">
        <w:rPr>
          <w:rFonts w:cs="Arial"/>
        </w:rPr>
        <w:t>Receive and investigate complaints related to environmental standards, including alleged breaches of non-compliance with permit requirements or relevant laws.</w:t>
      </w:r>
    </w:p>
    <w:p w14:paraId="43DB8939" w14:textId="77777777" w:rsidR="00C66F7A" w:rsidRPr="00FC45E9" w:rsidRDefault="00C66F7A" w:rsidP="00C66F7A">
      <w:pPr>
        <w:pStyle w:val="ListParagraph"/>
        <w:numPr>
          <w:ilvl w:val="0"/>
          <w:numId w:val="13"/>
        </w:numPr>
        <w:spacing w:line="264" w:lineRule="auto"/>
        <w:rPr>
          <w:rFonts w:cs="Arial"/>
        </w:rPr>
      </w:pPr>
      <w:r w:rsidRPr="00FC45E9">
        <w:rPr>
          <w:rFonts w:cs="Arial"/>
        </w:rPr>
        <w:t>Confirm as required the co</w:t>
      </w:r>
      <w:r>
        <w:rPr>
          <w:rFonts w:cs="Arial"/>
        </w:rPr>
        <w:t xml:space="preserve">mpliance or non-compliance of an operating project </w:t>
      </w:r>
      <w:r w:rsidRPr="00FC45E9">
        <w:rPr>
          <w:rFonts w:cs="Arial"/>
        </w:rPr>
        <w:t>regarding environmental standards, related permit conditions and relevant laws.</w:t>
      </w:r>
    </w:p>
    <w:p w14:paraId="582C32D6" w14:textId="77777777" w:rsidR="00C66F7A" w:rsidRPr="00FC45E9" w:rsidRDefault="00C66F7A" w:rsidP="00C66F7A">
      <w:pPr>
        <w:pStyle w:val="ListParagraph"/>
        <w:numPr>
          <w:ilvl w:val="0"/>
          <w:numId w:val="13"/>
        </w:numPr>
        <w:spacing w:line="264" w:lineRule="auto"/>
        <w:rPr>
          <w:rFonts w:cs="Arial"/>
        </w:rPr>
      </w:pPr>
      <w:r w:rsidRPr="00FC45E9">
        <w:rPr>
          <w:rFonts w:cs="Arial"/>
        </w:rPr>
        <w:t xml:space="preserve">Report material </w:t>
      </w:r>
      <w:r>
        <w:rPr>
          <w:rFonts w:cs="Arial"/>
        </w:rPr>
        <w:t xml:space="preserve">compliance </w:t>
      </w:r>
      <w:r w:rsidRPr="00FC45E9">
        <w:rPr>
          <w:rFonts w:cs="Arial"/>
        </w:rPr>
        <w:t>breaches and investigations to the Clean Energy Regulator and other relevant agencies.</w:t>
      </w:r>
    </w:p>
    <w:p w14:paraId="32A7217F" w14:textId="5D0660AF" w:rsidR="00C66F7A" w:rsidRPr="00FC45E9" w:rsidRDefault="00C66F7A" w:rsidP="00C66F7A">
      <w:pPr>
        <w:pStyle w:val="ListParagraph"/>
        <w:numPr>
          <w:ilvl w:val="0"/>
          <w:numId w:val="13"/>
        </w:numPr>
        <w:spacing w:line="264" w:lineRule="auto"/>
        <w:rPr>
          <w:rFonts w:cs="Arial"/>
        </w:rPr>
      </w:pPr>
      <w:r w:rsidRPr="00FC45E9">
        <w:rPr>
          <w:rFonts w:cs="Arial"/>
        </w:rPr>
        <w:t xml:space="preserve">Liaise with other </w:t>
      </w:r>
      <w:r>
        <w:rPr>
          <w:rFonts w:cs="Arial"/>
        </w:rPr>
        <w:t xml:space="preserve">state and federal </w:t>
      </w:r>
      <w:r w:rsidRPr="00FC45E9">
        <w:rPr>
          <w:rFonts w:cs="Arial"/>
        </w:rPr>
        <w:t>agencies (</w:t>
      </w:r>
      <w:r w:rsidR="006E499A" w:rsidRPr="00FC45E9">
        <w:rPr>
          <w:rFonts w:cs="Arial"/>
        </w:rPr>
        <w:t>e.g.,</w:t>
      </w:r>
      <w:r w:rsidRPr="00FC45E9">
        <w:rPr>
          <w:rFonts w:cs="Arial"/>
        </w:rPr>
        <w:t xml:space="preserve"> </w:t>
      </w:r>
      <w:r>
        <w:rPr>
          <w:rFonts w:cs="Arial"/>
        </w:rPr>
        <w:t xml:space="preserve">Roads Authorities, </w:t>
      </w:r>
      <w:r w:rsidRPr="00FC45E9">
        <w:rPr>
          <w:rFonts w:cs="Arial"/>
        </w:rPr>
        <w:t xml:space="preserve">Civil Aviation Safety Authority, Australian Government </w:t>
      </w:r>
      <w:r w:rsidRPr="003C2236">
        <w:rPr>
          <w:rFonts w:cs="Arial"/>
        </w:rPr>
        <w:t>Department</w:t>
      </w:r>
      <w:r>
        <w:rPr>
          <w:rFonts w:cs="Arial"/>
        </w:rPr>
        <w:t>s</w:t>
      </w:r>
      <w:r w:rsidRPr="003C2236">
        <w:rPr>
          <w:rFonts w:cs="Arial"/>
        </w:rPr>
        <w:t xml:space="preserve"> of </w:t>
      </w:r>
      <w:r>
        <w:rPr>
          <w:rFonts w:cs="Arial"/>
        </w:rPr>
        <w:t>t</w:t>
      </w:r>
      <w:r w:rsidRPr="003C2236">
        <w:rPr>
          <w:rFonts w:cs="Arial"/>
        </w:rPr>
        <w:t>he Environment</w:t>
      </w:r>
      <w:r w:rsidRPr="00FC45E9">
        <w:rPr>
          <w:rFonts w:cs="Arial"/>
        </w:rPr>
        <w:t>) on assessments and compliance matters that involve such agencies.</w:t>
      </w:r>
    </w:p>
    <w:p w14:paraId="50BCD23D" w14:textId="77777777" w:rsidR="00C66F7A" w:rsidRPr="00FC45E9" w:rsidRDefault="00C66F7A" w:rsidP="00C66F7A">
      <w:pPr>
        <w:pStyle w:val="ListParagraph"/>
        <w:numPr>
          <w:ilvl w:val="2"/>
          <w:numId w:val="8"/>
        </w:numPr>
        <w:spacing w:line="264" w:lineRule="auto"/>
        <w:rPr>
          <w:rFonts w:cs="Arial"/>
        </w:rPr>
      </w:pPr>
      <w:r w:rsidRPr="00FC45E9">
        <w:rPr>
          <w:rFonts w:cs="Arial"/>
        </w:rPr>
        <w:t xml:space="preserve">Planning permits (and/or applicable licenses) for </w:t>
      </w:r>
      <w:r>
        <w:rPr>
          <w:rFonts w:cs="Arial"/>
        </w:rPr>
        <w:t xml:space="preserve">projects </w:t>
      </w:r>
      <w:r w:rsidRPr="00FC45E9">
        <w:rPr>
          <w:rFonts w:cs="Arial"/>
        </w:rPr>
        <w:t>should clearly state:</w:t>
      </w:r>
    </w:p>
    <w:p w14:paraId="76DA4479" w14:textId="77777777" w:rsidR="00C66F7A" w:rsidRPr="00FC45E9" w:rsidRDefault="00C66F7A" w:rsidP="00C66F7A">
      <w:pPr>
        <w:pStyle w:val="ListParagraph"/>
        <w:numPr>
          <w:ilvl w:val="0"/>
          <w:numId w:val="14"/>
        </w:numPr>
        <w:spacing w:line="264" w:lineRule="auto"/>
        <w:rPr>
          <w:rFonts w:cs="Arial"/>
        </w:rPr>
      </w:pPr>
      <w:r w:rsidRPr="00FC45E9">
        <w:rPr>
          <w:rFonts w:cs="Arial"/>
        </w:rPr>
        <w:t xml:space="preserve">The oversight organisation(s) or person(s) accountable for determining compliance of a </w:t>
      </w:r>
      <w:r>
        <w:rPr>
          <w:rFonts w:cs="Arial"/>
        </w:rPr>
        <w:t xml:space="preserve">project </w:t>
      </w:r>
      <w:r w:rsidRPr="00FC45E9">
        <w:rPr>
          <w:rFonts w:cs="Arial"/>
        </w:rPr>
        <w:t>with its permit (and</w:t>
      </w:r>
      <w:r>
        <w:rPr>
          <w:rFonts w:cs="Arial"/>
        </w:rPr>
        <w:t>/or</w:t>
      </w:r>
      <w:r w:rsidRPr="00FC45E9">
        <w:rPr>
          <w:rFonts w:cs="Arial"/>
        </w:rPr>
        <w:t xml:space="preserve"> license) conditions, </w:t>
      </w:r>
      <w:r>
        <w:rPr>
          <w:rFonts w:cs="Arial"/>
        </w:rPr>
        <w:t xml:space="preserve">during construction, </w:t>
      </w:r>
      <w:r w:rsidRPr="00FC45E9">
        <w:rPr>
          <w:rFonts w:cs="Arial"/>
        </w:rPr>
        <w:t>post-construction and ongoing operational stages.</w:t>
      </w:r>
    </w:p>
    <w:p w14:paraId="2E81DFC0" w14:textId="77777777" w:rsidR="00C66F7A" w:rsidRPr="00FC45E9" w:rsidRDefault="00C66F7A" w:rsidP="00C66F7A">
      <w:pPr>
        <w:pStyle w:val="ListParagraph"/>
        <w:numPr>
          <w:ilvl w:val="0"/>
          <w:numId w:val="14"/>
        </w:numPr>
        <w:spacing w:line="264" w:lineRule="auto"/>
        <w:rPr>
          <w:rFonts w:cs="Arial"/>
        </w:rPr>
      </w:pPr>
      <w:r w:rsidRPr="00FC45E9">
        <w:rPr>
          <w:rFonts w:cs="Arial"/>
        </w:rPr>
        <w:t>The process and contact details for lodging a complaint or alleged breach of permit (and/or license) compliance.</w:t>
      </w:r>
    </w:p>
    <w:p w14:paraId="4771A416" w14:textId="43160ED4" w:rsidR="00C66F7A" w:rsidRPr="00FC45E9" w:rsidRDefault="00C66F7A" w:rsidP="00C66F7A">
      <w:pPr>
        <w:pStyle w:val="ListParagraph"/>
        <w:numPr>
          <w:ilvl w:val="0"/>
          <w:numId w:val="14"/>
        </w:numPr>
        <w:spacing w:line="264" w:lineRule="auto"/>
        <w:rPr>
          <w:rFonts w:cs="Arial"/>
        </w:rPr>
      </w:pPr>
      <w:r w:rsidRPr="00FC45E9">
        <w:rPr>
          <w:rFonts w:cs="Arial"/>
        </w:rPr>
        <w:t>The process to be followed if a</w:t>
      </w:r>
      <w:r>
        <w:rPr>
          <w:rFonts w:cs="Arial"/>
        </w:rPr>
        <w:t xml:space="preserve"> project </w:t>
      </w:r>
      <w:r w:rsidRPr="00FC45E9">
        <w:rPr>
          <w:rFonts w:cs="Arial"/>
        </w:rPr>
        <w:t xml:space="preserve">is found to be non-compliant with one or more of the </w:t>
      </w:r>
      <w:r w:rsidR="006E499A" w:rsidRPr="00FC45E9">
        <w:rPr>
          <w:rFonts w:cs="Arial"/>
        </w:rPr>
        <w:t>permits</w:t>
      </w:r>
      <w:r w:rsidRPr="00FC45E9">
        <w:rPr>
          <w:rFonts w:cs="Arial"/>
        </w:rPr>
        <w:t xml:space="preserve"> (and/or license) conditions.</w:t>
      </w:r>
    </w:p>
    <w:p w14:paraId="6DB0C9F0" w14:textId="77777777" w:rsidR="00C66F7A" w:rsidRPr="00FC45E9" w:rsidRDefault="00C66F7A" w:rsidP="00C66F7A">
      <w:pPr>
        <w:pStyle w:val="ListParagraph"/>
        <w:numPr>
          <w:ilvl w:val="0"/>
          <w:numId w:val="14"/>
        </w:numPr>
        <w:spacing w:line="264" w:lineRule="auto"/>
        <w:rPr>
          <w:rFonts w:cs="Arial"/>
        </w:rPr>
      </w:pPr>
      <w:r w:rsidRPr="00FC45E9">
        <w:rPr>
          <w:rFonts w:cs="Arial"/>
        </w:rPr>
        <w:t xml:space="preserve">A requirement for the developer or operator to publish transparently, on the </w:t>
      </w:r>
      <w:r>
        <w:rPr>
          <w:rFonts w:cs="Arial"/>
        </w:rPr>
        <w:t>project</w:t>
      </w:r>
      <w:r w:rsidRPr="00FC45E9">
        <w:rPr>
          <w:rFonts w:cs="Arial"/>
        </w:rPr>
        <w:t xml:space="preserve"> website, the process and contact details to make a complaint or alleged compliance breach to the designated oversight organisation</w:t>
      </w:r>
      <w:r>
        <w:rPr>
          <w:rFonts w:cs="Arial"/>
        </w:rPr>
        <w:t>, along with a list of complaints made about the project and their status or resolution</w:t>
      </w:r>
      <w:r w:rsidRPr="00FC45E9">
        <w:rPr>
          <w:rFonts w:cs="Arial"/>
        </w:rPr>
        <w:t>.</w:t>
      </w:r>
    </w:p>
    <w:p w14:paraId="323FF63F"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During the period between the commencement of a </w:t>
      </w:r>
      <w:r>
        <w:rPr>
          <w:rFonts w:cs="Arial"/>
        </w:rPr>
        <w:t>project</w:t>
      </w:r>
      <w:r w:rsidRPr="00FC45E9">
        <w:rPr>
          <w:rFonts w:cs="Arial"/>
        </w:rPr>
        <w:t xml:space="preserve">’s commissioning/operation and the completion of </w:t>
      </w:r>
      <w:r>
        <w:rPr>
          <w:rFonts w:cs="Arial"/>
        </w:rPr>
        <w:t>the</w:t>
      </w:r>
      <w:r w:rsidRPr="00FC45E9">
        <w:rPr>
          <w:rFonts w:cs="Arial"/>
        </w:rPr>
        <w:t xml:space="preserve"> required post-construction </w:t>
      </w:r>
      <w:r>
        <w:rPr>
          <w:rFonts w:cs="Arial"/>
        </w:rPr>
        <w:t xml:space="preserve">compliance </w:t>
      </w:r>
      <w:r w:rsidRPr="00FC45E9">
        <w:rPr>
          <w:rFonts w:cs="Arial"/>
        </w:rPr>
        <w:t xml:space="preserve">assessments, the </w:t>
      </w:r>
      <w:r>
        <w:rPr>
          <w:rFonts w:cs="Arial"/>
        </w:rPr>
        <w:t>project</w:t>
      </w:r>
      <w:r w:rsidRPr="00FC45E9">
        <w:rPr>
          <w:rFonts w:cs="Arial"/>
        </w:rPr>
        <w:t xml:space="preserve"> could be designated to be in </w:t>
      </w:r>
      <w:r>
        <w:rPr>
          <w:rFonts w:cs="Arial"/>
        </w:rPr>
        <w:t>‘</w:t>
      </w:r>
      <w:r w:rsidRPr="00FC45E9">
        <w:rPr>
          <w:rFonts w:cs="Arial"/>
        </w:rPr>
        <w:t>provisional</w:t>
      </w:r>
      <w:r>
        <w:rPr>
          <w:rFonts w:cs="Arial"/>
        </w:rPr>
        <w:t>’</w:t>
      </w:r>
      <w:r w:rsidRPr="00FC45E9">
        <w:rPr>
          <w:rFonts w:cs="Arial"/>
        </w:rPr>
        <w:t xml:space="preserve"> or </w:t>
      </w:r>
      <w:r>
        <w:rPr>
          <w:rFonts w:cs="Arial"/>
        </w:rPr>
        <w:t>‘</w:t>
      </w:r>
      <w:r w:rsidRPr="00FC45E9">
        <w:rPr>
          <w:rFonts w:cs="Arial"/>
        </w:rPr>
        <w:t>deemed</w:t>
      </w:r>
      <w:r>
        <w:rPr>
          <w:rFonts w:cs="Arial"/>
        </w:rPr>
        <w:t>’</w:t>
      </w:r>
      <w:r w:rsidRPr="00FC45E9">
        <w:rPr>
          <w:rFonts w:cs="Arial"/>
        </w:rPr>
        <w:t xml:space="preserve"> compliance, pending the results of the assessments. In this scenario, a </w:t>
      </w:r>
      <w:r>
        <w:rPr>
          <w:rFonts w:cs="Arial"/>
        </w:rPr>
        <w:t xml:space="preserve">project </w:t>
      </w:r>
      <w:r w:rsidRPr="00FC45E9">
        <w:rPr>
          <w:rFonts w:cs="Arial"/>
        </w:rPr>
        <w:t xml:space="preserve">can only move from </w:t>
      </w:r>
      <w:r>
        <w:rPr>
          <w:rFonts w:cs="Arial"/>
        </w:rPr>
        <w:t>‘</w:t>
      </w:r>
      <w:r w:rsidRPr="00FC45E9">
        <w:rPr>
          <w:rFonts w:cs="Arial"/>
        </w:rPr>
        <w:t>provisional compliance</w:t>
      </w:r>
      <w:r>
        <w:rPr>
          <w:rFonts w:cs="Arial"/>
        </w:rPr>
        <w:t>’</w:t>
      </w:r>
      <w:r w:rsidRPr="00FC45E9">
        <w:rPr>
          <w:rFonts w:cs="Arial"/>
        </w:rPr>
        <w:t xml:space="preserve"> </w:t>
      </w:r>
      <w:r>
        <w:rPr>
          <w:rFonts w:cs="Arial"/>
        </w:rPr>
        <w:t xml:space="preserve">status </w:t>
      </w:r>
      <w:r w:rsidRPr="00FC45E9">
        <w:rPr>
          <w:rFonts w:cs="Arial"/>
        </w:rPr>
        <w:t xml:space="preserve">to being confirmed as </w:t>
      </w:r>
      <w:r>
        <w:rPr>
          <w:rFonts w:cs="Arial"/>
        </w:rPr>
        <w:t>‘</w:t>
      </w:r>
      <w:r w:rsidRPr="00FC45E9">
        <w:rPr>
          <w:rFonts w:cs="Arial"/>
        </w:rPr>
        <w:t>compliant</w:t>
      </w:r>
      <w:r>
        <w:rPr>
          <w:rFonts w:cs="Arial"/>
        </w:rPr>
        <w:t>’</w:t>
      </w:r>
      <w:r w:rsidRPr="00FC45E9">
        <w:rPr>
          <w:rFonts w:cs="Arial"/>
        </w:rPr>
        <w:t xml:space="preserve"> once the responsible authority has confirmed it is satisfied that the </w:t>
      </w:r>
      <w:r>
        <w:rPr>
          <w:rFonts w:cs="Arial"/>
        </w:rPr>
        <w:t>project</w:t>
      </w:r>
      <w:r w:rsidRPr="00FC45E9">
        <w:rPr>
          <w:rFonts w:cs="Arial"/>
        </w:rPr>
        <w:t xml:space="preserve"> is compliant as a result of any post-construction assessments. </w:t>
      </w:r>
      <w:r>
        <w:rPr>
          <w:rFonts w:cs="Arial"/>
        </w:rPr>
        <w:t xml:space="preserve">While the project is in ‘provisional compliance’ it is deemed to be compliant. </w:t>
      </w:r>
      <w:r w:rsidRPr="00FC45E9">
        <w:rPr>
          <w:rFonts w:cs="Arial"/>
        </w:rPr>
        <w:t xml:space="preserve">Once a </w:t>
      </w:r>
      <w:r>
        <w:rPr>
          <w:rFonts w:cs="Arial"/>
        </w:rPr>
        <w:t>project</w:t>
      </w:r>
      <w:r w:rsidRPr="00FC45E9">
        <w:rPr>
          <w:rFonts w:cs="Arial"/>
        </w:rPr>
        <w:t xml:space="preserve"> has completed </w:t>
      </w:r>
      <w:r>
        <w:rPr>
          <w:rFonts w:cs="Arial"/>
        </w:rPr>
        <w:t xml:space="preserve">its </w:t>
      </w:r>
      <w:r w:rsidRPr="00FC45E9">
        <w:rPr>
          <w:rFonts w:cs="Arial"/>
        </w:rPr>
        <w:t>post-construction assessments and confirmed to be complian</w:t>
      </w:r>
      <w:r>
        <w:rPr>
          <w:rFonts w:cs="Arial"/>
        </w:rPr>
        <w:t>t by the responsible authority,</w:t>
      </w:r>
      <w:r w:rsidRPr="00FC45E9">
        <w:rPr>
          <w:rFonts w:cs="Arial"/>
        </w:rPr>
        <w:t xml:space="preserve"> ongoing compliance is </w:t>
      </w:r>
      <w:r>
        <w:rPr>
          <w:rFonts w:cs="Arial"/>
        </w:rPr>
        <w:t xml:space="preserve">then </w:t>
      </w:r>
      <w:r w:rsidRPr="00FC45E9">
        <w:rPr>
          <w:rFonts w:cs="Arial"/>
        </w:rPr>
        <w:t xml:space="preserve">overseen by the designated agency or responsible </w:t>
      </w:r>
      <w:r>
        <w:rPr>
          <w:rFonts w:cs="Arial"/>
        </w:rPr>
        <w:t xml:space="preserve">compliance </w:t>
      </w:r>
      <w:r w:rsidRPr="00FC45E9">
        <w:rPr>
          <w:rFonts w:cs="Arial"/>
        </w:rPr>
        <w:t>authority.</w:t>
      </w:r>
      <w:r>
        <w:rPr>
          <w:rFonts w:cs="Arial"/>
        </w:rPr>
        <w:t xml:space="preserve"> For the avoidance of doubt, a project that has been constructed in a way that is consistent with the requirements of any predictive assessments would be deemed compliant unless proven otherwise.</w:t>
      </w:r>
    </w:p>
    <w:p w14:paraId="5AD6A4AE" w14:textId="07244854" w:rsidR="00C66F7A" w:rsidRDefault="00C66F7A" w:rsidP="00C66F7A">
      <w:pPr>
        <w:pStyle w:val="ListParagraph"/>
        <w:numPr>
          <w:ilvl w:val="2"/>
          <w:numId w:val="8"/>
        </w:numPr>
        <w:spacing w:line="264" w:lineRule="auto"/>
        <w:ind w:left="1400" w:hanging="680"/>
        <w:rPr>
          <w:rFonts w:cs="Arial"/>
        </w:rPr>
      </w:pPr>
      <w:r w:rsidRPr="00785E13">
        <w:rPr>
          <w:rFonts w:cs="Arial"/>
        </w:rPr>
        <w:t>If a project’s facilities are deemed by a responsible authority to be in an unrectified material breach of compliance, the project</w:t>
      </w:r>
      <w:r>
        <w:rPr>
          <w:rFonts w:cs="Arial"/>
        </w:rPr>
        <w:t>’s facilities</w:t>
      </w:r>
      <w:r w:rsidRPr="00785E13">
        <w:rPr>
          <w:rFonts w:cs="Arial"/>
        </w:rPr>
        <w:t xml:space="preserve"> should be required by the responsible </w:t>
      </w:r>
      <w:r w:rsidRPr="00785E13">
        <w:rPr>
          <w:rFonts w:cs="Arial"/>
        </w:rPr>
        <w:lastRenderedPageBreak/>
        <w:t>compliance authority to cease operating or curtail the non-compliant facilities until the non-compliance root causes are determined, rectified</w:t>
      </w:r>
      <w:r w:rsidR="00BB60FD">
        <w:rPr>
          <w:rFonts w:cs="Arial"/>
        </w:rPr>
        <w:t>,</w:t>
      </w:r>
      <w:r w:rsidRPr="00785E13">
        <w:rPr>
          <w:rFonts w:cs="Arial"/>
        </w:rPr>
        <w:t xml:space="preserve"> and compliance is then achieved</w:t>
      </w:r>
      <w:r>
        <w:rPr>
          <w:rFonts w:cs="Arial"/>
        </w:rPr>
        <w:t>.</w:t>
      </w:r>
    </w:p>
    <w:p w14:paraId="77788039" w14:textId="77777777" w:rsidR="00C66F7A" w:rsidRPr="00785E13" w:rsidRDefault="00C66F7A" w:rsidP="00C66F7A">
      <w:pPr>
        <w:pStyle w:val="ListParagraph"/>
        <w:numPr>
          <w:ilvl w:val="2"/>
          <w:numId w:val="8"/>
        </w:numPr>
        <w:spacing w:line="264" w:lineRule="auto"/>
        <w:ind w:left="1400" w:hanging="680"/>
        <w:rPr>
          <w:rFonts w:cs="Arial"/>
        </w:rPr>
      </w:pPr>
      <w:r w:rsidRPr="002A6FB5">
        <w:t xml:space="preserve">The Federal Government </w:t>
      </w:r>
      <w:r>
        <w:t>c</w:t>
      </w:r>
      <w:r w:rsidRPr="002A6FB5">
        <w:t xml:space="preserve">ould review the compliance enforcement powers and actions that may be taken by the Clean Energy Regulator in the event of a suspected or </w:t>
      </w:r>
      <w:r>
        <w:t xml:space="preserve">confirmed </w:t>
      </w:r>
      <w:r w:rsidRPr="002A6FB5">
        <w:t>unrectified material breach of compliance</w:t>
      </w:r>
      <w:r>
        <w:t>, including the Regulator’s ability to directly take punitive actions against a non-compliant project.</w:t>
      </w:r>
    </w:p>
    <w:p w14:paraId="64DC02D1" w14:textId="53014EF8" w:rsidR="00C66F7A" w:rsidRDefault="00C66F7A" w:rsidP="00C66F7A">
      <w:pPr>
        <w:pStyle w:val="ListParagraph"/>
        <w:numPr>
          <w:ilvl w:val="2"/>
          <w:numId w:val="8"/>
        </w:numPr>
        <w:spacing w:line="264" w:lineRule="auto"/>
        <w:ind w:left="1400" w:hanging="680"/>
        <w:rPr>
          <w:rFonts w:cs="Arial"/>
        </w:rPr>
      </w:pPr>
      <w:r w:rsidRPr="00FC45E9">
        <w:rPr>
          <w:rFonts w:cs="Arial"/>
        </w:rPr>
        <w:t>Governments should consider reviewing the primary standards across all jurisdictions</w:t>
      </w:r>
      <w:r>
        <w:rPr>
          <w:rFonts w:cs="Arial"/>
        </w:rPr>
        <w:t>, such as</w:t>
      </w:r>
      <w:r w:rsidRPr="00FC45E9">
        <w:rPr>
          <w:rFonts w:cs="Arial"/>
        </w:rPr>
        <w:t xml:space="preserve"> noise limits and setback distances</w:t>
      </w:r>
      <w:r>
        <w:rPr>
          <w:rFonts w:cs="Arial"/>
        </w:rPr>
        <w:t xml:space="preserve"> for projects and associated infrastructure.</w:t>
      </w:r>
      <w:r w:rsidRPr="00FC45E9">
        <w:rPr>
          <w:rFonts w:cs="Arial"/>
        </w:rPr>
        <w:t xml:space="preserve"> Protocols should be developed and </w:t>
      </w:r>
      <w:r w:rsidR="00BB60FD">
        <w:rPr>
          <w:rFonts w:cs="Arial"/>
        </w:rPr>
        <w:t xml:space="preserve">put </w:t>
      </w:r>
      <w:r w:rsidRPr="00FC45E9">
        <w:rPr>
          <w:rFonts w:cs="Arial"/>
        </w:rPr>
        <w:t>in place to clarify</w:t>
      </w:r>
      <w:r w:rsidR="00BB60FD">
        <w:rPr>
          <w:rFonts w:cs="Arial"/>
        </w:rPr>
        <w:t xml:space="preserve"> the</w:t>
      </w:r>
      <w:r w:rsidRPr="00FC45E9">
        <w:rPr>
          <w:rFonts w:cs="Arial"/>
        </w:rPr>
        <w:t xml:space="preserve"> interpretation of </w:t>
      </w:r>
      <w:r>
        <w:rPr>
          <w:rFonts w:cs="Arial"/>
        </w:rPr>
        <w:t>‘</w:t>
      </w:r>
      <w:r w:rsidRPr="00FC45E9">
        <w:rPr>
          <w:rFonts w:cs="Arial"/>
        </w:rPr>
        <w:t>borrowed</w:t>
      </w:r>
      <w:r>
        <w:rPr>
          <w:rFonts w:cs="Arial"/>
        </w:rPr>
        <w:t>’</w:t>
      </w:r>
      <w:r w:rsidRPr="00FC45E9">
        <w:rPr>
          <w:rFonts w:cs="Arial"/>
        </w:rPr>
        <w:t xml:space="preserve"> noise standards</w:t>
      </w:r>
      <w:r>
        <w:rPr>
          <w:rFonts w:cs="Arial"/>
        </w:rPr>
        <w:t xml:space="preserve"> from other jurisdictions</w:t>
      </w:r>
      <w:r w:rsidRPr="00FC45E9">
        <w:rPr>
          <w:rFonts w:cs="Arial"/>
        </w:rPr>
        <w:t>.</w:t>
      </w:r>
    </w:p>
    <w:p w14:paraId="6764EC5B" w14:textId="77777777" w:rsidR="00C66F7A" w:rsidRPr="00E21C48" w:rsidRDefault="00C66F7A" w:rsidP="00C66F7A">
      <w:pPr>
        <w:pStyle w:val="ListParagraph"/>
        <w:numPr>
          <w:ilvl w:val="3"/>
          <w:numId w:val="8"/>
        </w:numPr>
        <w:spacing w:line="264" w:lineRule="auto"/>
        <w:ind w:left="1985" w:hanging="905"/>
        <w:rPr>
          <w:rFonts w:cs="Arial"/>
        </w:rPr>
      </w:pPr>
      <w:r w:rsidRPr="00E21C48">
        <w:rPr>
          <w:rFonts w:cs="Arial"/>
        </w:rPr>
        <w:t>Based on current observations and the findings of the World Health Organi</w:t>
      </w:r>
      <w:r>
        <w:rPr>
          <w:rFonts w:cs="Arial"/>
        </w:rPr>
        <w:t>z</w:t>
      </w:r>
      <w:r w:rsidRPr="00E21C48">
        <w:rPr>
          <w:rFonts w:cs="Arial"/>
        </w:rPr>
        <w:t>ation, it would appear that an appropriate level for a consistent wind farm noise limit would be 35 dB(A)</w:t>
      </w:r>
      <w:r w:rsidRPr="00E21C48">
        <w:rPr>
          <w:rStyle w:val="FootnoteReference"/>
          <w:rFonts w:cs="Arial"/>
        </w:rPr>
        <w:footnoteReference w:customMarkFollows="1" w:id="8"/>
        <w:t>*</w:t>
      </w:r>
      <w:r w:rsidRPr="00E21C48">
        <w:rPr>
          <w:rFonts w:cs="Arial"/>
        </w:rPr>
        <w:t xml:space="preserve">, measured </w:t>
      </w:r>
      <w:r>
        <w:rPr>
          <w:rFonts w:cs="Arial"/>
        </w:rPr>
        <w:t xml:space="preserve">approximately 20 metres </w:t>
      </w:r>
      <w:r w:rsidRPr="00E21C48">
        <w:rPr>
          <w:rFonts w:cs="Arial"/>
        </w:rPr>
        <w:t>outside of the residence</w:t>
      </w:r>
      <w:r>
        <w:rPr>
          <w:rFonts w:cs="Arial"/>
        </w:rPr>
        <w:t xml:space="preserve"> towards the wind farm</w:t>
      </w:r>
      <w:r w:rsidRPr="00E21C48">
        <w:rPr>
          <w:rFonts w:cs="Arial"/>
        </w:rPr>
        <w:t>.</w:t>
      </w:r>
      <w:r>
        <w:rPr>
          <w:rFonts w:cs="Arial"/>
        </w:rPr>
        <w:t xml:space="preserve"> Noise standards that specify ‘high’ and ‘low’ amenity noise level limits must have clear guidance that define when and where those limits are applicable.</w:t>
      </w:r>
      <w:r w:rsidRPr="00E21C48">
        <w:rPr>
          <w:rFonts w:cs="Arial"/>
        </w:rPr>
        <w:t xml:space="preserve">  </w:t>
      </w:r>
    </w:p>
    <w:p w14:paraId="25CC567F" w14:textId="523B9F2B" w:rsidR="00C66F7A" w:rsidRDefault="00C66F7A" w:rsidP="00C66F7A">
      <w:pPr>
        <w:pStyle w:val="ListParagraph"/>
        <w:numPr>
          <w:ilvl w:val="3"/>
          <w:numId w:val="8"/>
        </w:numPr>
        <w:spacing w:line="264" w:lineRule="auto"/>
        <w:ind w:left="1985" w:hanging="905"/>
        <w:rPr>
          <w:rFonts w:cs="Arial"/>
        </w:rPr>
      </w:pPr>
      <w:r w:rsidRPr="00FC45E9">
        <w:rPr>
          <w:rFonts w:cs="Arial"/>
        </w:rPr>
        <w:t>Applied penalties for specific noise conditions</w:t>
      </w:r>
      <w:r>
        <w:rPr>
          <w:rFonts w:cs="Arial"/>
        </w:rPr>
        <w:t>,</w:t>
      </w:r>
      <w:r w:rsidRPr="00FC45E9">
        <w:rPr>
          <w:rFonts w:cs="Arial"/>
        </w:rPr>
        <w:t xml:space="preserve"> such as tonality and special audible characteristics</w:t>
      </w:r>
      <w:r>
        <w:rPr>
          <w:rFonts w:cs="Arial"/>
        </w:rPr>
        <w:t>,</w:t>
      </w:r>
      <w:r w:rsidRPr="00FC45E9">
        <w:rPr>
          <w:rFonts w:cs="Arial"/>
        </w:rPr>
        <w:t xml:space="preserve"> </w:t>
      </w:r>
      <w:r>
        <w:rPr>
          <w:rFonts w:cs="Arial"/>
        </w:rPr>
        <w:t xml:space="preserve">continue to </w:t>
      </w:r>
      <w:r w:rsidRPr="00FC45E9">
        <w:rPr>
          <w:rFonts w:cs="Arial"/>
        </w:rPr>
        <w:t>be set at 5 dB(A)</w:t>
      </w:r>
      <w:r w:rsidR="00BB60FD">
        <w:rPr>
          <w:rFonts w:cs="Arial"/>
        </w:rPr>
        <w:t>.</w:t>
      </w:r>
      <w:r w:rsidRPr="00FC45E9">
        <w:rPr>
          <w:rFonts w:cs="Arial"/>
        </w:rPr>
        <w:t xml:space="preserve"> </w:t>
      </w:r>
      <w:r w:rsidR="00BB60FD">
        <w:rPr>
          <w:rFonts w:cs="Arial"/>
        </w:rPr>
        <w:t>H</w:t>
      </w:r>
      <w:r w:rsidRPr="00FC45E9">
        <w:rPr>
          <w:rFonts w:cs="Arial"/>
        </w:rPr>
        <w:t>owever</w:t>
      </w:r>
      <w:r w:rsidR="00BB60FD">
        <w:rPr>
          <w:rFonts w:cs="Arial"/>
        </w:rPr>
        <w:t>,</w:t>
      </w:r>
      <w:r w:rsidRPr="00FC45E9">
        <w:rPr>
          <w:rFonts w:cs="Arial"/>
        </w:rPr>
        <w:t xml:space="preserve"> such noise complaints should also be assessed on a subjective and reasonableness test </w:t>
      </w:r>
      <w:r>
        <w:rPr>
          <w:rFonts w:cs="Arial"/>
        </w:rPr>
        <w:t xml:space="preserve">at the receiver’s location </w:t>
      </w:r>
      <w:r w:rsidRPr="00FC45E9">
        <w:rPr>
          <w:rFonts w:cs="Arial"/>
        </w:rPr>
        <w:t xml:space="preserve">by an approved, independent expert. </w:t>
      </w:r>
    </w:p>
    <w:p w14:paraId="2B1F0E25" w14:textId="559C3415" w:rsidR="00C66F7A" w:rsidRDefault="00C66F7A" w:rsidP="00C66F7A">
      <w:pPr>
        <w:pStyle w:val="ListParagraph"/>
        <w:numPr>
          <w:ilvl w:val="3"/>
          <w:numId w:val="8"/>
        </w:numPr>
        <w:spacing w:line="264" w:lineRule="auto"/>
        <w:ind w:left="1985" w:hanging="905"/>
        <w:rPr>
          <w:rFonts w:cs="Arial"/>
        </w:rPr>
      </w:pPr>
      <w:r>
        <w:rPr>
          <w:rFonts w:cs="Arial"/>
        </w:rPr>
        <w:t>A</w:t>
      </w:r>
      <w:r w:rsidRPr="00FC45E9">
        <w:rPr>
          <w:rFonts w:cs="Arial"/>
        </w:rPr>
        <w:t xml:space="preserve"> </w:t>
      </w:r>
      <w:r>
        <w:rPr>
          <w:rFonts w:cs="Arial"/>
        </w:rPr>
        <w:t>default</w:t>
      </w:r>
      <w:r w:rsidRPr="00FC45E9">
        <w:rPr>
          <w:rFonts w:cs="Arial"/>
        </w:rPr>
        <w:t xml:space="preserve"> setback distance of 1.5 km between a residence </w:t>
      </w:r>
      <w:r>
        <w:rPr>
          <w:rFonts w:cs="Arial"/>
        </w:rPr>
        <w:t xml:space="preserve">or dwelling </w:t>
      </w:r>
      <w:r w:rsidRPr="00FC45E9">
        <w:rPr>
          <w:rFonts w:cs="Arial"/>
        </w:rPr>
        <w:t xml:space="preserve">and the nearest </w:t>
      </w:r>
      <w:r>
        <w:rPr>
          <w:rFonts w:cs="Arial"/>
        </w:rPr>
        <w:t xml:space="preserve">wind </w:t>
      </w:r>
      <w:r w:rsidRPr="00FC45E9">
        <w:rPr>
          <w:rFonts w:cs="Arial"/>
        </w:rPr>
        <w:t xml:space="preserve">turbine </w:t>
      </w:r>
      <w:r>
        <w:rPr>
          <w:rFonts w:cs="Arial"/>
        </w:rPr>
        <w:t xml:space="preserve">– for </w:t>
      </w:r>
      <w:r w:rsidRPr="00FC45E9">
        <w:rPr>
          <w:rFonts w:cs="Arial"/>
        </w:rPr>
        <w:t xml:space="preserve">turbines with a tip height of </w:t>
      </w:r>
      <w:r>
        <w:rPr>
          <w:rFonts w:cs="Arial"/>
        </w:rPr>
        <w:t xml:space="preserve">up to </w:t>
      </w:r>
      <w:r w:rsidRPr="00FC45E9">
        <w:rPr>
          <w:rFonts w:cs="Arial"/>
        </w:rPr>
        <w:t>200</w:t>
      </w:r>
      <w:r>
        <w:rPr>
          <w:rFonts w:cs="Arial"/>
        </w:rPr>
        <w:t xml:space="preserve"> </w:t>
      </w:r>
      <w:r w:rsidRPr="00FC45E9">
        <w:rPr>
          <w:rFonts w:cs="Arial"/>
        </w:rPr>
        <w:t>m</w:t>
      </w:r>
      <w:r>
        <w:rPr>
          <w:rFonts w:cs="Arial"/>
        </w:rPr>
        <w:t>etres. For tip heights greater than 200 metres, a</w:t>
      </w:r>
      <w:r w:rsidRPr="00FC45E9">
        <w:rPr>
          <w:rFonts w:cs="Arial"/>
        </w:rPr>
        <w:t xml:space="preserve"> </w:t>
      </w:r>
      <w:r>
        <w:rPr>
          <w:rFonts w:cs="Arial"/>
        </w:rPr>
        <w:t xml:space="preserve">longer </w:t>
      </w:r>
      <w:r w:rsidRPr="00FC45E9">
        <w:rPr>
          <w:rFonts w:cs="Arial"/>
        </w:rPr>
        <w:t xml:space="preserve">setback distance may be more appropriate to </w:t>
      </w:r>
      <w:r>
        <w:rPr>
          <w:rFonts w:cs="Arial"/>
        </w:rPr>
        <w:t xml:space="preserve">accommodate increased </w:t>
      </w:r>
      <w:r w:rsidRPr="00FC45E9">
        <w:rPr>
          <w:rFonts w:cs="Arial"/>
        </w:rPr>
        <w:t xml:space="preserve">visual amenity impacts. </w:t>
      </w:r>
      <w:r>
        <w:rPr>
          <w:rFonts w:cs="Arial"/>
        </w:rPr>
        <w:t xml:space="preserve">Local topography, existing trees and </w:t>
      </w:r>
      <w:r w:rsidR="00BB60FD">
        <w:rPr>
          <w:rFonts w:cs="Arial"/>
        </w:rPr>
        <w:t>vegetation, as</w:t>
      </w:r>
      <w:r>
        <w:rPr>
          <w:rFonts w:cs="Arial"/>
        </w:rPr>
        <w:t xml:space="preserve"> well as terrain</w:t>
      </w:r>
      <w:r w:rsidR="00642F84">
        <w:rPr>
          <w:rFonts w:cs="Arial"/>
        </w:rPr>
        <w:t>,</w:t>
      </w:r>
      <w:r>
        <w:rPr>
          <w:rFonts w:cs="Arial"/>
        </w:rPr>
        <w:t xml:space="preserve"> need to be also considered when applying any default setback measures.</w:t>
      </w:r>
    </w:p>
    <w:p w14:paraId="616E6A45" w14:textId="77777777" w:rsidR="00C66F7A" w:rsidRDefault="00C66F7A" w:rsidP="00C66F7A">
      <w:pPr>
        <w:pStyle w:val="ListParagraph"/>
        <w:numPr>
          <w:ilvl w:val="3"/>
          <w:numId w:val="8"/>
        </w:numPr>
        <w:spacing w:line="264" w:lineRule="auto"/>
        <w:ind w:left="1985" w:hanging="905"/>
        <w:rPr>
          <w:rFonts w:cs="Arial"/>
        </w:rPr>
      </w:pPr>
      <w:r w:rsidRPr="00FC45E9">
        <w:rPr>
          <w:rFonts w:cs="Arial"/>
        </w:rPr>
        <w:t xml:space="preserve">In addition to a setback distance between a turbine and a residence, a </w:t>
      </w:r>
      <w:r>
        <w:rPr>
          <w:rFonts w:cs="Arial"/>
        </w:rPr>
        <w:t>minimum default setback distance of 200 metres</w:t>
      </w:r>
      <w:r w:rsidRPr="00FC45E9">
        <w:rPr>
          <w:rFonts w:cs="Arial"/>
        </w:rPr>
        <w:t xml:space="preserve"> </w:t>
      </w:r>
      <w:r>
        <w:rPr>
          <w:rFonts w:cs="Arial"/>
        </w:rPr>
        <w:t>(as measured at ground level from the centre of the tower or 150 metres</w:t>
      </w:r>
      <w:r w:rsidRPr="00FC45E9">
        <w:rPr>
          <w:rFonts w:cs="Arial"/>
        </w:rPr>
        <w:t xml:space="preserve"> from the extended horizontal blade tip, whichever is the greater) </w:t>
      </w:r>
      <w:r w:rsidRPr="003C0896">
        <w:rPr>
          <w:rFonts w:cs="Arial"/>
        </w:rPr>
        <w:t>and a neighbour’s boundary fence line or public road carriageway, should also be considered</w:t>
      </w:r>
      <w:r>
        <w:rPr>
          <w:rFonts w:cs="Arial"/>
        </w:rPr>
        <w:t xml:space="preserve"> to mitigate potential amenity impacts safety risks</w:t>
      </w:r>
      <w:r w:rsidRPr="00AF0A20">
        <w:rPr>
          <w:rFonts w:cs="Arial"/>
        </w:rPr>
        <w:t>.</w:t>
      </w:r>
      <w:r>
        <w:rPr>
          <w:rFonts w:cs="Arial"/>
        </w:rPr>
        <w:t xml:space="preserve"> An appropriate risk assessment should be considered for setbacks from roads, particularly for low use roads, which may support a reduced setback distance.</w:t>
      </w:r>
    </w:p>
    <w:p w14:paraId="63EFC82F" w14:textId="77777777" w:rsidR="00C66F7A" w:rsidRPr="0079034D" w:rsidRDefault="00C66F7A" w:rsidP="00C66F7A">
      <w:pPr>
        <w:pStyle w:val="ListParagraph"/>
        <w:numPr>
          <w:ilvl w:val="3"/>
          <w:numId w:val="8"/>
        </w:numPr>
        <w:spacing w:line="264" w:lineRule="auto"/>
        <w:ind w:left="1985" w:hanging="905"/>
        <w:rPr>
          <w:rFonts w:cs="Arial"/>
        </w:rPr>
      </w:pPr>
      <w:r w:rsidRPr="0079034D">
        <w:rPr>
          <w:rFonts w:cs="Arial"/>
        </w:rPr>
        <w:t xml:space="preserve">In relation to </w:t>
      </w:r>
      <w:r>
        <w:rPr>
          <w:rFonts w:cs="Arial"/>
        </w:rPr>
        <w:t xml:space="preserve">private </w:t>
      </w:r>
      <w:r w:rsidRPr="0079034D">
        <w:rPr>
          <w:rFonts w:cs="Arial"/>
        </w:rPr>
        <w:t>transmission lines</w:t>
      </w:r>
      <w:r>
        <w:rPr>
          <w:rFonts w:cs="Arial"/>
        </w:rPr>
        <w:t xml:space="preserve"> (typically, private power lines connecting the generation/storage asset to the grid)</w:t>
      </w:r>
      <w:r w:rsidRPr="0079034D">
        <w:rPr>
          <w:rFonts w:cs="Arial"/>
        </w:rPr>
        <w:t xml:space="preserve">, a </w:t>
      </w:r>
      <w:r>
        <w:rPr>
          <w:rFonts w:cs="Arial"/>
        </w:rPr>
        <w:t xml:space="preserve">transmission </w:t>
      </w:r>
      <w:r w:rsidRPr="0079034D">
        <w:rPr>
          <w:rFonts w:cs="Arial"/>
        </w:rPr>
        <w:t xml:space="preserve">line that is </w:t>
      </w:r>
      <w:r>
        <w:rPr>
          <w:rFonts w:cs="Arial"/>
        </w:rPr>
        <w:t xml:space="preserve">66kV or </w:t>
      </w:r>
      <w:r w:rsidRPr="0079034D">
        <w:rPr>
          <w:rFonts w:cs="Arial"/>
        </w:rPr>
        <w:t xml:space="preserve">less than 220kV should have a </w:t>
      </w:r>
      <w:r>
        <w:rPr>
          <w:rFonts w:cs="Arial"/>
        </w:rPr>
        <w:t xml:space="preserve">minimum </w:t>
      </w:r>
      <w:r w:rsidRPr="0079034D">
        <w:rPr>
          <w:rFonts w:cs="Arial"/>
        </w:rPr>
        <w:t xml:space="preserve">setback </w:t>
      </w:r>
      <w:r>
        <w:rPr>
          <w:rFonts w:cs="Arial"/>
        </w:rPr>
        <w:t xml:space="preserve">distance </w:t>
      </w:r>
      <w:r w:rsidRPr="0079034D">
        <w:rPr>
          <w:rFonts w:cs="Arial"/>
        </w:rPr>
        <w:t>of 100 metres from a residence</w:t>
      </w:r>
      <w:r>
        <w:rPr>
          <w:rFonts w:cs="Arial"/>
        </w:rPr>
        <w:t>, while</w:t>
      </w:r>
      <w:r w:rsidRPr="0079034D">
        <w:rPr>
          <w:rFonts w:cs="Arial"/>
        </w:rPr>
        <w:t xml:space="preserve"> a </w:t>
      </w:r>
      <w:r>
        <w:rPr>
          <w:rFonts w:cs="Arial"/>
        </w:rPr>
        <w:t xml:space="preserve">transmission </w:t>
      </w:r>
      <w:r w:rsidRPr="0079034D">
        <w:rPr>
          <w:rFonts w:cs="Arial"/>
        </w:rPr>
        <w:t>line that is 220</w:t>
      </w:r>
      <w:r>
        <w:rPr>
          <w:rFonts w:cs="Arial"/>
        </w:rPr>
        <w:t xml:space="preserve">kV </w:t>
      </w:r>
      <w:r w:rsidRPr="0079034D">
        <w:rPr>
          <w:rFonts w:cs="Arial"/>
        </w:rPr>
        <w:t xml:space="preserve">or greater should have a </w:t>
      </w:r>
      <w:r>
        <w:rPr>
          <w:rFonts w:cs="Arial"/>
        </w:rPr>
        <w:t xml:space="preserve">minimum </w:t>
      </w:r>
      <w:r w:rsidRPr="0079034D">
        <w:rPr>
          <w:rFonts w:cs="Arial"/>
        </w:rPr>
        <w:t xml:space="preserve">setback </w:t>
      </w:r>
      <w:r>
        <w:rPr>
          <w:rFonts w:cs="Arial"/>
        </w:rPr>
        <w:t xml:space="preserve">distance </w:t>
      </w:r>
      <w:r w:rsidRPr="0079034D">
        <w:rPr>
          <w:rFonts w:cs="Arial"/>
        </w:rPr>
        <w:t>of 200 </w:t>
      </w:r>
      <w:r w:rsidRPr="00161CB1">
        <w:rPr>
          <w:rFonts w:cs="Arial"/>
        </w:rPr>
        <w:t>metres</w:t>
      </w:r>
      <w:r w:rsidRPr="00C42CF2">
        <w:rPr>
          <w:rFonts w:cs="Arial"/>
        </w:rPr>
        <w:t>. In the event that the connecting transmission line is 500kV, the setback distance should be 300 metres. The setback distance should be measured from the edge of the transmission line easement to the residence. Transmission line towers should also be set back from public roads, with the suggested setback distance of the transmission line towers measured as the tower height plus 20 metres.</w:t>
      </w:r>
    </w:p>
    <w:p w14:paraId="00DF9B3B" w14:textId="77777777" w:rsidR="00C66F7A" w:rsidRPr="00FC45E9" w:rsidRDefault="00C66F7A" w:rsidP="00C66F7A">
      <w:pPr>
        <w:pStyle w:val="ListParagraph"/>
        <w:numPr>
          <w:ilvl w:val="3"/>
          <w:numId w:val="8"/>
        </w:numPr>
        <w:spacing w:line="264" w:lineRule="auto"/>
        <w:ind w:left="1985" w:hanging="905"/>
        <w:rPr>
          <w:rFonts w:cs="Arial"/>
        </w:rPr>
      </w:pPr>
      <w:r>
        <w:rPr>
          <w:rFonts w:cs="Arial"/>
        </w:rPr>
        <w:t>C</w:t>
      </w:r>
      <w:r w:rsidRPr="00FC45E9">
        <w:rPr>
          <w:rFonts w:cs="Arial"/>
        </w:rPr>
        <w:t xml:space="preserve">onsideration should be given to setback distances between a wind farm and a </w:t>
      </w:r>
      <w:r>
        <w:rPr>
          <w:rFonts w:cs="Arial"/>
        </w:rPr>
        <w:t xml:space="preserve">materially populated </w:t>
      </w:r>
      <w:r w:rsidRPr="00FC45E9">
        <w:rPr>
          <w:rFonts w:cs="Arial"/>
        </w:rPr>
        <w:t xml:space="preserve">township or city boundary. A distance of 5 km may be appropriate to preserve amenity and provide some flexibility for planning growth of the township </w:t>
      </w:r>
      <w:r>
        <w:rPr>
          <w:rFonts w:cs="Arial"/>
        </w:rPr>
        <w:lastRenderedPageBreak/>
        <w:t>C</w:t>
      </w:r>
      <w:r w:rsidRPr="00FC45E9">
        <w:rPr>
          <w:rFonts w:cs="Arial"/>
        </w:rPr>
        <w:t xml:space="preserve">onsideration of </w:t>
      </w:r>
      <w:r>
        <w:rPr>
          <w:rFonts w:cs="Arial"/>
        </w:rPr>
        <w:t xml:space="preserve">reducing </w:t>
      </w:r>
      <w:r w:rsidRPr="00FC45E9">
        <w:rPr>
          <w:rFonts w:cs="Arial"/>
        </w:rPr>
        <w:t xml:space="preserve">these </w:t>
      </w:r>
      <w:r>
        <w:rPr>
          <w:rFonts w:cs="Arial"/>
        </w:rPr>
        <w:t xml:space="preserve">suggested </w:t>
      </w:r>
      <w:r w:rsidRPr="00FC45E9">
        <w:rPr>
          <w:rFonts w:cs="Arial"/>
        </w:rPr>
        <w:t>setback provisions may be appropriate in the case of a small-scale, community-supported and owned wind energy facility.</w:t>
      </w:r>
    </w:p>
    <w:p w14:paraId="1D52C5FB" w14:textId="6486E7BD"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The noise assessment design and compliance testing conditions should include assessment and testing of the </w:t>
      </w:r>
      <w:r>
        <w:rPr>
          <w:rFonts w:cs="Arial"/>
        </w:rPr>
        <w:t>project</w:t>
      </w:r>
      <w:r w:rsidRPr="00FC45E9">
        <w:rPr>
          <w:rFonts w:cs="Arial"/>
        </w:rPr>
        <w:t>’s electrical infrastructure (transformers, substations, backup generators etc.) and noise levels from these sources need to be compliant with the applicable standards.</w:t>
      </w:r>
      <w:r>
        <w:rPr>
          <w:rFonts w:cs="Arial"/>
        </w:rPr>
        <w:t xml:space="preserve"> </w:t>
      </w:r>
    </w:p>
    <w:p w14:paraId="0B81F3B9" w14:textId="26751CE5" w:rsidR="00C66F7A" w:rsidRDefault="00C66F7A" w:rsidP="00C66F7A">
      <w:pPr>
        <w:pStyle w:val="ListParagraph"/>
        <w:numPr>
          <w:ilvl w:val="2"/>
          <w:numId w:val="8"/>
        </w:numPr>
        <w:spacing w:line="264" w:lineRule="auto"/>
        <w:ind w:left="1400" w:hanging="680"/>
        <w:rPr>
          <w:rFonts w:cs="Arial"/>
        </w:rPr>
      </w:pPr>
      <w:r w:rsidRPr="00D80E3A">
        <w:rPr>
          <w:rFonts w:cs="Arial"/>
        </w:rPr>
        <w:t>A setback distance between a residence and other infrastructure associated with the project, should also be considered to help alleviate visual amenity</w:t>
      </w:r>
      <w:r>
        <w:rPr>
          <w:rFonts w:cs="Arial"/>
        </w:rPr>
        <w:t xml:space="preserve">, noise and other environmental </w:t>
      </w:r>
      <w:r w:rsidRPr="00D80E3A">
        <w:rPr>
          <w:rFonts w:cs="Arial"/>
        </w:rPr>
        <w:t>impacts. Th</w:t>
      </w:r>
      <w:r>
        <w:rPr>
          <w:rFonts w:cs="Arial"/>
        </w:rPr>
        <w:t>ese</w:t>
      </w:r>
      <w:r w:rsidRPr="00D80E3A">
        <w:rPr>
          <w:rFonts w:cs="Arial"/>
        </w:rPr>
        <w:t xml:space="preserve"> include a s</w:t>
      </w:r>
      <w:r w:rsidRPr="00D80E3A">
        <w:rPr>
          <w:rFonts w:eastAsiaTheme="minorHAnsi" w:cs="Arial"/>
          <w:color w:val="000000"/>
        </w:rPr>
        <w:t>etback distance between a residence and</w:t>
      </w:r>
      <w:r w:rsidR="00642F84">
        <w:rPr>
          <w:rFonts w:eastAsiaTheme="minorHAnsi" w:cs="Arial"/>
          <w:color w:val="000000"/>
        </w:rPr>
        <w:t xml:space="preserve"> a</w:t>
      </w:r>
      <w:r w:rsidRPr="00D80E3A">
        <w:rPr>
          <w:rFonts w:eastAsiaTheme="minorHAnsi" w:cs="Arial"/>
          <w:color w:val="000000"/>
        </w:rPr>
        <w:t xml:space="preserve"> major transformer or generation infrastructure, such as a terminal substation. </w:t>
      </w:r>
      <w:r w:rsidRPr="00D80E3A">
        <w:rPr>
          <w:rFonts w:cs="Arial"/>
        </w:rPr>
        <w:t xml:space="preserve">Where possible, </w:t>
      </w:r>
      <w:r>
        <w:rPr>
          <w:rFonts w:cs="Arial"/>
        </w:rPr>
        <w:t xml:space="preserve">project related </w:t>
      </w:r>
      <w:r w:rsidRPr="00D80E3A">
        <w:rPr>
          <w:rFonts w:cs="Arial"/>
        </w:rPr>
        <w:t>transmission infrastructure should be placed underground and/or well away from residences and road reserves</w:t>
      </w:r>
      <w:r>
        <w:rPr>
          <w:rFonts w:cs="Arial"/>
        </w:rPr>
        <w:t xml:space="preserve"> (see also Recommendation 5.2.9.5)</w:t>
      </w:r>
      <w:r w:rsidRPr="00D80E3A">
        <w:rPr>
          <w:rFonts w:cs="Arial"/>
        </w:rPr>
        <w:t xml:space="preserve">. </w:t>
      </w:r>
    </w:p>
    <w:p w14:paraId="136FAE67" w14:textId="75E251DB" w:rsidR="00C66F7A" w:rsidRPr="00FC45E9" w:rsidRDefault="00C66F7A" w:rsidP="00C66F7A">
      <w:pPr>
        <w:pStyle w:val="ListParagraph"/>
        <w:numPr>
          <w:ilvl w:val="2"/>
          <w:numId w:val="8"/>
        </w:numPr>
        <w:spacing w:line="264" w:lineRule="auto"/>
        <w:ind w:left="1400" w:hanging="680"/>
        <w:rPr>
          <w:rFonts w:cs="Arial"/>
        </w:rPr>
      </w:pPr>
      <w:r>
        <w:rPr>
          <w:rFonts w:cs="Arial"/>
        </w:rPr>
        <w:t>Private transmission p</w:t>
      </w:r>
      <w:r w:rsidRPr="00FC45E9">
        <w:rPr>
          <w:rFonts w:cs="Arial"/>
        </w:rPr>
        <w:t xml:space="preserve">ower poles installed </w:t>
      </w:r>
      <w:r>
        <w:rPr>
          <w:rFonts w:cs="Arial"/>
        </w:rPr>
        <w:t xml:space="preserve">along a </w:t>
      </w:r>
      <w:r w:rsidRPr="00FC45E9">
        <w:rPr>
          <w:rFonts w:cs="Arial"/>
        </w:rPr>
        <w:t xml:space="preserve">road reserve must comply with relevant </w:t>
      </w:r>
      <w:r>
        <w:rPr>
          <w:rFonts w:cs="Arial"/>
        </w:rPr>
        <w:t xml:space="preserve">road safety </w:t>
      </w:r>
      <w:r w:rsidRPr="00FC45E9">
        <w:rPr>
          <w:rFonts w:cs="Arial"/>
        </w:rPr>
        <w:t xml:space="preserve">standards and guidelines for setback distances from the carriageway </w:t>
      </w:r>
      <w:r w:rsidR="00642F84">
        <w:rPr>
          <w:rFonts w:cs="Arial"/>
        </w:rPr>
        <w:t xml:space="preserve">and </w:t>
      </w:r>
      <w:r w:rsidRPr="00FC45E9">
        <w:rPr>
          <w:rFonts w:cs="Arial"/>
        </w:rPr>
        <w:t xml:space="preserve">comply with any </w:t>
      </w:r>
      <w:r>
        <w:rPr>
          <w:rFonts w:cs="Arial"/>
        </w:rPr>
        <w:t xml:space="preserve">other </w:t>
      </w:r>
      <w:r w:rsidRPr="00FC45E9">
        <w:rPr>
          <w:rFonts w:cs="Arial"/>
        </w:rPr>
        <w:t>road safety</w:t>
      </w:r>
      <w:r>
        <w:rPr>
          <w:rFonts w:cs="Arial"/>
        </w:rPr>
        <w:t xml:space="preserve"> treatment</w:t>
      </w:r>
      <w:r w:rsidRPr="00FC45E9">
        <w:rPr>
          <w:rFonts w:cs="Arial"/>
        </w:rPr>
        <w:t xml:space="preserve"> requirements and barrier specifications</w:t>
      </w:r>
      <w:r>
        <w:rPr>
          <w:rFonts w:cs="Arial"/>
        </w:rPr>
        <w:t xml:space="preserve">. Power pole </w:t>
      </w:r>
      <w:r w:rsidRPr="00FC45E9">
        <w:rPr>
          <w:rFonts w:cs="Arial"/>
        </w:rPr>
        <w:t>locations must be pre-approved by the responsible authority.</w:t>
      </w:r>
    </w:p>
    <w:p w14:paraId="3E826B5D" w14:textId="066B4881" w:rsidR="00C66F7A" w:rsidRPr="00D80E3A" w:rsidRDefault="00C66F7A" w:rsidP="00C66F7A">
      <w:pPr>
        <w:pStyle w:val="ListParagraph"/>
        <w:numPr>
          <w:ilvl w:val="2"/>
          <w:numId w:val="8"/>
        </w:numPr>
        <w:spacing w:line="264" w:lineRule="auto"/>
        <w:ind w:left="1400" w:hanging="680"/>
        <w:rPr>
          <w:rFonts w:cs="Arial"/>
        </w:rPr>
      </w:pPr>
      <w:r w:rsidRPr="00D80E3A">
        <w:rPr>
          <w:rFonts w:cs="Arial"/>
        </w:rPr>
        <w:t xml:space="preserve">Consideration should be given to </w:t>
      </w:r>
      <w:r>
        <w:rPr>
          <w:rFonts w:cs="Arial"/>
        </w:rPr>
        <w:t xml:space="preserve">reducing or eliminating </w:t>
      </w:r>
      <w:r w:rsidRPr="00D80E3A">
        <w:rPr>
          <w:rFonts w:cs="Arial"/>
        </w:rPr>
        <w:t xml:space="preserve">the current standards for </w:t>
      </w:r>
      <w:r>
        <w:rPr>
          <w:rFonts w:cs="Arial"/>
        </w:rPr>
        <w:t xml:space="preserve">wind turbine </w:t>
      </w:r>
      <w:r w:rsidRPr="00D80E3A">
        <w:rPr>
          <w:rFonts w:cs="Arial"/>
        </w:rPr>
        <w:t xml:space="preserve">shadow flicker. A typical standard at present is a limit of 30 hours of shadow flicker per year at a resident’s external window or garden area. A more appropriate standard </w:t>
      </w:r>
      <w:r>
        <w:rPr>
          <w:rFonts w:cs="Arial"/>
        </w:rPr>
        <w:t xml:space="preserve">could </w:t>
      </w:r>
      <w:r w:rsidRPr="00D80E3A">
        <w:rPr>
          <w:rFonts w:cs="Arial"/>
        </w:rPr>
        <w:t>be no more than a total 15 hours of actual shadow flicker per year at a residence</w:t>
      </w:r>
      <w:r w:rsidR="00642F84">
        <w:rPr>
          <w:rFonts w:cs="Arial"/>
        </w:rPr>
        <w:t xml:space="preserve">, </w:t>
      </w:r>
      <w:r w:rsidRPr="00D80E3A">
        <w:rPr>
          <w:rFonts w:cs="Arial"/>
        </w:rPr>
        <w:t>and no more than 30 minutes of shadow flicker should be experienced on a given day. Neighbours experiencing (or likely to experience) shadow flicker that is annoying should also be provided with the opportunity for having visual screening installed</w:t>
      </w:r>
      <w:r>
        <w:rPr>
          <w:rFonts w:cs="Arial"/>
        </w:rPr>
        <w:t xml:space="preserve"> as early as possible and/or be offered a Neighbour Agreement.</w:t>
      </w:r>
    </w:p>
    <w:p w14:paraId="2C5DAAFC" w14:textId="77777777" w:rsidR="00C66F7A" w:rsidRDefault="00C66F7A" w:rsidP="00C66F7A">
      <w:pPr>
        <w:pStyle w:val="ListParagraph"/>
        <w:numPr>
          <w:ilvl w:val="2"/>
          <w:numId w:val="8"/>
        </w:numPr>
        <w:spacing w:line="264" w:lineRule="auto"/>
        <w:ind w:left="1400" w:hanging="680"/>
        <w:rPr>
          <w:rFonts w:cs="Arial"/>
        </w:rPr>
      </w:pPr>
      <w:r w:rsidRPr="00FC45E9">
        <w:rPr>
          <w:rFonts w:cs="Arial"/>
        </w:rPr>
        <w:t>Final siting adjustments for turbines during construction (</w:t>
      </w:r>
      <w:r>
        <w:rPr>
          <w:rFonts w:cs="Arial"/>
        </w:rPr>
        <w:t>‘</w:t>
      </w:r>
      <w:r w:rsidRPr="00FC45E9">
        <w:rPr>
          <w:rFonts w:cs="Arial"/>
        </w:rPr>
        <w:t>micro-siting’) should be limited to a distance of no more than 100</w:t>
      </w:r>
      <w:r>
        <w:rPr>
          <w:rFonts w:cs="Arial"/>
        </w:rPr>
        <w:t xml:space="preserve"> metres</w:t>
      </w:r>
      <w:r w:rsidRPr="00FC45E9">
        <w:rPr>
          <w:rFonts w:cs="Arial"/>
        </w:rPr>
        <w:t xml:space="preserve"> from the approved sit</w:t>
      </w:r>
      <w:r>
        <w:rPr>
          <w:rFonts w:cs="Arial"/>
        </w:rPr>
        <w:t xml:space="preserve">ing </w:t>
      </w:r>
      <w:r w:rsidRPr="00FC45E9">
        <w:rPr>
          <w:rFonts w:cs="Arial"/>
        </w:rPr>
        <w:t>location</w:t>
      </w:r>
      <w:r>
        <w:rPr>
          <w:rFonts w:cs="Arial"/>
        </w:rPr>
        <w:t xml:space="preserve"> and</w:t>
      </w:r>
      <w:r w:rsidRPr="00FC45E9">
        <w:rPr>
          <w:rFonts w:cs="Arial"/>
        </w:rPr>
        <w:t xml:space="preserve"> be no closer to a residence (or </w:t>
      </w:r>
      <w:r>
        <w:rPr>
          <w:rFonts w:cs="Arial"/>
        </w:rPr>
        <w:t xml:space="preserve">materially closer to a </w:t>
      </w:r>
      <w:r w:rsidRPr="00FC45E9">
        <w:rPr>
          <w:rFonts w:cs="Arial"/>
        </w:rPr>
        <w:t xml:space="preserve">property boundary </w:t>
      </w:r>
      <w:r>
        <w:rPr>
          <w:rFonts w:cs="Arial"/>
        </w:rPr>
        <w:t xml:space="preserve">as </w:t>
      </w:r>
      <w:r w:rsidRPr="00FC45E9">
        <w:rPr>
          <w:rFonts w:cs="Arial"/>
        </w:rPr>
        <w:t>per Recommendation 5.2.7)</w:t>
      </w:r>
      <w:r>
        <w:rPr>
          <w:rFonts w:cs="Arial"/>
        </w:rPr>
        <w:t xml:space="preserve">. Siting adjustments should be </w:t>
      </w:r>
      <w:r w:rsidRPr="00FC45E9">
        <w:rPr>
          <w:rFonts w:cs="Arial"/>
        </w:rPr>
        <w:t>properly documented, including the reasons for the change. Micro-siting of a distance greater than 100</w:t>
      </w:r>
      <w:r>
        <w:rPr>
          <w:rFonts w:cs="Arial"/>
        </w:rPr>
        <w:t xml:space="preserve"> metres</w:t>
      </w:r>
      <w:r w:rsidRPr="00FC45E9">
        <w:rPr>
          <w:rFonts w:cs="Arial"/>
        </w:rPr>
        <w:t xml:space="preserve"> should require </w:t>
      </w:r>
      <w:r>
        <w:rPr>
          <w:rFonts w:cs="Arial"/>
        </w:rPr>
        <w:t xml:space="preserve">prior </w:t>
      </w:r>
      <w:r w:rsidRPr="00FC45E9">
        <w:rPr>
          <w:rFonts w:cs="Arial"/>
        </w:rPr>
        <w:t>written approval from the responsible authority.</w:t>
      </w:r>
    </w:p>
    <w:p w14:paraId="20755FC3" w14:textId="77777777" w:rsidR="00C66F7A" w:rsidRDefault="00C66F7A" w:rsidP="00C66F7A">
      <w:pPr>
        <w:pStyle w:val="ListParagraph"/>
        <w:numPr>
          <w:ilvl w:val="2"/>
          <w:numId w:val="8"/>
        </w:numPr>
        <w:spacing w:line="264" w:lineRule="auto"/>
        <w:ind w:left="1400" w:hanging="680"/>
        <w:rPr>
          <w:rFonts w:cs="Arial"/>
        </w:rPr>
      </w:pPr>
      <w:r>
        <w:rPr>
          <w:rFonts w:cs="Arial"/>
        </w:rPr>
        <w:t>Large-scale overhead transmission lines and towers (new build) for the electricity grid should have clear setback distances between the edge of the easement of the transmission line and nearby residences. Proposed setback distances should be consistent with Recommendation 5.2.9.5:</w:t>
      </w:r>
    </w:p>
    <w:p w14:paraId="51E789FD" w14:textId="77777777" w:rsidR="00C66F7A" w:rsidRDefault="00C66F7A" w:rsidP="00C66F7A">
      <w:pPr>
        <w:pStyle w:val="ListParagraph"/>
        <w:numPr>
          <w:ilvl w:val="0"/>
          <w:numId w:val="28"/>
        </w:numPr>
        <w:spacing w:line="264" w:lineRule="auto"/>
        <w:rPr>
          <w:rFonts w:cs="Arial"/>
        </w:rPr>
      </w:pPr>
      <w:r>
        <w:rPr>
          <w:rFonts w:cs="Arial"/>
        </w:rPr>
        <w:t>66kV up to &lt;220KV – 100 metres</w:t>
      </w:r>
    </w:p>
    <w:p w14:paraId="3AA59A0F" w14:textId="77777777" w:rsidR="00C66F7A" w:rsidRDefault="00C66F7A" w:rsidP="00C66F7A">
      <w:pPr>
        <w:pStyle w:val="ListParagraph"/>
        <w:numPr>
          <w:ilvl w:val="0"/>
          <w:numId w:val="28"/>
        </w:numPr>
        <w:spacing w:line="264" w:lineRule="auto"/>
        <w:rPr>
          <w:rFonts w:cs="Arial"/>
        </w:rPr>
      </w:pPr>
      <w:r>
        <w:rPr>
          <w:rFonts w:cs="Arial"/>
        </w:rPr>
        <w:t>220kV up to &lt;500kV – 200 metres</w:t>
      </w:r>
    </w:p>
    <w:p w14:paraId="7E14018B" w14:textId="77777777" w:rsidR="00C66F7A" w:rsidRDefault="00C66F7A" w:rsidP="00C66F7A">
      <w:pPr>
        <w:pStyle w:val="ListParagraph"/>
        <w:numPr>
          <w:ilvl w:val="0"/>
          <w:numId w:val="28"/>
        </w:numPr>
        <w:spacing w:line="264" w:lineRule="auto"/>
        <w:rPr>
          <w:rFonts w:cs="Arial"/>
        </w:rPr>
      </w:pPr>
      <w:r>
        <w:rPr>
          <w:rFonts w:cs="Arial"/>
        </w:rPr>
        <w:t>500kV – 300 metres</w:t>
      </w:r>
    </w:p>
    <w:p w14:paraId="608C385E" w14:textId="77777777" w:rsidR="00C66F7A" w:rsidRDefault="00C66F7A" w:rsidP="00C66F7A">
      <w:pPr>
        <w:spacing w:line="264" w:lineRule="auto"/>
        <w:ind w:left="1440"/>
        <w:rPr>
          <w:rFonts w:cs="Arial"/>
        </w:rPr>
      </w:pPr>
      <w:r>
        <w:rPr>
          <w:rFonts w:cs="Arial"/>
        </w:rPr>
        <w:t>Where a setback distance cannot be achieved due to a constrained route corridor, the developer must negotiate a fair and reasonable agreement with the owner of the residence to allow the transmission line to be within the prescribed setback distance.</w:t>
      </w:r>
    </w:p>
    <w:p w14:paraId="7E5B4630" w14:textId="77777777" w:rsidR="00C66F7A" w:rsidRDefault="00C66F7A" w:rsidP="00C66F7A">
      <w:pPr>
        <w:pStyle w:val="ListParagraph"/>
        <w:numPr>
          <w:ilvl w:val="2"/>
          <w:numId w:val="8"/>
        </w:numPr>
        <w:spacing w:line="264" w:lineRule="auto"/>
        <w:ind w:left="1400" w:hanging="680"/>
        <w:rPr>
          <w:rFonts w:cs="Arial"/>
        </w:rPr>
      </w:pPr>
      <w:r>
        <w:rPr>
          <w:rFonts w:cs="Arial"/>
        </w:rPr>
        <w:t>Other transmission line setback distances should be established for public roads, schools, public parks (including state and national parks) and be included in planning guidelines for new large-scale transmission lines.</w:t>
      </w:r>
    </w:p>
    <w:p w14:paraId="0EA089B0" w14:textId="77777777" w:rsidR="00C66F7A" w:rsidRDefault="00C66F7A" w:rsidP="00C66F7A">
      <w:pPr>
        <w:pStyle w:val="ListParagraph"/>
        <w:numPr>
          <w:ilvl w:val="2"/>
          <w:numId w:val="8"/>
        </w:numPr>
        <w:spacing w:line="264" w:lineRule="auto"/>
        <w:ind w:left="1400" w:hanging="680"/>
        <w:rPr>
          <w:rFonts w:cs="Arial"/>
        </w:rPr>
      </w:pPr>
      <w:r>
        <w:rPr>
          <w:rFonts w:cs="Arial"/>
        </w:rPr>
        <w:lastRenderedPageBreak/>
        <w:t>Further to 5.2.15 and 5.2.16, setback distances also need to be established for underground transmission lines, which may differ depending on if the line is AC or DC. Underground transmission lines still require a range of above ground infrastructure to be implemented – such infrastructure should also be suitably setback from residences and other public areas.</w:t>
      </w:r>
    </w:p>
    <w:p w14:paraId="3FCEEE4B" w14:textId="11F84D61" w:rsidR="00C66F7A" w:rsidRDefault="00C66F7A" w:rsidP="00C66F7A">
      <w:pPr>
        <w:pStyle w:val="ListParagraph"/>
        <w:numPr>
          <w:ilvl w:val="2"/>
          <w:numId w:val="8"/>
        </w:numPr>
        <w:spacing w:line="264" w:lineRule="auto"/>
        <w:ind w:left="1400" w:hanging="680"/>
        <w:rPr>
          <w:rFonts w:cs="Arial"/>
        </w:rPr>
      </w:pPr>
      <w:r>
        <w:rPr>
          <w:rFonts w:cs="Arial"/>
        </w:rPr>
        <w:t xml:space="preserve">Transmission line planning guidance should also be developed to accommodate </w:t>
      </w:r>
      <w:r w:rsidR="00642F84">
        <w:rPr>
          <w:rFonts w:cs="Arial"/>
        </w:rPr>
        <w:t xml:space="preserve">the </w:t>
      </w:r>
      <w:r>
        <w:rPr>
          <w:rFonts w:cs="Arial"/>
        </w:rPr>
        <w:t>identification and mitigation of other impacts, such as visual amenity, noise, health, safety, environment, biodiversity, cumulative, community and safety.</w:t>
      </w:r>
    </w:p>
    <w:p w14:paraId="0098866C" w14:textId="77777777" w:rsidR="00C66F7A" w:rsidRDefault="00C66F7A" w:rsidP="00C66F7A">
      <w:pPr>
        <w:rPr>
          <w:rFonts w:cs="Arial"/>
        </w:rPr>
      </w:pPr>
      <w:r>
        <w:rPr>
          <w:rFonts w:cs="Arial"/>
        </w:rPr>
        <w:br w:type="page"/>
      </w:r>
    </w:p>
    <w:p w14:paraId="7669822C" w14:textId="77777777" w:rsidR="00C66F7A" w:rsidRPr="00FC45E9" w:rsidRDefault="00C66F7A" w:rsidP="00C66F7A">
      <w:pPr>
        <w:pStyle w:val="Heading2"/>
        <w:numPr>
          <w:ilvl w:val="0"/>
          <w:numId w:val="8"/>
        </w:numPr>
      </w:pPr>
      <w:bookmarkStart w:id="217" w:name="_Toc51224053"/>
      <w:bookmarkStart w:id="218" w:name="_Toc84430834"/>
      <w:bookmarkStart w:id="219" w:name="_Toc98781024"/>
      <w:bookmarkStart w:id="220" w:name="_Toc135390651"/>
      <w:r w:rsidRPr="00FC45E9">
        <w:lastRenderedPageBreak/>
        <w:t xml:space="preserve">Use and </w:t>
      </w:r>
      <w:r>
        <w:t>S</w:t>
      </w:r>
      <w:r w:rsidRPr="00FC45E9">
        <w:t>election of Experts</w:t>
      </w:r>
      <w:bookmarkEnd w:id="217"/>
      <w:bookmarkEnd w:id="218"/>
      <w:bookmarkEnd w:id="219"/>
      <w:bookmarkEnd w:id="220"/>
    </w:p>
    <w:p w14:paraId="48B3C0E1"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32FB5686" w14:textId="77777777" w:rsidR="00C66F7A" w:rsidRPr="00861E58" w:rsidRDefault="00C66F7A" w:rsidP="00F25864">
      <w:pPr>
        <w:pStyle w:val="Heading3"/>
        <w:ind w:firstLine="360"/>
      </w:pPr>
      <w:bookmarkStart w:id="221" w:name="_Toc131505376"/>
      <w:bookmarkStart w:id="222" w:name="_Toc132641506"/>
      <w:bookmarkStart w:id="223" w:name="_Toc135390652"/>
      <w:r w:rsidRPr="00861E58">
        <w:t>Background</w:t>
      </w:r>
      <w:bookmarkEnd w:id="221"/>
      <w:bookmarkEnd w:id="222"/>
      <w:bookmarkEnd w:id="223"/>
    </w:p>
    <w:p w14:paraId="6F3323E6" w14:textId="57E5C9CC"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 design and approval of a proposed </w:t>
      </w:r>
      <w:r>
        <w:rPr>
          <w:rFonts w:cs="Arial"/>
        </w:rPr>
        <w:t>project</w:t>
      </w:r>
      <w:r w:rsidRPr="00FC45E9">
        <w:rPr>
          <w:rFonts w:cs="Arial"/>
        </w:rPr>
        <w:t xml:space="preserve"> relies heavily on third-party consultants (or ‘experts’) to prepare a range of reports</w:t>
      </w:r>
      <w:r w:rsidR="0049414C">
        <w:rPr>
          <w:rFonts w:cs="Arial"/>
        </w:rPr>
        <w:t>,</w:t>
      </w:r>
      <w:r w:rsidRPr="00FC45E9">
        <w:rPr>
          <w:rFonts w:cs="Arial"/>
        </w:rPr>
        <w:t xml:space="preserve"> including assessments related to noise, visual amenity, shadow flicker, aviation</w:t>
      </w:r>
      <w:r>
        <w:rPr>
          <w:rFonts w:cs="Arial"/>
        </w:rPr>
        <w:t xml:space="preserve">, flora and fauna, hydrology, vegetation </w:t>
      </w:r>
      <w:r w:rsidRPr="00FC45E9">
        <w:rPr>
          <w:rFonts w:cs="Arial"/>
        </w:rPr>
        <w:t xml:space="preserve">and various </w:t>
      </w:r>
      <w:r>
        <w:rPr>
          <w:rFonts w:cs="Arial"/>
        </w:rPr>
        <w:t xml:space="preserve">other </w:t>
      </w:r>
      <w:r w:rsidRPr="00FC45E9">
        <w:rPr>
          <w:rFonts w:cs="Arial"/>
        </w:rPr>
        <w:t>environmental assessments.</w:t>
      </w:r>
    </w:p>
    <w:p w14:paraId="17F52ADD"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Experts are selected and paid for by the developer. The expert reports are typically included with the developer’s </w:t>
      </w:r>
      <w:r>
        <w:rPr>
          <w:rFonts w:cs="Arial"/>
        </w:rPr>
        <w:t xml:space="preserve">environmental and/or planning permit </w:t>
      </w:r>
      <w:r w:rsidRPr="00FC45E9">
        <w:rPr>
          <w:rFonts w:cs="Arial"/>
        </w:rPr>
        <w:t>submission to the responsible authority when seeking approval</w:t>
      </w:r>
      <w:r>
        <w:rPr>
          <w:rFonts w:cs="Arial"/>
        </w:rPr>
        <w:t>s</w:t>
      </w:r>
      <w:r w:rsidRPr="00FC45E9">
        <w:rPr>
          <w:rFonts w:cs="Arial"/>
        </w:rPr>
        <w:t xml:space="preserve"> for the project. Many of the assessment reports rely on complex calculations or results from predictive computer modelling. </w:t>
      </w:r>
      <w:r>
        <w:rPr>
          <w:rFonts w:cs="Arial"/>
        </w:rPr>
        <w:t>These reports also rely on assessing the project against standards that are not always clearly defined.</w:t>
      </w:r>
    </w:p>
    <w:p w14:paraId="337A20F3" w14:textId="77777777" w:rsidR="00C66F7A" w:rsidRDefault="00C66F7A" w:rsidP="00C66F7A">
      <w:pPr>
        <w:pStyle w:val="ListParagraph"/>
        <w:numPr>
          <w:ilvl w:val="0"/>
          <w:numId w:val="0"/>
        </w:numPr>
        <w:spacing w:line="264" w:lineRule="auto"/>
        <w:ind w:left="360"/>
        <w:rPr>
          <w:rFonts w:cs="Arial"/>
        </w:rPr>
      </w:pPr>
      <w:r>
        <w:rPr>
          <w:rFonts w:cs="Arial"/>
        </w:rPr>
        <w:t xml:space="preserve">Some expert reports are inputs to the broader assessment process. For example, background noise assessments are primarily undertaken to set the noise criteria at specified locations, where the noise criteria are, say, ‘40 dB(A) or background noise plus 5 dB(A), whichever is greater’. The background noise must be obtained during the development phase to complete the formula and set the criteria levels.  </w:t>
      </w:r>
    </w:p>
    <w:p w14:paraId="6F4EDABF" w14:textId="7ED2BDDF" w:rsidR="00C66F7A" w:rsidRPr="00FC45E9" w:rsidRDefault="00C66F7A" w:rsidP="00C66F7A">
      <w:pPr>
        <w:pStyle w:val="ListParagraph"/>
        <w:numPr>
          <w:ilvl w:val="0"/>
          <w:numId w:val="0"/>
        </w:numPr>
        <w:spacing w:line="264" w:lineRule="auto"/>
        <w:ind w:left="360"/>
        <w:rPr>
          <w:rFonts w:cs="Arial"/>
        </w:rPr>
      </w:pPr>
      <w:r w:rsidRPr="00FC45E9">
        <w:rPr>
          <w:rFonts w:cs="Arial"/>
        </w:rPr>
        <w:t>The accuracy of the assessment reports and recommendations is</w:t>
      </w:r>
      <w:r w:rsidR="0049414C">
        <w:rPr>
          <w:rFonts w:cs="Arial"/>
        </w:rPr>
        <w:t>,</w:t>
      </w:r>
      <w:r w:rsidRPr="00FC45E9">
        <w:rPr>
          <w:rFonts w:cs="Arial"/>
        </w:rPr>
        <w:t xml:space="preserve"> therefore</w:t>
      </w:r>
      <w:r w:rsidR="0049414C">
        <w:rPr>
          <w:rFonts w:cs="Arial"/>
        </w:rPr>
        <w:t>,</w:t>
      </w:r>
      <w:r w:rsidRPr="00FC45E9">
        <w:rPr>
          <w:rFonts w:cs="Arial"/>
        </w:rPr>
        <w:t xml:space="preserve"> highly dependent on the quality and precision of the assumptions used, </w:t>
      </w:r>
      <w:r w:rsidR="0049414C">
        <w:rPr>
          <w:rFonts w:cs="Arial"/>
        </w:rPr>
        <w:t xml:space="preserve">the </w:t>
      </w:r>
      <w:r w:rsidRPr="00FC45E9">
        <w:rPr>
          <w:rFonts w:cs="Arial"/>
        </w:rPr>
        <w:t xml:space="preserve">correct application of calculations, the integrity of computer modelling applications, the accuracy of the data used and the skills </w:t>
      </w:r>
      <w:r>
        <w:rPr>
          <w:rFonts w:cs="Arial"/>
        </w:rPr>
        <w:t xml:space="preserve">and judgment </w:t>
      </w:r>
      <w:r w:rsidRPr="00FC45E9">
        <w:rPr>
          <w:rFonts w:cs="Arial"/>
        </w:rPr>
        <w:t>of the expert in interpreting the output of the resulting analysis.</w:t>
      </w:r>
    </w:p>
    <w:p w14:paraId="3F2AD4BD" w14:textId="390DF1A9"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Once the </w:t>
      </w:r>
      <w:r>
        <w:rPr>
          <w:rFonts w:cs="Arial"/>
        </w:rPr>
        <w:t xml:space="preserve">project </w:t>
      </w:r>
      <w:r w:rsidRPr="00FC45E9">
        <w:rPr>
          <w:rFonts w:cs="Arial"/>
        </w:rPr>
        <w:t xml:space="preserve">is built, experts are </w:t>
      </w:r>
      <w:r>
        <w:rPr>
          <w:rFonts w:cs="Arial"/>
        </w:rPr>
        <w:t xml:space="preserve">then </w:t>
      </w:r>
      <w:r w:rsidRPr="00FC45E9">
        <w:rPr>
          <w:rFonts w:cs="Arial"/>
        </w:rPr>
        <w:t xml:space="preserve">engaged to carry out </w:t>
      </w:r>
      <w:r>
        <w:rPr>
          <w:rFonts w:cs="Arial"/>
        </w:rPr>
        <w:t xml:space="preserve">any required </w:t>
      </w:r>
      <w:r w:rsidRPr="00FC45E9">
        <w:rPr>
          <w:rFonts w:cs="Arial"/>
        </w:rPr>
        <w:t>post-construction assessments. These assessment</w:t>
      </w:r>
      <w:r>
        <w:rPr>
          <w:rFonts w:cs="Arial"/>
        </w:rPr>
        <w:t>s, and resulting</w:t>
      </w:r>
      <w:r w:rsidRPr="00FC45E9">
        <w:rPr>
          <w:rFonts w:cs="Arial"/>
        </w:rPr>
        <w:t xml:space="preserve"> reports</w:t>
      </w:r>
      <w:r>
        <w:rPr>
          <w:rFonts w:cs="Arial"/>
        </w:rPr>
        <w:t>,</w:t>
      </w:r>
      <w:r w:rsidRPr="00FC45E9">
        <w:rPr>
          <w:rFonts w:cs="Arial"/>
        </w:rPr>
        <w:t xml:space="preserve"> utilise actual data from the </w:t>
      </w:r>
      <w:r>
        <w:rPr>
          <w:rFonts w:cs="Arial"/>
        </w:rPr>
        <w:t>operating project</w:t>
      </w:r>
      <w:r w:rsidR="0049414C">
        <w:rPr>
          <w:rFonts w:cs="Arial"/>
        </w:rPr>
        <w:t>.</w:t>
      </w:r>
      <w:r w:rsidRPr="00FC45E9">
        <w:rPr>
          <w:rFonts w:cs="Arial"/>
        </w:rPr>
        <w:t xml:space="preserve"> </w:t>
      </w:r>
      <w:r w:rsidR="0049414C">
        <w:rPr>
          <w:rFonts w:cs="Arial"/>
        </w:rPr>
        <w:t>H</w:t>
      </w:r>
      <w:r w:rsidRPr="00FC45E9">
        <w:rPr>
          <w:rFonts w:cs="Arial"/>
        </w:rPr>
        <w:t xml:space="preserve">owever, </w:t>
      </w:r>
      <w:r w:rsidR="0049414C">
        <w:rPr>
          <w:rFonts w:cs="Arial"/>
        </w:rPr>
        <w:t xml:space="preserve">they </w:t>
      </w:r>
      <w:r>
        <w:rPr>
          <w:rFonts w:cs="Arial"/>
        </w:rPr>
        <w:t xml:space="preserve">may </w:t>
      </w:r>
      <w:r w:rsidRPr="00FC45E9">
        <w:rPr>
          <w:rFonts w:cs="Arial"/>
        </w:rPr>
        <w:t xml:space="preserve">still rely on assumptions and modelling to </w:t>
      </w:r>
      <w:r>
        <w:rPr>
          <w:rFonts w:cs="Arial"/>
        </w:rPr>
        <w:t xml:space="preserve">collect and </w:t>
      </w:r>
      <w:r w:rsidRPr="00FC45E9">
        <w:rPr>
          <w:rFonts w:cs="Arial"/>
        </w:rPr>
        <w:t xml:space="preserve">analyse the data and </w:t>
      </w:r>
      <w:r>
        <w:rPr>
          <w:rFonts w:cs="Arial"/>
        </w:rPr>
        <w:t xml:space="preserve">then </w:t>
      </w:r>
      <w:r w:rsidRPr="00FC45E9">
        <w:rPr>
          <w:rFonts w:cs="Arial"/>
        </w:rPr>
        <w:t xml:space="preserve">present </w:t>
      </w:r>
      <w:r w:rsidR="0049414C">
        <w:rPr>
          <w:rFonts w:cs="Arial"/>
        </w:rPr>
        <w:t xml:space="preserve">it </w:t>
      </w:r>
      <w:r w:rsidRPr="00FC45E9">
        <w:rPr>
          <w:rFonts w:cs="Arial"/>
        </w:rPr>
        <w:t xml:space="preserve">in a format to </w:t>
      </w:r>
      <w:r>
        <w:rPr>
          <w:rFonts w:cs="Arial"/>
        </w:rPr>
        <w:t>support the</w:t>
      </w:r>
      <w:r w:rsidRPr="00FC45E9">
        <w:rPr>
          <w:rFonts w:cs="Arial"/>
        </w:rPr>
        <w:t xml:space="preserve"> conclusions.</w:t>
      </w:r>
    </w:p>
    <w:p w14:paraId="69301A2B"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It is very common practice that experts engaged to perform the design </w:t>
      </w:r>
      <w:r>
        <w:rPr>
          <w:rFonts w:cs="Arial"/>
        </w:rPr>
        <w:t xml:space="preserve">and predictive </w:t>
      </w:r>
      <w:r w:rsidRPr="00FC45E9">
        <w:rPr>
          <w:rFonts w:cs="Arial"/>
        </w:rPr>
        <w:t>assessments during the planning phase are the same experts engaged by the developer to perform the post-construction assessments. Developers may also often use the same experts on multiple projects</w:t>
      </w:r>
      <w:r>
        <w:rPr>
          <w:rFonts w:cs="Arial"/>
        </w:rPr>
        <w:t>, establishing long-term relationships between the parties</w:t>
      </w:r>
      <w:r w:rsidRPr="00FC45E9">
        <w:rPr>
          <w:rFonts w:cs="Arial"/>
        </w:rPr>
        <w:t>.</w:t>
      </w:r>
    </w:p>
    <w:p w14:paraId="7568D6B5" w14:textId="77777777" w:rsidR="00C66F7A" w:rsidRPr="00861E58" w:rsidRDefault="00C66F7A" w:rsidP="00F25864">
      <w:pPr>
        <w:pStyle w:val="Heading3"/>
        <w:ind w:firstLine="360"/>
      </w:pPr>
      <w:bookmarkStart w:id="224" w:name="_Toc135390653"/>
      <w:r w:rsidRPr="00861E58">
        <w:t>Process and conflicts</w:t>
      </w:r>
      <w:bookmarkEnd w:id="224"/>
    </w:p>
    <w:p w14:paraId="5201DDF5" w14:textId="29AE1FFE" w:rsidR="00C66F7A" w:rsidRDefault="00C66F7A" w:rsidP="00C66F7A">
      <w:pPr>
        <w:pStyle w:val="ListParagraph"/>
        <w:numPr>
          <w:ilvl w:val="0"/>
          <w:numId w:val="0"/>
        </w:numPr>
        <w:spacing w:line="264" w:lineRule="auto"/>
        <w:ind w:left="360"/>
        <w:rPr>
          <w:rFonts w:cs="Arial"/>
        </w:rPr>
      </w:pPr>
      <w:r w:rsidRPr="00FC45E9">
        <w:rPr>
          <w:rFonts w:cs="Arial"/>
        </w:rPr>
        <w:t>The selection and use of the same expert in both the design</w:t>
      </w:r>
      <w:r>
        <w:rPr>
          <w:rFonts w:cs="Arial"/>
        </w:rPr>
        <w:t>/proposal phases</w:t>
      </w:r>
      <w:r w:rsidRPr="00FC45E9">
        <w:rPr>
          <w:rFonts w:cs="Arial"/>
        </w:rPr>
        <w:t xml:space="preserve"> and then post-construction phases of a </w:t>
      </w:r>
      <w:r>
        <w:rPr>
          <w:rFonts w:cs="Arial"/>
        </w:rPr>
        <w:t xml:space="preserve">project </w:t>
      </w:r>
      <w:r w:rsidRPr="00FC45E9">
        <w:rPr>
          <w:rFonts w:cs="Arial"/>
        </w:rPr>
        <w:t>may give rise to perceived or real conflicts of interest between the developer and the expert</w:t>
      </w:r>
      <w:r>
        <w:rPr>
          <w:rFonts w:cs="Arial"/>
        </w:rPr>
        <w:t>,</w:t>
      </w:r>
      <w:r w:rsidRPr="00FC45E9">
        <w:rPr>
          <w:rFonts w:cs="Arial"/>
        </w:rPr>
        <w:t xml:space="preserve"> a</w:t>
      </w:r>
      <w:r>
        <w:rPr>
          <w:rFonts w:cs="Arial"/>
        </w:rPr>
        <w:t>s well as</w:t>
      </w:r>
      <w:r w:rsidRPr="00FC45E9">
        <w:rPr>
          <w:rFonts w:cs="Arial"/>
        </w:rPr>
        <w:t xml:space="preserve"> </w:t>
      </w:r>
      <w:r w:rsidR="0049414C">
        <w:rPr>
          <w:rFonts w:cs="Arial"/>
        </w:rPr>
        <w:t xml:space="preserve">the </w:t>
      </w:r>
      <w:r>
        <w:rPr>
          <w:rFonts w:cs="Arial"/>
        </w:rPr>
        <w:t xml:space="preserve">client (i.e., the developer) </w:t>
      </w:r>
      <w:r w:rsidRPr="00FC45E9">
        <w:rPr>
          <w:rFonts w:cs="Arial"/>
        </w:rPr>
        <w:t xml:space="preserve">expectations </w:t>
      </w:r>
      <w:r>
        <w:rPr>
          <w:rFonts w:cs="Arial"/>
        </w:rPr>
        <w:t xml:space="preserve">effectively </w:t>
      </w:r>
      <w:r w:rsidRPr="00FC45E9">
        <w:rPr>
          <w:rFonts w:cs="Arial"/>
        </w:rPr>
        <w:t xml:space="preserve">placed upon the expert to confirm </w:t>
      </w:r>
      <w:r>
        <w:rPr>
          <w:rFonts w:cs="Arial"/>
        </w:rPr>
        <w:t>the</w:t>
      </w:r>
      <w:r w:rsidRPr="00FC45E9">
        <w:rPr>
          <w:rFonts w:cs="Arial"/>
        </w:rPr>
        <w:t xml:space="preserve"> </w:t>
      </w:r>
      <w:r>
        <w:rPr>
          <w:rFonts w:cs="Arial"/>
        </w:rPr>
        <w:t>project</w:t>
      </w:r>
      <w:r w:rsidRPr="00FC45E9">
        <w:rPr>
          <w:rFonts w:cs="Arial"/>
        </w:rPr>
        <w:t xml:space="preserve">’s compliance. </w:t>
      </w:r>
    </w:p>
    <w:p w14:paraId="2CACD1C1"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As a hypothetical example, an acoustician engaged to assess </w:t>
      </w:r>
      <w:r>
        <w:rPr>
          <w:rFonts w:cs="Arial"/>
        </w:rPr>
        <w:t>a</w:t>
      </w:r>
      <w:r w:rsidRPr="00FC45E9">
        <w:rPr>
          <w:rFonts w:cs="Arial"/>
        </w:rPr>
        <w:t xml:space="preserve"> proposed wind farm’s design</w:t>
      </w:r>
      <w:r>
        <w:rPr>
          <w:rFonts w:cs="Arial"/>
        </w:rPr>
        <w:t xml:space="preserve"> and layout </w:t>
      </w:r>
      <w:r w:rsidRPr="00FC45E9">
        <w:rPr>
          <w:rFonts w:cs="Arial"/>
        </w:rPr>
        <w:t xml:space="preserve">for compliance with the noise standard </w:t>
      </w:r>
      <w:r>
        <w:rPr>
          <w:rFonts w:cs="Arial"/>
        </w:rPr>
        <w:t xml:space="preserve">– is </w:t>
      </w:r>
      <w:r w:rsidRPr="00FC45E9">
        <w:rPr>
          <w:rFonts w:cs="Arial"/>
        </w:rPr>
        <w:t xml:space="preserve">then </w:t>
      </w:r>
      <w:r>
        <w:rPr>
          <w:rFonts w:cs="Arial"/>
        </w:rPr>
        <w:t xml:space="preserve">subsequently </w:t>
      </w:r>
      <w:r w:rsidRPr="00FC45E9">
        <w:rPr>
          <w:rFonts w:cs="Arial"/>
        </w:rPr>
        <w:t xml:space="preserve">engaged to assess the </w:t>
      </w:r>
      <w:r>
        <w:rPr>
          <w:rFonts w:cs="Arial"/>
        </w:rPr>
        <w:t xml:space="preserve">constructed, </w:t>
      </w:r>
      <w:r w:rsidRPr="00FC45E9">
        <w:rPr>
          <w:rFonts w:cs="Arial"/>
        </w:rPr>
        <w:t xml:space="preserve">operating wind farm </w:t>
      </w:r>
      <w:r>
        <w:rPr>
          <w:rFonts w:cs="Arial"/>
        </w:rPr>
        <w:t xml:space="preserve">to confirm operational </w:t>
      </w:r>
      <w:r w:rsidRPr="00FC45E9">
        <w:rPr>
          <w:rFonts w:cs="Arial"/>
        </w:rPr>
        <w:t>compliance</w:t>
      </w:r>
      <w:r>
        <w:rPr>
          <w:rFonts w:cs="Arial"/>
        </w:rPr>
        <w:t xml:space="preserve"> with the noise standard. The expert acoustician </w:t>
      </w:r>
      <w:r w:rsidRPr="00FC45E9">
        <w:rPr>
          <w:rFonts w:cs="Arial"/>
        </w:rPr>
        <w:t xml:space="preserve">may </w:t>
      </w:r>
      <w:r>
        <w:rPr>
          <w:rFonts w:cs="Arial"/>
        </w:rPr>
        <w:t xml:space="preserve">then </w:t>
      </w:r>
      <w:r w:rsidRPr="00FC45E9">
        <w:rPr>
          <w:rFonts w:cs="Arial"/>
        </w:rPr>
        <w:t xml:space="preserve">be placed in a difficult situation if the acoustician discovers some aspects of the operating wind farm </w:t>
      </w:r>
      <w:r>
        <w:rPr>
          <w:rFonts w:cs="Arial"/>
        </w:rPr>
        <w:t xml:space="preserve">are potentially </w:t>
      </w:r>
      <w:r w:rsidRPr="00FC45E9">
        <w:rPr>
          <w:rFonts w:cs="Arial"/>
        </w:rPr>
        <w:t xml:space="preserve">non-compliant, particularly if </w:t>
      </w:r>
      <w:r>
        <w:rPr>
          <w:rFonts w:cs="Arial"/>
        </w:rPr>
        <w:t xml:space="preserve">those </w:t>
      </w:r>
      <w:r w:rsidRPr="00FC45E9">
        <w:rPr>
          <w:rFonts w:cs="Arial"/>
        </w:rPr>
        <w:t xml:space="preserve">areas of non-compliance may be a result of errors </w:t>
      </w:r>
      <w:r>
        <w:rPr>
          <w:rFonts w:cs="Arial"/>
        </w:rPr>
        <w:t xml:space="preserve">or assumptions </w:t>
      </w:r>
      <w:r w:rsidRPr="00FC45E9">
        <w:rPr>
          <w:rFonts w:cs="Arial"/>
        </w:rPr>
        <w:t xml:space="preserve">made in the acoustician’s </w:t>
      </w:r>
      <w:r>
        <w:rPr>
          <w:rFonts w:cs="Arial"/>
        </w:rPr>
        <w:t>predictive</w:t>
      </w:r>
      <w:r w:rsidRPr="00FC45E9">
        <w:rPr>
          <w:rFonts w:cs="Arial"/>
        </w:rPr>
        <w:t xml:space="preserve"> assessment.</w:t>
      </w:r>
      <w:r>
        <w:rPr>
          <w:rFonts w:cs="Arial"/>
        </w:rPr>
        <w:t xml:space="preserve"> Enormous pressure could potentially be placed on the expert acoustician to measure and/or interpret the post-construction operating noise data in such a way that would demonstrate compliance, rather than non-compliance, of the operating asset.</w:t>
      </w:r>
    </w:p>
    <w:p w14:paraId="7CF7931B" w14:textId="66FCAF11" w:rsidR="00C66F7A" w:rsidRPr="00FC45E9" w:rsidRDefault="00C66F7A" w:rsidP="00C66F7A">
      <w:pPr>
        <w:pStyle w:val="ListParagraph"/>
        <w:numPr>
          <w:ilvl w:val="0"/>
          <w:numId w:val="0"/>
        </w:numPr>
        <w:spacing w:line="264" w:lineRule="auto"/>
        <w:ind w:left="360"/>
        <w:rPr>
          <w:rFonts w:cs="Arial"/>
        </w:rPr>
      </w:pPr>
      <w:r>
        <w:rPr>
          <w:rFonts w:cs="Arial"/>
        </w:rPr>
        <w:lastRenderedPageBreak/>
        <w:t>Expert reports submitted to the developer and, in turn, submitted by the developer to the responsible authority and other relevant agencies would be assisted greatly if such reports were subject to an independent audit carried out by an accredited independent auditor.</w:t>
      </w:r>
    </w:p>
    <w:p w14:paraId="40D36347"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There is certainly scope for a </w:t>
      </w:r>
      <w:r>
        <w:rPr>
          <w:rFonts w:cs="Arial"/>
        </w:rPr>
        <w:t xml:space="preserve">clearer </w:t>
      </w:r>
      <w:r w:rsidRPr="00FC45E9">
        <w:rPr>
          <w:rFonts w:cs="Arial"/>
        </w:rPr>
        <w:t>separation between the experts used for the predictive assessments</w:t>
      </w:r>
      <w:r>
        <w:rPr>
          <w:rFonts w:cs="Arial"/>
        </w:rPr>
        <w:t>,</w:t>
      </w:r>
      <w:r w:rsidRPr="00FC45E9">
        <w:rPr>
          <w:rFonts w:cs="Arial"/>
        </w:rPr>
        <w:t xml:space="preserve"> </w:t>
      </w:r>
      <w:r>
        <w:rPr>
          <w:rFonts w:cs="Arial"/>
        </w:rPr>
        <w:t xml:space="preserve">during </w:t>
      </w:r>
      <w:r w:rsidRPr="00FC45E9">
        <w:rPr>
          <w:rFonts w:cs="Arial"/>
        </w:rPr>
        <w:t>the design</w:t>
      </w:r>
      <w:r>
        <w:rPr>
          <w:rFonts w:cs="Arial"/>
        </w:rPr>
        <w:t xml:space="preserve">/proposal stage, </w:t>
      </w:r>
      <w:r w:rsidRPr="00FC45E9">
        <w:rPr>
          <w:rFonts w:cs="Arial"/>
        </w:rPr>
        <w:t xml:space="preserve">versus the experts used for the post-construction assessments of a </w:t>
      </w:r>
      <w:r>
        <w:rPr>
          <w:rFonts w:cs="Arial"/>
        </w:rPr>
        <w:t>project</w:t>
      </w:r>
      <w:r w:rsidRPr="00FC45E9">
        <w:rPr>
          <w:rFonts w:cs="Arial"/>
        </w:rPr>
        <w:t xml:space="preserve">, along with the </w:t>
      </w:r>
      <w:r>
        <w:rPr>
          <w:rFonts w:cs="Arial"/>
        </w:rPr>
        <w:t xml:space="preserve">inclusion </w:t>
      </w:r>
      <w:r w:rsidRPr="00FC45E9">
        <w:rPr>
          <w:rFonts w:cs="Arial"/>
        </w:rPr>
        <w:t xml:space="preserve">of </w:t>
      </w:r>
      <w:r>
        <w:rPr>
          <w:rFonts w:cs="Arial"/>
        </w:rPr>
        <w:t xml:space="preserve">independent </w:t>
      </w:r>
      <w:r w:rsidRPr="00FC45E9">
        <w:rPr>
          <w:rFonts w:cs="Arial"/>
        </w:rPr>
        <w:t xml:space="preserve">audits of the expert’s </w:t>
      </w:r>
      <w:r>
        <w:rPr>
          <w:rFonts w:cs="Arial"/>
        </w:rPr>
        <w:t xml:space="preserve">reports. A more rigorous process would yield a range of material benefits, including </w:t>
      </w:r>
      <w:r w:rsidRPr="00FC45E9">
        <w:rPr>
          <w:rFonts w:cs="Arial"/>
        </w:rPr>
        <w:t>minimis</w:t>
      </w:r>
      <w:r>
        <w:rPr>
          <w:rFonts w:cs="Arial"/>
        </w:rPr>
        <w:t>ing</w:t>
      </w:r>
      <w:r w:rsidRPr="00FC45E9">
        <w:rPr>
          <w:rFonts w:cs="Arial"/>
        </w:rPr>
        <w:t xml:space="preserve"> </w:t>
      </w:r>
      <w:r>
        <w:rPr>
          <w:rFonts w:cs="Arial"/>
        </w:rPr>
        <w:t xml:space="preserve">costly expert </w:t>
      </w:r>
      <w:r w:rsidRPr="00FC45E9">
        <w:rPr>
          <w:rFonts w:cs="Arial"/>
        </w:rPr>
        <w:t>errors</w:t>
      </w:r>
      <w:r>
        <w:rPr>
          <w:rFonts w:cs="Arial"/>
        </w:rPr>
        <w:t xml:space="preserve"> made during the assessment phase,</w:t>
      </w:r>
      <w:r w:rsidRPr="00FC45E9">
        <w:rPr>
          <w:rFonts w:cs="Arial"/>
        </w:rPr>
        <w:t xml:space="preserve"> </w:t>
      </w:r>
      <w:r>
        <w:rPr>
          <w:rFonts w:cs="Arial"/>
        </w:rPr>
        <w:t xml:space="preserve">minimise or eliminate </w:t>
      </w:r>
      <w:r w:rsidRPr="00FC45E9">
        <w:rPr>
          <w:rFonts w:cs="Arial"/>
        </w:rPr>
        <w:t>perceived or real conflicts of interest</w:t>
      </w:r>
      <w:r>
        <w:rPr>
          <w:rFonts w:cs="Arial"/>
        </w:rPr>
        <w:t xml:space="preserve"> and provide all stakeholders greater confidence in the integrity and reliability of the expert’s advice and reports.</w:t>
      </w:r>
    </w:p>
    <w:p w14:paraId="08946700" w14:textId="77777777" w:rsidR="00C66F7A" w:rsidRPr="00861E58" w:rsidRDefault="00C66F7A" w:rsidP="00F25864">
      <w:pPr>
        <w:pStyle w:val="Heading3"/>
        <w:ind w:firstLine="360"/>
      </w:pPr>
      <w:bookmarkStart w:id="225" w:name="_Toc135390654"/>
      <w:r w:rsidRPr="00861E58">
        <w:t>Best practices</w:t>
      </w:r>
      <w:bookmarkEnd w:id="225"/>
    </w:p>
    <w:p w14:paraId="40401410" w14:textId="77777777" w:rsidR="00C66F7A" w:rsidRPr="00FC45E9" w:rsidRDefault="00C66F7A" w:rsidP="00C66F7A">
      <w:pPr>
        <w:pStyle w:val="ListParagraph"/>
        <w:numPr>
          <w:ilvl w:val="0"/>
          <w:numId w:val="0"/>
        </w:numPr>
        <w:spacing w:line="264" w:lineRule="auto"/>
        <w:ind w:left="360"/>
        <w:rPr>
          <w:rFonts w:cs="Arial"/>
        </w:rPr>
      </w:pPr>
      <w:r>
        <w:rPr>
          <w:rFonts w:cs="Arial"/>
        </w:rPr>
        <w:t>B</w:t>
      </w:r>
      <w:r w:rsidRPr="00FC45E9">
        <w:rPr>
          <w:rFonts w:cs="Arial"/>
        </w:rPr>
        <w:t>est practice</w:t>
      </w:r>
      <w:r>
        <w:rPr>
          <w:rFonts w:cs="Arial"/>
        </w:rPr>
        <w:t>s</w:t>
      </w:r>
      <w:r w:rsidRPr="00FC45E9">
        <w:rPr>
          <w:rFonts w:cs="Arial"/>
        </w:rPr>
        <w:t xml:space="preserve"> that ha</w:t>
      </w:r>
      <w:r>
        <w:rPr>
          <w:rFonts w:cs="Arial"/>
        </w:rPr>
        <w:t>ve</w:t>
      </w:r>
      <w:r w:rsidRPr="00FC45E9">
        <w:rPr>
          <w:rFonts w:cs="Arial"/>
        </w:rPr>
        <w:t xml:space="preserve"> been observed </w:t>
      </w:r>
      <w:r>
        <w:rPr>
          <w:rFonts w:cs="Arial"/>
        </w:rPr>
        <w:t>are</w:t>
      </w:r>
      <w:r w:rsidRPr="00FC45E9">
        <w:rPr>
          <w:rFonts w:cs="Arial"/>
        </w:rPr>
        <w:t xml:space="preserve"> as follows:</w:t>
      </w:r>
    </w:p>
    <w:p w14:paraId="754E71F7" w14:textId="77777777" w:rsidR="00C66F7A" w:rsidRPr="00FC45E9" w:rsidRDefault="00C66F7A" w:rsidP="00C66F7A">
      <w:pPr>
        <w:pStyle w:val="ListBullet"/>
        <w:spacing w:line="264" w:lineRule="auto"/>
        <w:ind w:left="1089"/>
        <w:rPr>
          <w:rFonts w:cs="Arial"/>
        </w:rPr>
      </w:pPr>
      <w:r>
        <w:rPr>
          <w:rFonts w:cs="Arial"/>
        </w:rPr>
        <w:t>A</w:t>
      </w:r>
      <w:r w:rsidRPr="00FC45E9">
        <w:rPr>
          <w:rFonts w:cs="Arial"/>
        </w:rPr>
        <w:t xml:space="preserve"> suitably qualified expert </w:t>
      </w:r>
      <w:r>
        <w:rPr>
          <w:rFonts w:cs="Arial"/>
        </w:rPr>
        <w:t>be</w:t>
      </w:r>
      <w:r w:rsidRPr="00FC45E9">
        <w:rPr>
          <w:rFonts w:cs="Arial"/>
        </w:rPr>
        <w:t xml:space="preserve"> appointed by </w:t>
      </w:r>
      <w:r>
        <w:rPr>
          <w:rFonts w:cs="Arial"/>
        </w:rPr>
        <w:t xml:space="preserve">a </w:t>
      </w:r>
      <w:r w:rsidRPr="00FC45E9">
        <w:rPr>
          <w:rFonts w:cs="Arial"/>
        </w:rPr>
        <w:t>developer to carry out</w:t>
      </w:r>
      <w:r>
        <w:rPr>
          <w:rFonts w:cs="Arial"/>
        </w:rPr>
        <w:t xml:space="preserve"> the</w:t>
      </w:r>
      <w:r w:rsidRPr="00FC45E9">
        <w:rPr>
          <w:rFonts w:cs="Arial"/>
        </w:rPr>
        <w:t xml:space="preserve"> relevant </w:t>
      </w:r>
      <w:r>
        <w:rPr>
          <w:rFonts w:cs="Arial"/>
        </w:rPr>
        <w:t xml:space="preserve">predictive </w:t>
      </w:r>
      <w:r w:rsidRPr="00FC45E9">
        <w:rPr>
          <w:rFonts w:cs="Arial"/>
        </w:rPr>
        <w:t xml:space="preserve">assessment </w:t>
      </w:r>
      <w:r>
        <w:rPr>
          <w:rFonts w:cs="Arial"/>
        </w:rPr>
        <w:t xml:space="preserve">as required for the </w:t>
      </w:r>
      <w:r w:rsidRPr="00FC45E9">
        <w:rPr>
          <w:rFonts w:cs="Arial"/>
        </w:rPr>
        <w:t xml:space="preserve">planning </w:t>
      </w:r>
      <w:r>
        <w:rPr>
          <w:rFonts w:cs="Arial"/>
        </w:rPr>
        <w:t>application</w:t>
      </w:r>
      <w:r w:rsidRPr="00FC45E9">
        <w:rPr>
          <w:rFonts w:cs="Arial"/>
        </w:rPr>
        <w:t xml:space="preserve">. The </w:t>
      </w:r>
      <w:r>
        <w:rPr>
          <w:rFonts w:cs="Arial"/>
        </w:rPr>
        <w:t xml:space="preserve">appointed </w:t>
      </w:r>
      <w:r w:rsidRPr="00FC45E9">
        <w:rPr>
          <w:rFonts w:cs="Arial"/>
        </w:rPr>
        <w:t>expert must be free of any real or perceived conflicts of interest</w:t>
      </w:r>
      <w:r>
        <w:rPr>
          <w:rFonts w:cs="Arial"/>
        </w:rPr>
        <w:t xml:space="preserve"> and/or declare any potential conflict of interest and advise how it will be managed</w:t>
      </w:r>
      <w:r w:rsidRPr="00FC45E9">
        <w:rPr>
          <w:rFonts w:cs="Arial"/>
        </w:rPr>
        <w:t>.</w:t>
      </w:r>
    </w:p>
    <w:p w14:paraId="5D770DDC" w14:textId="42A975FC" w:rsidR="00C66F7A" w:rsidRDefault="00C66F7A" w:rsidP="00C66F7A">
      <w:pPr>
        <w:pStyle w:val="ListBullet"/>
        <w:spacing w:line="264" w:lineRule="auto"/>
        <w:ind w:left="1089"/>
        <w:rPr>
          <w:rFonts w:cs="Arial"/>
        </w:rPr>
      </w:pPr>
      <w:r>
        <w:rPr>
          <w:rFonts w:cs="Arial"/>
        </w:rPr>
        <w:t>Before submitting the project’s design or planning application, a</w:t>
      </w:r>
      <w:r w:rsidRPr="00FC45E9">
        <w:rPr>
          <w:rFonts w:cs="Arial"/>
        </w:rPr>
        <w:t>n independent</w:t>
      </w:r>
      <w:r>
        <w:rPr>
          <w:rFonts w:cs="Arial"/>
        </w:rPr>
        <w:t xml:space="preserve">, accredited </w:t>
      </w:r>
      <w:r w:rsidRPr="00FC45E9">
        <w:rPr>
          <w:rFonts w:cs="Arial"/>
        </w:rPr>
        <w:t xml:space="preserve">auditor </w:t>
      </w:r>
      <w:r>
        <w:rPr>
          <w:rFonts w:cs="Arial"/>
        </w:rPr>
        <w:t>is</w:t>
      </w:r>
      <w:r w:rsidRPr="00FC45E9">
        <w:rPr>
          <w:rFonts w:cs="Arial"/>
        </w:rPr>
        <w:t xml:space="preserve"> appointed to scrutinise and review </w:t>
      </w:r>
      <w:r>
        <w:rPr>
          <w:rFonts w:cs="Arial"/>
        </w:rPr>
        <w:t xml:space="preserve">each </w:t>
      </w:r>
      <w:r w:rsidRPr="00FC45E9">
        <w:rPr>
          <w:rFonts w:cs="Arial"/>
        </w:rPr>
        <w:t>expert’s assessment/design report</w:t>
      </w:r>
      <w:r>
        <w:rPr>
          <w:rFonts w:cs="Arial"/>
        </w:rPr>
        <w:t xml:space="preserve">. The auditor’s reports and </w:t>
      </w:r>
      <w:r w:rsidRPr="00FC45E9">
        <w:rPr>
          <w:rFonts w:cs="Arial"/>
        </w:rPr>
        <w:t xml:space="preserve">findings/recommendations </w:t>
      </w:r>
      <w:r>
        <w:rPr>
          <w:rFonts w:cs="Arial"/>
        </w:rPr>
        <w:t xml:space="preserve">are provided </w:t>
      </w:r>
      <w:r w:rsidRPr="00FC45E9">
        <w:rPr>
          <w:rFonts w:cs="Arial"/>
        </w:rPr>
        <w:t xml:space="preserve">to </w:t>
      </w:r>
      <w:r>
        <w:rPr>
          <w:rFonts w:cs="Arial"/>
        </w:rPr>
        <w:t xml:space="preserve">the </w:t>
      </w:r>
      <w:r w:rsidRPr="00FC45E9">
        <w:rPr>
          <w:rFonts w:cs="Arial"/>
        </w:rPr>
        <w:t xml:space="preserve">developer, </w:t>
      </w:r>
      <w:r>
        <w:rPr>
          <w:rFonts w:cs="Arial"/>
        </w:rPr>
        <w:t xml:space="preserve">the developer’s expert, </w:t>
      </w:r>
      <w:r w:rsidRPr="00FC45E9">
        <w:rPr>
          <w:rFonts w:cs="Arial"/>
        </w:rPr>
        <w:t xml:space="preserve">the responsible </w:t>
      </w:r>
      <w:r>
        <w:rPr>
          <w:rFonts w:cs="Arial"/>
        </w:rPr>
        <w:t xml:space="preserve">planning </w:t>
      </w:r>
      <w:r w:rsidRPr="00FC45E9">
        <w:rPr>
          <w:rFonts w:cs="Arial"/>
        </w:rPr>
        <w:t>authority and other relevant agencies</w:t>
      </w:r>
      <w:r>
        <w:rPr>
          <w:rFonts w:cs="Arial"/>
        </w:rPr>
        <w:t xml:space="preserve"> for the subject matter</w:t>
      </w:r>
      <w:r w:rsidRPr="00FC45E9">
        <w:rPr>
          <w:rFonts w:cs="Arial"/>
        </w:rPr>
        <w:t xml:space="preserve"> (</w:t>
      </w:r>
      <w:r w:rsidR="006E499A" w:rsidRPr="00FC45E9">
        <w:rPr>
          <w:rFonts w:cs="Arial"/>
        </w:rPr>
        <w:t>e.g.,</w:t>
      </w:r>
      <w:r w:rsidRPr="00FC45E9">
        <w:rPr>
          <w:rFonts w:cs="Arial"/>
        </w:rPr>
        <w:t xml:space="preserve"> Civil Aviation Safety Authority, Country Fire Authority, Environment Protection Authority, </w:t>
      </w:r>
      <w:r>
        <w:rPr>
          <w:rFonts w:cs="Arial"/>
        </w:rPr>
        <w:t>Australian Government Department of the Environment, local Council</w:t>
      </w:r>
      <w:r w:rsidRPr="00FC45E9">
        <w:rPr>
          <w:rFonts w:cs="Arial"/>
        </w:rPr>
        <w:t xml:space="preserve"> etc.)</w:t>
      </w:r>
      <w:r>
        <w:rPr>
          <w:rFonts w:cs="Arial"/>
        </w:rPr>
        <w:t>.</w:t>
      </w:r>
    </w:p>
    <w:p w14:paraId="3B5B97F3" w14:textId="721F6957" w:rsidR="00C66F7A" w:rsidRPr="00FC45E9" w:rsidRDefault="00C66F7A" w:rsidP="00C66F7A">
      <w:pPr>
        <w:pStyle w:val="ListBullet"/>
        <w:spacing w:line="264" w:lineRule="auto"/>
        <w:ind w:left="1089"/>
        <w:rPr>
          <w:rFonts w:cs="Arial"/>
        </w:rPr>
      </w:pPr>
      <w:r>
        <w:rPr>
          <w:rFonts w:cs="Arial"/>
        </w:rPr>
        <w:t xml:space="preserve">Decisions to approve the planning application then include </w:t>
      </w:r>
      <w:r w:rsidR="00D45229">
        <w:rPr>
          <w:rFonts w:cs="Arial"/>
        </w:rPr>
        <w:t xml:space="preserve">a </w:t>
      </w:r>
      <w:r>
        <w:rPr>
          <w:rFonts w:cs="Arial"/>
        </w:rPr>
        <w:t>review of the expert’s predictive assessment reports together with the accompanying audit reports. An unfavourable audit report may require the expert to revise their report – or for the proponent to engage a new expert – before permit approval can be granted.</w:t>
      </w:r>
    </w:p>
    <w:p w14:paraId="43E115C0" w14:textId="77777777" w:rsidR="00C66F7A" w:rsidRPr="00FC45E9" w:rsidRDefault="00C66F7A" w:rsidP="00C66F7A">
      <w:pPr>
        <w:pStyle w:val="ListBullet"/>
        <w:spacing w:line="264" w:lineRule="auto"/>
        <w:ind w:left="1089"/>
        <w:rPr>
          <w:rFonts w:cs="Arial"/>
        </w:rPr>
      </w:pPr>
      <w:r>
        <w:rPr>
          <w:rFonts w:cs="Arial"/>
        </w:rPr>
        <w:t>O</w:t>
      </w:r>
      <w:r w:rsidRPr="00FC45E9">
        <w:rPr>
          <w:rFonts w:cs="Arial"/>
        </w:rPr>
        <w:t xml:space="preserve">nce the </w:t>
      </w:r>
      <w:r>
        <w:rPr>
          <w:rFonts w:cs="Arial"/>
        </w:rPr>
        <w:t xml:space="preserve">project </w:t>
      </w:r>
      <w:r w:rsidRPr="00FC45E9">
        <w:rPr>
          <w:rFonts w:cs="Arial"/>
        </w:rPr>
        <w:t>is constructed, a different expert (</w:t>
      </w:r>
      <w:r>
        <w:rPr>
          <w:rFonts w:cs="Arial"/>
        </w:rPr>
        <w:t xml:space="preserve">that is, different and unrelated </w:t>
      </w:r>
      <w:r w:rsidRPr="00FC45E9">
        <w:rPr>
          <w:rFonts w:cs="Arial"/>
        </w:rPr>
        <w:t xml:space="preserve">to the </w:t>
      </w:r>
      <w:r>
        <w:rPr>
          <w:rFonts w:cs="Arial"/>
        </w:rPr>
        <w:t xml:space="preserve">‘predictive </w:t>
      </w:r>
      <w:r w:rsidRPr="00FC45E9">
        <w:rPr>
          <w:rFonts w:cs="Arial"/>
        </w:rPr>
        <w:t>assessment</w:t>
      </w:r>
      <w:r>
        <w:rPr>
          <w:rFonts w:cs="Arial"/>
        </w:rPr>
        <w:t>’</w:t>
      </w:r>
      <w:r w:rsidRPr="00FC45E9">
        <w:rPr>
          <w:rFonts w:cs="Arial"/>
        </w:rPr>
        <w:t xml:space="preserve"> expert) </w:t>
      </w:r>
      <w:r>
        <w:rPr>
          <w:rFonts w:cs="Arial"/>
        </w:rPr>
        <w:t>is to be</w:t>
      </w:r>
      <w:r w:rsidRPr="00FC45E9">
        <w:rPr>
          <w:rFonts w:cs="Arial"/>
        </w:rPr>
        <w:t xml:space="preserve"> appointed to carry out required post-construction compliance assessments</w:t>
      </w:r>
      <w:r>
        <w:rPr>
          <w:rFonts w:cs="Arial"/>
        </w:rPr>
        <w:t>, as specified by the planning permit or equivalent instruments.</w:t>
      </w:r>
    </w:p>
    <w:p w14:paraId="2D0C43BD" w14:textId="77777777" w:rsidR="00C66F7A" w:rsidRDefault="00C66F7A" w:rsidP="00C66F7A">
      <w:pPr>
        <w:pStyle w:val="ListBullet"/>
        <w:spacing w:line="264" w:lineRule="auto"/>
        <w:ind w:left="1089"/>
        <w:rPr>
          <w:rFonts w:cs="Arial"/>
        </w:rPr>
      </w:pPr>
      <w:r>
        <w:rPr>
          <w:rFonts w:cs="Arial"/>
        </w:rPr>
        <w:t>T</w:t>
      </w:r>
      <w:r w:rsidRPr="00FC45E9">
        <w:rPr>
          <w:rFonts w:cs="Arial"/>
        </w:rPr>
        <w:t>he post-construction compliance report is then reviewed by a different</w:t>
      </w:r>
      <w:r>
        <w:rPr>
          <w:rFonts w:cs="Arial"/>
        </w:rPr>
        <w:t>, independent, accredited auditor (that is, no association with the auditor of the ‘predictive assessment’ report)</w:t>
      </w:r>
      <w:r w:rsidRPr="00FC45E9">
        <w:rPr>
          <w:rFonts w:cs="Arial"/>
        </w:rPr>
        <w:t xml:space="preserve"> </w:t>
      </w:r>
      <w:r>
        <w:rPr>
          <w:rFonts w:cs="Arial"/>
        </w:rPr>
        <w:t xml:space="preserve">to confirm the </w:t>
      </w:r>
      <w:r w:rsidRPr="00FC45E9">
        <w:rPr>
          <w:rFonts w:cs="Arial"/>
        </w:rPr>
        <w:t>accuracy and integrity</w:t>
      </w:r>
      <w:r>
        <w:rPr>
          <w:rFonts w:cs="Arial"/>
        </w:rPr>
        <w:t xml:space="preserve"> of the post-construction report</w:t>
      </w:r>
      <w:r w:rsidRPr="00FC45E9">
        <w:rPr>
          <w:rFonts w:cs="Arial"/>
        </w:rPr>
        <w:t>. Th</w:t>
      </w:r>
      <w:r>
        <w:rPr>
          <w:rFonts w:cs="Arial"/>
        </w:rPr>
        <w:t>e</w:t>
      </w:r>
      <w:r w:rsidRPr="00FC45E9">
        <w:rPr>
          <w:rFonts w:cs="Arial"/>
        </w:rPr>
        <w:t xml:space="preserve"> </w:t>
      </w:r>
      <w:r>
        <w:rPr>
          <w:rFonts w:cs="Arial"/>
        </w:rPr>
        <w:t xml:space="preserve">post-construction </w:t>
      </w:r>
      <w:r w:rsidRPr="00FC45E9">
        <w:rPr>
          <w:rFonts w:cs="Arial"/>
        </w:rPr>
        <w:t>auditor</w:t>
      </w:r>
      <w:r>
        <w:rPr>
          <w:rFonts w:cs="Arial"/>
        </w:rPr>
        <w:t>’s</w:t>
      </w:r>
      <w:r w:rsidRPr="00FC45E9">
        <w:rPr>
          <w:rFonts w:cs="Arial"/>
        </w:rPr>
        <w:t xml:space="preserve"> findings/recommendations </w:t>
      </w:r>
      <w:r>
        <w:rPr>
          <w:rFonts w:cs="Arial"/>
        </w:rPr>
        <w:t xml:space="preserve">are issued </w:t>
      </w:r>
      <w:r w:rsidRPr="00FC45E9">
        <w:rPr>
          <w:rFonts w:cs="Arial"/>
        </w:rPr>
        <w:t xml:space="preserve">to </w:t>
      </w:r>
      <w:r>
        <w:rPr>
          <w:rFonts w:cs="Arial"/>
        </w:rPr>
        <w:t xml:space="preserve">the </w:t>
      </w:r>
      <w:r w:rsidRPr="00FC45E9">
        <w:rPr>
          <w:rFonts w:cs="Arial"/>
        </w:rPr>
        <w:t>developer</w:t>
      </w:r>
      <w:r>
        <w:rPr>
          <w:rFonts w:cs="Arial"/>
        </w:rPr>
        <w:t xml:space="preserve">, </w:t>
      </w:r>
      <w:r w:rsidRPr="00FC45E9">
        <w:rPr>
          <w:rFonts w:cs="Arial"/>
        </w:rPr>
        <w:t>responsible authority</w:t>
      </w:r>
      <w:r>
        <w:rPr>
          <w:rFonts w:cs="Arial"/>
        </w:rPr>
        <w:t xml:space="preserve"> and other relevant agencies</w:t>
      </w:r>
      <w:r w:rsidRPr="00FC45E9">
        <w:rPr>
          <w:rFonts w:cs="Arial"/>
        </w:rPr>
        <w:t>.</w:t>
      </w:r>
    </w:p>
    <w:p w14:paraId="4A8F6D18" w14:textId="77777777" w:rsidR="00C66F7A" w:rsidRPr="00FC45E9" w:rsidRDefault="00C66F7A" w:rsidP="00C66F7A">
      <w:pPr>
        <w:pStyle w:val="ListBullet"/>
        <w:spacing w:line="264" w:lineRule="auto"/>
        <w:ind w:left="1089"/>
        <w:rPr>
          <w:rFonts w:cs="Arial"/>
        </w:rPr>
      </w:pPr>
      <w:r>
        <w:rPr>
          <w:rFonts w:cs="Arial"/>
        </w:rPr>
        <w:t>Project compliance is confirmed once the responsible authority is satisfied with the findings of the experts, accompanied by unqualified, independent audit reports.</w:t>
      </w:r>
    </w:p>
    <w:p w14:paraId="7B591DD6" w14:textId="77777777" w:rsidR="00C66F7A" w:rsidRPr="00FC45E9" w:rsidRDefault="00C66F7A" w:rsidP="00C66F7A">
      <w:pPr>
        <w:pStyle w:val="ListBullet"/>
        <w:numPr>
          <w:ilvl w:val="0"/>
          <w:numId w:val="0"/>
        </w:numPr>
        <w:spacing w:line="264" w:lineRule="auto"/>
        <w:ind w:left="369" w:hanging="9"/>
        <w:rPr>
          <w:rFonts w:cs="Arial"/>
        </w:rPr>
      </w:pPr>
      <w:r w:rsidRPr="00FC45E9">
        <w:rPr>
          <w:rFonts w:cs="Arial"/>
        </w:rPr>
        <w:t xml:space="preserve">These additional steps and </w:t>
      </w:r>
      <w:r>
        <w:rPr>
          <w:rFonts w:cs="Arial"/>
        </w:rPr>
        <w:t xml:space="preserve">appropriate </w:t>
      </w:r>
      <w:r w:rsidRPr="00FC45E9">
        <w:rPr>
          <w:rFonts w:cs="Arial"/>
        </w:rPr>
        <w:t xml:space="preserve">separation of experts and auditors will go a long way to </w:t>
      </w:r>
      <w:r>
        <w:rPr>
          <w:rFonts w:cs="Arial"/>
        </w:rPr>
        <w:t xml:space="preserve">facilitate </w:t>
      </w:r>
      <w:r w:rsidRPr="00FC45E9">
        <w:rPr>
          <w:rFonts w:cs="Arial"/>
        </w:rPr>
        <w:t xml:space="preserve">confidence for all stakeholders in the significant decisions </w:t>
      </w:r>
      <w:r>
        <w:rPr>
          <w:rFonts w:cs="Arial"/>
        </w:rPr>
        <w:t xml:space="preserve">that are </w:t>
      </w:r>
      <w:r w:rsidRPr="00FC45E9">
        <w:rPr>
          <w:rFonts w:cs="Arial"/>
        </w:rPr>
        <w:t xml:space="preserve">made based on expert reports. The process will also </w:t>
      </w:r>
      <w:r>
        <w:rPr>
          <w:rFonts w:cs="Arial"/>
        </w:rPr>
        <w:t>provide better protection for</w:t>
      </w:r>
      <w:r w:rsidRPr="00FC45E9">
        <w:rPr>
          <w:rFonts w:cs="Arial"/>
        </w:rPr>
        <w:t xml:space="preserve"> industry from very costly errors and risks of </w:t>
      </w:r>
      <w:r>
        <w:rPr>
          <w:rFonts w:cs="Arial"/>
        </w:rPr>
        <w:t xml:space="preserve">subsequently </w:t>
      </w:r>
      <w:r w:rsidRPr="00FC45E9">
        <w:rPr>
          <w:rFonts w:cs="Arial"/>
        </w:rPr>
        <w:t xml:space="preserve">being </w:t>
      </w:r>
      <w:r>
        <w:rPr>
          <w:rFonts w:cs="Arial"/>
        </w:rPr>
        <w:t xml:space="preserve">found to be </w:t>
      </w:r>
      <w:r w:rsidRPr="00FC45E9">
        <w:rPr>
          <w:rFonts w:cs="Arial"/>
        </w:rPr>
        <w:t>non-compliant.</w:t>
      </w:r>
    </w:p>
    <w:p w14:paraId="24DA9F11" w14:textId="77777777" w:rsidR="00C66F7A" w:rsidRDefault="00C66F7A" w:rsidP="00C66F7A">
      <w:pPr>
        <w:pStyle w:val="ListBullet"/>
        <w:numPr>
          <w:ilvl w:val="0"/>
          <w:numId w:val="0"/>
        </w:numPr>
        <w:spacing w:line="264" w:lineRule="auto"/>
        <w:ind w:left="369" w:hanging="9"/>
        <w:rPr>
          <w:rFonts w:cs="Arial"/>
        </w:rPr>
      </w:pPr>
      <w:r>
        <w:rPr>
          <w:rFonts w:cs="Arial"/>
        </w:rPr>
        <w:t>T</w:t>
      </w:r>
      <w:r w:rsidRPr="00FC45E9">
        <w:rPr>
          <w:rFonts w:cs="Arial"/>
        </w:rPr>
        <w:t xml:space="preserve">his </w:t>
      </w:r>
      <w:r>
        <w:rPr>
          <w:rFonts w:cs="Arial"/>
        </w:rPr>
        <w:t xml:space="preserve">type of </w:t>
      </w:r>
      <w:r w:rsidRPr="00FC45E9">
        <w:rPr>
          <w:rFonts w:cs="Arial"/>
        </w:rPr>
        <w:t xml:space="preserve">approach for noise assessments </w:t>
      </w:r>
      <w:r>
        <w:rPr>
          <w:rFonts w:cs="Arial"/>
        </w:rPr>
        <w:t xml:space="preserve">was piloted, on a voluntary basis, </w:t>
      </w:r>
      <w:r w:rsidRPr="00FC45E9">
        <w:rPr>
          <w:rFonts w:cs="Arial"/>
        </w:rPr>
        <w:t>at a proposed Victorian wind farm</w:t>
      </w:r>
      <w:r>
        <w:rPr>
          <w:rFonts w:cs="Arial"/>
        </w:rPr>
        <w:t>. In applying a more conservative approach than the initial assessment, the process found that a material number of turbines at that wind farm were at risk of breaching compliance if deployed as planned.</w:t>
      </w:r>
      <w:r w:rsidRPr="00FC45E9">
        <w:rPr>
          <w:rFonts w:cs="Arial"/>
        </w:rPr>
        <w:t xml:space="preserve"> </w:t>
      </w:r>
      <w:r>
        <w:rPr>
          <w:rFonts w:cs="Arial"/>
        </w:rPr>
        <w:t>Early identification of these issues allowed the proponent to adjust the operational design and parameters accordingly to ensure compliance – before construction commenced.</w:t>
      </w:r>
    </w:p>
    <w:p w14:paraId="7215209F" w14:textId="3E02AD46" w:rsidR="00C66F7A" w:rsidRPr="00FC45E9" w:rsidRDefault="00C66F7A" w:rsidP="00C66F7A">
      <w:pPr>
        <w:pStyle w:val="ListBullet"/>
        <w:numPr>
          <w:ilvl w:val="0"/>
          <w:numId w:val="0"/>
        </w:numPr>
        <w:spacing w:line="264" w:lineRule="auto"/>
        <w:ind w:left="369" w:hanging="9"/>
        <w:rPr>
          <w:rFonts w:cs="Arial"/>
        </w:rPr>
      </w:pPr>
      <w:r>
        <w:rPr>
          <w:rFonts w:cs="Arial"/>
        </w:rPr>
        <w:lastRenderedPageBreak/>
        <w:t>The Victorian G</w:t>
      </w:r>
      <w:r w:rsidRPr="00FC45E9">
        <w:rPr>
          <w:rFonts w:cs="Arial"/>
        </w:rPr>
        <w:t xml:space="preserve">overnment has </w:t>
      </w:r>
      <w:r>
        <w:rPr>
          <w:rFonts w:cs="Arial"/>
        </w:rPr>
        <w:t xml:space="preserve">now </w:t>
      </w:r>
      <w:r w:rsidRPr="00FC45E9">
        <w:rPr>
          <w:rFonts w:cs="Arial"/>
        </w:rPr>
        <w:t xml:space="preserve">formally adopted </w:t>
      </w:r>
      <w:r>
        <w:rPr>
          <w:rFonts w:cs="Arial"/>
        </w:rPr>
        <w:t xml:space="preserve">the accredited noise assessment auditor </w:t>
      </w:r>
      <w:r w:rsidRPr="00FC45E9">
        <w:rPr>
          <w:rFonts w:cs="Arial"/>
        </w:rPr>
        <w:t xml:space="preserve">framework for all new and modified wind farm planning permits. Other states have implemented or </w:t>
      </w:r>
      <w:r>
        <w:rPr>
          <w:rFonts w:cs="Arial"/>
        </w:rPr>
        <w:t xml:space="preserve">are </w:t>
      </w:r>
      <w:r w:rsidRPr="00FC45E9">
        <w:rPr>
          <w:rFonts w:cs="Arial"/>
        </w:rPr>
        <w:t>considering implementing variations on the above.</w:t>
      </w:r>
      <w:r>
        <w:rPr>
          <w:rFonts w:cs="Arial"/>
        </w:rPr>
        <w:t xml:space="preserve"> In some cases, industry proponents have also adopted some or all of these best practices, even if not required, to ensure </w:t>
      </w:r>
      <w:r w:rsidR="00D45229">
        <w:rPr>
          <w:rFonts w:cs="Arial"/>
        </w:rPr>
        <w:t xml:space="preserve">the </w:t>
      </w:r>
      <w:r>
        <w:rPr>
          <w:rFonts w:cs="Arial"/>
        </w:rPr>
        <w:t>integrity and accuracy of the expert reports they are relying on. The practice of utilising a different expert to undertake the post-construction compliance testing program is also being increasingly adopted by industry and recommended by auditors.</w:t>
      </w:r>
    </w:p>
    <w:p w14:paraId="2F915E9C" w14:textId="77777777" w:rsidR="00C66F7A" w:rsidRPr="00FC45E9" w:rsidRDefault="00C66F7A" w:rsidP="00C66F7A">
      <w:pPr>
        <w:pStyle w:val="ListBullet"/>
        <w:numPr>
          <w:ilvl w:val="0"/>
          <w:numId w:val="0"/>
        </w:numPr>
        <w:spacing w:line="264" w:lineRule="auto"/>
        <w:ind w:left="369" w:hanging="9"/>
        <w:rPr>
          <w:rFonts w:cs="Arial"/>
        </w:rPr>
      </w:pPr>
      <w:r w:rsidRPr="00FC45E9">
        <w:rPr>
          <w:rFonts w:cs="Arial"/>
        </w:rPr>
        <w:t>In addition to</w:t>
      </w:r>
      <w:r>
        <w:rPr>
          <w:rFonts w:cs="Arial"/>
        </w:rPr>
        <w:t xml:space="preserve"> predictive</w:t>
      </w:r>
      <w:r w:rsidRPr="00FC45E9">
        <w:rPr>
          <w:rFonts w:cs="Arial"/>
        </w:rPr>
        <w:t xml:space="preserve"> noise assessments, other expert disciplines that </w:t>
      </w:r>
      <w:r>
        <w:rPr>
          <w:rFonts w:cs="Arial"/>
        </w:rPr>
        <w:t xml:space="preserve">have </w:t>
      </w:r>
      <w:r w:rsidRPr="00FC45E9">
        <w:rPr>
          <w:rFonts w:cs="Arial"/>
        </w:rPr>
        <w:t xml:space="preserve">led to material issues in </w:t>
      </w:r>
      <w:r>
        <w:rPr>
          <w:rFonts w:cs="Arial"/>
        </w:rPr>
        <w:t xml:space="preserve">recent times </w:t>
      </w:r>
      <w:r w:rsidRPr="00FC45E9">
        <w:rPr>
          <w:rFonts w:cs="Arial"/>
        </w:rPr>
        <w:t>included aviation safety assessments</w:t>
      </w:r>
      <w:r>
        <w:rPr>
          <w:rFonts w:cs="Arial"/>
        </w:rPr>
        <w:t>, flora and fauna assessments, measurement of turbines from dwellings</w:t>
      </w:r>
      <w:r w:rsidRPr="00FC45E9">
        <w:rPr>
          <w:rFonts w:cs="Arial"/>
        </w:rPr>
        <w:t xml:space="preserve"> and vegetation clearing assessments for transportation routes.</w:t>
      </w:r>
      <w:r>
        <w:rPr>
          <w:rFonts w:cs="Arial"/>
        </w:rPr>
        <w:t xml:space="preserve"> Errors and/or omissions in those assessments lead to significant project delays, project cost overruns, litigation or non-approval/cancellation of the project as a result. </w:t>
      </w:r>
    </w:p>
    <w:p w14:paraId="76E76168" w14:textId="77777777" w:rsidR="00C66F7A" w:rsidRDefault="00C66F7A" w:rsidP="00C66F7A">
      <w:pPr>
        <w:pStyle w:val="ListBullet"/>
        <w:numPr>
          <w:ilvl w:val="0"/>
          <w:numId w:val="0"/>
        </w:numPr>
        <w:spacing w:line="264" w:lineRule="auto"/>
        <w:ind w:left="369" w:hanging="9"/>
        <w:rPr>
          <w:rFonts w:cs="Arial"/>
        </w:rPr>
      </w:pPr>
      <w:r w:rsidRPr="00FC45E9">
        <w:rPr>
          <w:rFonts w:cs="Arial"/>
        </w:rPr>
        <w:t xml:space="preserve">Finally, it is expected that these reforms will increase the </w:t>
      </w:r>
      <w:r>
        <w:rPr>
          <w:rFonts w:cs="Arial"/>
        </w:rPr>
        <w:t xml:space="preserve">market </w:t>
      </w:r>
      <w:r w:rsidRPr="00FC45E9">
        <w:rPr>
          <w:rFonts w:cs="Arial"/>
        </w:rPr>
        <w:t xml:space="preserve">opportunities for additional experts and auditors as well as help facilitate growth of skills and firms in the relevant </w:t>
      </w:r>
      <w:r>
        <w:rPr>
          <w:rFonts w:cs="Arial"/>
        </w:rPr>
        <w:t xml:space="preserve">expert </w:t>
      </w:r>
      <w:r w:rsidRPr="00FC45E9">
        <w:rPr>
          <w:rFonts w:cs="Arial"/>
        </w:rPr>
        <w:t>disciplines.</w:t>
      </w:r>
    </w:p>
    <w:p w14:paraId="2590D1B6"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3FCA0191" w14:textId="06D514BE" w:rsidR="00C66F7A" w:rsidRDefault="00C66F7A" w:rsidP="00C66F7A">
      <w:pPr>
        <w:pStyle w:val="ListParagraph"/>
        <w:numPr>
          <w:ilvl w:val="2"/>
          <w:numId w:val="8"/>
        </w:numPr>
        <w:spacing w:line="264" w:lineRule="auto"/>
        <w:ind w:left="1400" w:hanging="680"/>
        <w:rPr>
          <w:rFonts w:cs="Arial"/>
        </w:rPr>
      </w:pPr>
      <w:r w:rsidRPr="00D74798">
        <w:rPr>
          <w:rFonts w:cs="Arial"/>
        </w:rPr>
        <w:t xml:space="preserve">Given the heavy reliance on </w:t>
      </w:r>
      <w:r>
        <w:rPr>
          <w:rFonts w:cs="Arial"/>
        </w:rPr>
        <w:t xml:space="preserve">advice and </w:t>
      </w:r>
      <w:r w:rsidRPr="00D74798">
        <w:rPr>
          <w:rFonts w:cs="Arial"/>
        </w:rPr>
        <w:t xml:space="preserve">assessments provided by experts in </w:t>
      </w:r>
      <w:r>
        <w:rPr>
          <w:rFonts w:cs="Arial"/>
        </w:rPr>
        <w:t xml:space="preserve">a </w:t>
      </w:r>
      <w:r w:rsidRPr="00D74798">
        <w:rPr>
          <w:rFonts w:cs="Arial"/>
        </w:rPr>
        <w:t>project</w:t>
      </w:r>
      <w:r>
        <w:rPr>
          <w:rFonts w:cs="Arial"/>
        </w:rPr>
        <w:t>’s</w:t>
      </w:r>
      <w:r w:rsidRPr="00D74798">
        <w:rPr>
          <w:rFonts w:cs="Arial"/>
        </w:rPr>
        <w:t xml:space="preserve"> design, planning, construction and compliance decision-making, qualified experts used for assessment engagements should be ideally selected from an accredited panel or list. The panel or list could be maintained by the relevant responsible authority (or environmental regulator)</w:t>
      </w:r>
      <w:r>
        <w:rPr>
          <w:rFonts w:cs="Arial"/>
        </w:rPr>
        <w:t xml:space="preserve"> or </w:t>
      </w:r>
      <w:r w:rsidR="00D45229">
        <w:rPr>
          <w:rFonts w:cs="Arial"/>
        </w:rPr>
        <w:t xml:space="preserve">a </w:t>
      </w:r>
      <w:r>
        <w:rPr>
          <w:rFonts w:cs="Arial"/>
        </w:rPr>
        <w:t>recognised referral agency, such as CASA</w:t>
      </w:r>
      <w:r w:rsidRPr="00D74798">
        <w:rPr>
          <w:rFonts w:cs="Arial"/>
        </w:rPr>
        <w:t>.</w:t>
      </w:r>
      <w:r>
        <w:rPr>
          <w:rFonts w:cs="Arial"/>
        </w:rPr>
        <w:t xml:space="preserve"> </w:t>
      </w:r>
      <w:r w:rsidRPr="00D74798">
        <w:rPr>
          <w:rFonts w:cs="Arial"/>
        </w:rPr>
        <w:t xml:space="preserve">Alternately, the panel or list could be maintained by a relevant industry body or association. </w:t>
      </w:r>
    </w:p>
    <w:p w14:paraId="43AAF855" w14:textId="77777777" w:rsidR="00C66F7A" w:rsidRPr="00D74798" w:rsidRDefault="00C66F7A" w:rsidP="00C66F7A">
      <w:pPr>
        <w:pStyle w:val="ListParagraph"/>
        <w:numPr>
          <w:ilvl w:val="2"/>
          <w:numId w:val="8"/>
        </w:numPr>
        <w:spacing w:line="264" w:lineRule="auto"/>
        <w:ind w:left="1400" w:hanging="680"/>
        <w:rPr>
          <w:rFonts w:cs="Arial"/>
        </w:rPr>
      </w:pPr>
      <w:r w:rsidRPr="00D74798">
        <w:rPr>
          <w:rFonts w:cs="Arial"/>
        </w:rPr>
        <w:t xml:space="preserve">To ensure independence and remove any real or perceived conflicts of interest, the expert organisation (or </w:t>
      </w:r>
      <w:r>
        <w:rPr>
          <w:rFonts w:cs="Arial"/>
        </w:rPr>
        <w:t>‘</w:t>
      </w:r>
      <w:r w:rsidRPr="00D74798">
        <w:rPr>
          <w:rFonts w:cs="Arial"/>
        </w:rPr>
        <w:t>expert</w:t>
      </w:r>
      <w:r>
        <w:rPr>
          <w:rFonts w:cs="Arial"/>
        </w:rPr>
        <w:t>’</w:t>
      </w:r>
      <w:r w:rsidRPr="00D74798">
        <w:rPr>
          <w:rFonts w:cs="Arial"/>
        </w:rPr>
        <w:t xml:space="preserve">) selected to perform post-construction compliance assessments </w:t>
      </w:r>
      <w:r>
        <w:rPr>
          <w:rFonts w:cs="Arial"/>
        </w:rPr>
        <w:t xml:space="preserve">of </w:t>
      </w:r>
      <w:r w:rsidRPr="00D74798">
        <w:rPr>
          <w:rFonts w:cs="Arial"/>
        </w:rPr>
        <w:t xml:space="preserve">a </w:t>
      </w:r>
      <w:r>
        <w:rPr>
          <w:rFonts w:cs="Arial"/>
        </w:rPr>
        <w:t>project</w:t>
      </w:r>
      <w:r w:rsidRPr="00D74798">
        <w:rPr>
          <w:rFonts w:cs="Arial"/>
        </w:rPr>
        <w:t xml:space="preserve"> should be a different expert to the one engaged for the design</w:t>
      </w:r>
      <w:r>
        <w:rPr>
          <w:rFonts w:cs="Arial"/>
        </w:rPr>
        <w:t xml:space="preserve"> and predictive assessment </w:t>
      </w:r>
      <w:r w:rsidRPr="00D74798">
        <w:rPr>
          <w:rFonts w:cs="Arial"/>
        </w:rPr>
        <w:t>planning phase</w:t>
      </w:r>
      <w:r>
        <w:rPr>
          <w:rFonts w:cs="Arial"/>
        </w:rPr>
        <w:t>s</w:t>
      </w:r>
      <w:r w:rsidRPr="00D74798">
        <w:rPr>
          <w:rFonts w:cs="Arial"/>
        </w:rPr>
        <w:t xml:space="preserve"> of that </w:t>
      </w:r>
      <w:r>
        <w:rPr>
          <w:rFonts w:cs="Arial"/>
        </w:rPr>
        <w:t>project</w:t>
      </w:r>
      <w:r w:rsidRPr="00D74798">
        <w:rPr>
          <w:rFonts w:cs="Arial"/>
        </w:rPr>
        <w:t>.</w:t>
      </w:r>
    </w:p>
    <w:p w14:paraId="1105BADC" w14:textId="37897046"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Expert reports, assessments and techniques used for planning submissions, such as the predictive noise assessment, should be reviewed and assessed by an independent auditor appointed or accredited by the responsible authority and/or relevant regulator. Further, expert reports prepared with respect to post-construction compliance should also be reviewed and assessed by a different, independent auditor, also appointed or accredited by the responsible authority and/or relevant regulator. </w:t>
      </w:r>
    </w:p>
    <w:p w14:paraId="23DE4591"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The appointed independent auditors (refer to Recommendation 6.2.3) should be suitably qualified, experienced and accredited, have the ability to assess the integrity and accuracy of the expert’s report and be able to identify and confirm compliance or non-compliance with the relevant permit conditions and/or prescribed standards.</w:t>
      </w:r>
    </w:p>
    <w:p w14:paraId="211F95A2" w14:textId="2EA51090" w:rsidR="00C66F7A" w:rsidRDefault="00C66F7A" w:rsidP="00C66F7A">
      <w:pPr>
        <w:pStyle w:val="ListParagraph"/>
        <w:numPr>
          <w:ilvl w:val="2"/>
          <w:numId w:val="8"/>
        </w:numPr>
        <w:spacing w:line="264" w:lineRule="auto"/>
        <w:ind w:left="1400" w:hanging="680"/>
        <w:rPr>
          <w:rFonts w:cs="Arial"/>
        </w:rPr>
      </w:pPr>
      <w:r w:rsidRPr="00FC45E9">
        <w:rPr>
          <w:rFonts w:cs="Arial"/>
        </w:rPr>
        <w:t xml:space="preserve">Planning </w:t>
      </w:r>
      <w:r>
        <w:rPr>
          <w:rFonts w:cs="Arial"/>
        </w:rPr>
        <w:t xml:space="preserve">permit </w:t>
      </w:r>
      <w:r w:rsidRPr="00FC45E9">
        <w:rPr>
          <w:rFonts w:cs="Arial"/>
        </w:rPr>
        <w:t xml:space="preserve">approval processes should carefully take into account the advice of </w:t>
      </w:r>
      <w:r>
        <w:rPr>
          <w:rFonts w:cs="Arial"/>
        </w:rPr>
        <w:t xml:space="preserve">independent </w:t>
      </w:r>
      <w:r w:rsidRPr="00FC45E9">
        <w:rPr>
          <w:rFonts w:cs="Arial"/>
        </w:rPr>
        <w:t>auditors and</w:t>
      </w:r>
      <w:r>
        <w:rPr>
          <w:rFonts w:cs="Arial"/>
        </w:rPr>
        <w:t>/or</w:t>
      </w:r>
      <w:r w:rsidRPr="00FC45E9">
        <w:rPr>
          <w:rFonts w:cs="Arial"/>
        </w:rPr>
        <w:t xml:space="preserve"> referral agencies, such as CASA, before deciding on whether to approve a project. </w:t>
      </w:r>
      <w:r>
        <w:rPr>
          <w:rFonts w:cs="Arial"/>
        </w:rPr>
        <w:t>Where appropriate</w:t>
      </w:r>
      <w:r w:rsidRPr="00FC45E9">
        <w:rPr>
          <w:rFonts w:cs="Arial"/>
        </w:rPr>
        <w:t>, designated authorities</w:t>
      </w:r>
      <w:r>
        <w:rPr>
          <w:rFonts w:cs="Arial"/>
        </w:rPr>
        <w:t xml:space="preserve"> (</w:t>
      </w:r>
      <w:r w:rsidR="006E499A">
        <w:rPr>
          <w:rFonts w:cs="Arial"/>
        </w:rPr>
        <w:t>e.g.,</w:t>
      </w:r>
      <w:r>
        <w:rPr>
          <w:rFonts w:cs="Arial"/>
        </w:rPr>
        <w:t xml:space="preserve"> the relevant road authority)</w:t>
      </w:r>
      <w:r w:rsidRPr="00FC45E9">
        <w:rPr>
          <w:rFonts w:cs="Arial"/>
        </w:rPr>
        <w:t xml:space="preserve"> </w:t>
      </w:r>
      <w:r>
        <w:rPr>
          <w:rFonts w:cs="Arial"/>
        </w:rPr>
        <w:t xml:space="preserve">may be </w:t>
      </w:r>
      <w:r w:rsidRPr="00FC45E9">
        <w:rPr>
          <w:rFonts w:cs="Arial"/>
        </w:rPr>
        <w:t xml:space="preserve">deemed to be </w:t>
      </w:r>
      <w:r>
        <w:rPr>
          <w:rFonts w:cs="Arial"/>
        </w:rPr>
        <w:t xml:space="preserve">a </w:t>
      </w:r>
      <w:r w:rsidRPr="00FC45E9">
        <w:rPr>
          <w:rFonts w:cs="Arial"/>
        </w:rPr>
        <w:t>statutory referral agenc</w:t>
      </w:r>
      <w:r>
        <w:rPr>
          <w:rFonts w:cs="Arial"/>
        </w:rPr>
        <w:t>y,</w:t>
      </w:r>
      <w:r w:rsidRPr="00FC45E9">
        <w:rPr>
          <w:rFonts w:cs="Arial"/>
        </w:rPr>
        <w:t xml:space="preserve"> whereby their advice and recommendations must be adhered to by the responsible planning authority. </w:t>
      </w:r>
    </w:p>
    <w:p w14:paraId="53BC260B" w14:textId="77777777" w:rsidR="00C66F7A" w:rsidRDefault="00C66F7A" w:rsidP="00C66F7A">
      <w:pPr>
        <w:rPr>
          <w:rFonts w:cs="Arial"/>
        </w:rPr>
      </w:pPr>
      <w:r>
        <w:rPr>
          <w:rFonts w:cs="Arial"/>
        </w:rPr>
        <w:br w:type="page"/>
      </w:r>
    </w:p>
    <w:p w14:paraId="740C44B1" w14:textId="77777777" w:rsidR="00C66F7A" w:rsidRPr="00FC45E9" w:rsidRDefault="00C66F7A" w:rsidP="00C66F7A">
      <w:pPr>
        <w:pStyle w:val="Heading2"/>
        <w:numPr>
          <w:ilvl w:val="0"/>
          <w:numId w:val="8"/>
        </w:numPr>
      </w:pPr>
      <w:bookmarkStart w:id="226" w:name="_Toc51224054"/>
      <w:bookmarkStart w:id="227" w:name="_Toc84430835"/>
      <w:bookmarkStart w:id="228" w:name="_Toc98781025"/>
      <w:bookmarkStart w:id="229" w:name="_Toc135390655"/>
      <w:r w:rsidRPr="00FC45E9">
        <w:lastRenderedPageBreak/>
        <w:t>Complaint Handling and Emergency Procedures</w:t>
      </w:r>
      <w:bookmarkEnd w:id="226"/>
      <w:bookmarkEnd w:id="227"/>
      <w:bookmarkEnd w:id="228"/>
      <w:bookmarkEnd w:id="229"/>
    </w:p>
    <w:p w14:paraId="15B42C32"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3C10313D" w14:textId="77777777" w:rsidR="00C66F7A" w:rsidRPr="00861E58" w:rsidRDefault="00C66F7A" w:rsidP="00F25864">
      <w:pPr>
        <w:pStyle w:val="Heading3"/>
        <w:ind w:firstLine="360"/>
      </w:pPr>
      <w:bookmarkStart w:id="230" w:name="_Toc135390656"/>
      <w:r w:rsidRPr="00861E58">
        <w:t>Complaint handling</w:t>
      </w:r>
      <w:bookmarkEnd w:id="230"/>
    </w:p>
    <w:p w14:paraId="543DB80B" w14:textId="77777777" w:rsidR="00C66F7A" w:rsidRDefault="00C66F7A" w:rsidP="00C66F7A">
      <w:pPr>
        <w:pStyle w:val="ListParagraph"/>
        <w:numPr>
          <w:ilvl w:val="0"/>
          <w:numId w:val="0"/>
        </w:numPr>
        <w:spacing w:line="264" w:lineRule="auto"/>
        <w:ind w:left="360"/>
        <w:rPr>
          <w:rFonts w:cs="Arial"/>
        </w:rPr>
      </w:pPr>
      <w:r>
        <w:rPr>
          <w:rFonts w:cs="Arial"/>
        </w:rPr>
        <w:t>It is inevitable that major infrastructure projects will attract concerns and complaints from community members and other stakeholders – particularly during the development and construction phases of the project.</w:t>
      </w:r>
    </w:p>
    <w:p w14:paraId="5ECA5164" w14:textId="77777777" w:rsidR="00C66F7A" w:rsidRDefault="00C66F7A" w:rsidP="00C66F7A">
      <w:pPr>
        <w:pStyle w:val="ListParagraph"/>
        <w:numPr>
          <w:ilvl w:val="0"/>
          <w:numId w:val="0"/>
        </w:numPr>
        <w:spacing w:line="264" w:lineRule="auto"/>
        <w:ind w:left="360"/>
        <w:rPr>
          <w:rFonts w:cs="Arial"/>
        </w:rPr>
      </w:pPr>
      <w:r>
        <w:rPr>
          <w:rFonts w:cs="Arial"/>
        </w:rPr>
        <w:t>Rather than being perceived as an indicator of failure or a nuisance to have to respond to, complaints should be embraced by developers as an opportunity to correct a misperception, provide helpful information, or rectify a real issue. Further, it is a terrific opportunity to build a positive relationship with the complainant moving forward.</w:t>
      </w:r>
    </w:p>
    <w:p w14:paraId="12A1498A" w14:textId="77777777" w:rsidR="00C66F7A" w:rsidRDefault="00C66F7A" w:rsidP="00C66F7A">
      <w:pPr>
        <w:pStyle w:val="ListParagraph"/>
        <w:numPr>
          <w:ilvl w:val="0"/>
          <w:numId w:val="0"/>
        </w:numPr>
        <w:spacing w:line="264" w:lineRule="auto"/>
        <w:ind w:left="360"/>
        <w:rPr>
          <w:rFonts w:cs="Arial"/>
        </w:rPr>
      </w:pPr>
      <w:r>
        <w:rPr>
          <w:rFonts w:cs="Arial"/>
        </w:rPr>
        <w:t>The clear majority of complaints received by our Office are about proposed projects in the development or construction phase. Most of these complaints are resolvable by the provision of factual information to address the concern.</w:t>
      </w:r>
    </w:p>
    <w:p w14:paraId="508EEF4D" w14:textId="77777777" w:rsidR="00C66F7A" w:rsidRPr="00FC45E9" w:rsidRDefault="00C66F7A" w:rsidP="00C66F7A">
      <w:pPr>
        <w:pStyle w:val="ListParagraph"/>
        <w:numPr>
          <w:ilvl w:val="0"/>
          <w:numId w:val="0"/>
        </w:numPr>
        <w:spacing w:line="264" w:lineRule="auto"/>
        <w:ind w:left="360"/>
        <w:rPr>
          <w:rFonts w:cs="Arial"/>
        </w:rPr>
      </w:pPr>
      <w:r>
        <w:rPr>
          <w:rFonts w:cs="Arial"/>
        </w:rPr>
        <w:t xml:space="preserve">Projects </w:t>
      </w:r>
      <w:r w:rsidRPr="00FC45E9">
        <w:rPr>
          <w:rFonts w:cs="Arial"/>
        </w:rPr>
        <w:t>are typically required to establish a complaint handling procedure</w:t>
      </w:r>
      <w:r>
        <w:rPr>
          <w:rFonts w:cs="Arial"/>
        </w:rPr>
        <w:t xml:space="preserve">, together with </w:t>
      </w:r>
      <w:r w:rsidRPr="00FC45E9">
        <w:rPr>
          <w:rFonts w:cs="Arial"/>
        </w:rPr>
        <w:t>supporting systems and processes</w:t>
      </w:r>
      <w:r>
        <w:rPr>
          <w:rFonts w:cs="Arial"/>
        </w:rPr>
        <w:t>,</w:t>
      </w:r>
      <w:r w:rsidRPr="00FC45E9">
        <w:rPr>
          <w:rFonts w:cs="Arial"/>
        </w:rPr>
        <w:t xml:space="preserve"> to comply with planning permit conditions. It is also </w:t>
      </w:r>
      <w:r>
        <w:rPr>
          <w:rFonts w:cs="Arial"/>
        </w:rPr>
        <w:t xml:space="preserve">best practice </w:t>
      </w:r>
      <w:r w:rsidRPr="00FC45E9">
        <w:rPr>
          <w:rFonts w:cs="Arial"/>
        </w:rPr>
        <w:t xml:space="preserve">that </w:t>
      </w:r>
      <w:r>
        <w:rPr>
          <w:rFonts w:cs="Arial"/>
        </w:rPr>
        <w:t>a</w:t>
      </w:r>
      <w:r w:rsidRPr="00FC45E9">
        <w:rPr>
          <w:rFonts w:cs="Arial"/>
        </w:rPr>
        <w:t xml:space="preserve"> </w:t>
      </w:r>
      <w:r>
        <w:rPr>
          <w:rFonts w:cs="Arial"/>
        </w:rPr>
        <w:t>project</w:t>
      </w:r>
      <w:r w:rsidRPr="00FC45E9">
        <w:rPr>
          <w:rFonts w:cs="Arial"/>
        </w:rPr>
        <w:t xml:space="preserve"> </w:t>
      </w:r>
      <w:r>
        <w:rPr>
          <w:rFonts w:cs="Arial"/>
        </w:rPr>
        <w:t>can</w:t>
      </w:r>
      <w:r w:rsidRPr="00FC45E9">
        <w:rPr>
          <w:rFonts w:cs="Arial"/>
        </w:rPr>
        <w:t xml:space="preserve"> properly receive, investigate and resolve complaints </w:t>
      </w:r>
      <w:r>
        <w:rPr>
          <w:rFonts w:cs="Arial"/>
        </w:rPr>
        <w:t>during all phases of the project – from initial development through to mature</w:t>
      </w:r>
      <w:r w:rsidRPr="00FC45E9">
        <w:rPr>
          <w:rFonts w:cs="Arial"/>
        </w:rPr>
        <w:t xml:space="preserve"> facility operations</w:t>
      </w:r>
      <w:r>
        <w:rPr>
          <w:rFonts w:cs="Arial"/>
        </w:rPr>
        <w:t>.</w:t>
      </w:r>
    </w:p>
    <w:p w14:paraId="167F3158"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Complaint handling procedures are generally required to be submitted and endorsed by the responsible authority. However, </w:t>
      </w:r>
      <w:r>
        <w:rPr>
          <w:rFonts w:cs="Arial"/>
        </w:rPr>
        <w:t>in many cases, l</w:t>
      </w:r>
      <w:r w:rsidRPr="00FC45E9">
        <w:rPr>
          <w:rFonts w:cs="Arial"/>
        </w:rPr>
        <w:t>imited guidance is provided in permit conditions as to the process, scope, requirements and standards that the complaint handling procedure should adhere to.</w:t>
      </w:r>
    </w:p>
    <w:p w14:paraId="2894C4AD" w14:textId="0D7923B5" w:rsidR="00C66F7A" w:rsidRDefault="00C66F7A" w:rsidP="00C66F7A">
      <w:pPr>
        <w:pStyle w:val="ListParagraph"/>
        <w:numPr>
          <w:ilvl w:val="0"/>
          <w:numId w:val="0"/>
        </w:numPr>
        <w:spacing w:line="264" w:lineRule="auto"/>
        <w:ind w:left="360"/>
        <w:rPr>
          <w:rFonts w:cs="Arial"/>
        </w:rPr>
      </w:pPr>
      <w:r w:rsidRPr="00FC45E9">
        <w:rPr>
          <w:rFonts w:cs="Arial"/>
        </w:rPr>
        <w:t xml:space="preserve">While </w:t>
      </w:r>
      <w:r>
        <w:rPr>
          <w:rFonts w:cs="Arial"/>
        </w:rPr>
        <w:t>many projects</w:t>
      </w:r>
      <w:r w:rsidRPr="00FC45E9">
        <w:rPr>
          <w:rFonts w:cs="Arial"/>
        </w:rPr>
        <w:t xml:space="preserve"> are likely to be compliant with the requirement to submit and have an endorsed complaint handling procedure, </w:t>
      </w:r>
      <w:r>
        <w:rPr>
          <w:rFonts w:cs="Arial"/>
        </w:rPr>
        <w:t xml:space="preserve">our </w:t>
      </w:r>
      <w:r w:rsidRPr="00FC45E9">
        <w:rPr>
          <w:rFonts w:cs="Arial"/>
        </w:rPr>
        <w:t xml:space="preserve">observations have been that </w:t>
      </w:r>
      <w:r>
        <w:rPr>
          <w:rFonts w:cs="Arial"/>
        </w:rPr>
        <w:t>many projects</w:t>
      </w:r>
      <w:r w:rsidRPr="00FC45E9">
        <w:rPr>
          <w:rFonts w:cs="Arial"/>
        </w:rPr>
        <w:t xml:space="preserve"> </w:t>
      </w:r>
      <w:r>
        <w:rPr>
          <w:rFonts w:cs="Arial"/>
        </w:rPr>
        <w:t xml:space="preserve">still neglect to </w:t>
      </w:r>
      <w:r w:rsidRPr="00FC45E9">
        <w:rPr>
          <w:rFonts w:cs="Arial"/>
        </w:rPr>
        <w:t xml:space="preserve">publish the procedure or communicate the procedure to the community. </w:t>
      </w:r>
      <w:r>
        <w:rPr>
          <w:rFonts w:cs="Arial"/>
        </w:rPr>
        <w:t xml:space="preserve">Further, it is still not often clear how community members can contact the developer to make and lodge a complaint or concern. </w:t>
      </w:r>
    </w:p>
    <w:p w14:paraId="6E49F42A"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This lack of transparency can make it difficult for community members to know how to make a complaint and the process by which they should expect their complaint to be handled.</w:t>
      </w:r>
    </w:p>
    <w:p w14:paraId="2628EEDD" w14:textId="77777777" w:rsidR="00C66F7A" w:rsidRDefault="00C66F7A" w:rsidP="00C66F7A">
      <w:pPr>
        <w:pStyle w:val="ListParagraph"/>
        <w:numPr>
          <w:ilvl w:val="0"/>
          <w:numId w:val="0"/>
        </w:numPr>
        <w:spacing w:line="264" w:lineRule="auto"/>
        <w:ind w:left="360"/>
        <w:rPr>
          <w:rFonts w:cs="Arial"/>
        </w:rPr>
      </w:pPr>
      <w:r>
        <w:rPr>
          <w:rFonts w:cs="Arial"/>
        </w:rPr>
        <w:t xml:space="preserve">Over time, </w:t>
      </w:r>
      <w:r w:rsidRPr="00FC45E9">
        <w:rPr>
          <w:rFonts w:cs="Arial"/>
        </w:rPr>
        <w:t xml:space="preserve">many </w:t>
      </w:r>
      <w:r>
        <w:rPr>
          <w:rFonts w:cs="Arial"/>
        </w:rPr>
        <w:t>projects</w:t>
      </w:r>
      <w:r w:rsidRPr="00FC45E9">
        <w:rPr>
          <w:rFonts w:cs="Arial"/>
        </w:rPr>
        <w:t xml:space="preserve"> have adopted </w:t>
      </w:r>
      <w:r>
        <w:rPr>
          <w:rFonts w:cs="Arial"/>
        </w:rPr>
        <w:t>the Commissioner’s</w:t>
      </w:r>
      <w:r w:rsidRPr="00FC45E9">
        <w:rPr>
          <w:rFonts w:cs="Arial"/>
        </w:rPr>
        <w:t xml:space="preserve"> suggestions</w:t>
      </w:r>
      <w:r>
        <w:rPr>
          <w:rFonts w:cs="Arial"/>
        </w:rPr>
        <w:t xml:space="preserve">, making </w:t>
      </w:r>
      <w:r w:rsidRPr="00FC45E9">
        <w:rPr>
          <w:rFonts w:cs="Arial"/>
        </w:rPr>
        <w:t xml:space="preserve">their </w:t>
      </w:r>
      <w:r>
        <w:rPr>
          <w:rFonts w:cs="Arial"/>
        </w:rPr>
        <w:t xml:space="preserve">complaint handling </w:t>
      </w:r>
      <w:r w:rsidRPr="00FC45E9">
        <w:rPr>
          <w:rFonts w:cs="Arial"/>
        </w:rPr>
        <w:t>procedures transparent</w:t>
      </w:r>
      <w:r>
        <w:rPr>
          <w:rFonts w:cs="Arial"/>
        </w:rPr>
        <w:t xml:space="preserve"> and demonstrating c</w:t>
      </w:r>
      <w:r w:rsidRPr="00FC45E9">
        <w:rPr>
          <w:rFonts w:cs="Arial"/>
        </w:rPr>
        <w:t xml:space="preserve">ompliance with their processes </w:t>
      </w:r>
      <w:r>
        <w:rPr>
          <w:rFonts w:cs="Arial"/>
        </w:rPr>
        <w:t>when handling co</w:t>
      </w:r>
      <w:r w:rsidRPr="00FC45E9">
        <w:rPr>
          <w:rFonts w:cs="Arial"/>
        </w:rPr>
        <w:t>mplaint</w:t>
      </w:r>
      <w:r>
        <w:rPr>
          <w:rFonts w:cs="Arial"/>
        </w:rPr>
        <w:t>s</w:t>
      </w:r>
      <w:r w:rsidRPr="00FC45E9">
        <w:rPr>
          <w:rFonts w:cs="Arial"/>
        </w:rPr>
        <w:t xml:space="preserve">. </w:t>
      </w:r>
    </w:p>
    <w:p w14:paraId="0B6054A7"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However, there are still further opportunities for </w:t>
      </w:r>
      <w:r>
        <w:rPr>
          <w:rFonts w:cs="Arial"/>
        </w:rPr>
        <w:t xml:space="preserve">developers </w:t>
      </w:r>
      <w:r w:rsidRPr="00FC45E9">
        <w:rPr>
          <w:rFonts w:cs="Arial"/>
        </w:rPr>
        <w:t>to ensure they are following their own documented procedures when handling complaints and avoid situations including:</w:t>
      </w:r>
    </w:p>
    <w:p w14:paraId="099C3F45" w14:textId="77777777" w:rsidR="00C66F7A" w:rsidRPr="00FC45E9" w:rsidRDefault="00C66F7A" w:rsidP="00C66F7A">
      <w:pPr>
        <w:pStyle w:val="ListParagraph"/>
        <w:numPr>
          <w:ilvl w:val="0"/>
          <w:numId w:val="17"/>
        </w:numPr>
        <w:spacing w:line="264" w:lineRule="auto"/>
        <w:rPr>
          <w:rFonts w:cs="Arial"/>
        </w:rPr>
      </w:pPr>
      <w:r>
        <w:rPr>
          <w:rFonts w:cs="Arial"/>
        </w:rPr>
        <w:t xml:space="preserve">projects </w:t>
      </w:r>
      <w:r w:rsidRPr="00FC45E9">
        <w:rPr>
          <w:rFonts w:cs="Arial"/>
        </w:rPr>
        <w:t>not following their own published procedure for handling complaints</w:t>
      </w:r>
    </w:p>
    <w:p w14:paraId="4A34012C" w14:textId="77777777" w:rsidR="00C66F7A" w:rsidRPr="00FC45E9" w:rsidRDefault="00C66F7A" w:rsidP="00C66F7A">
      <w:pPr>
        <w:pStyle w:val="ListParagraph"/>
        <w:numPr>
          <w:ilvl w:val="0"/>
          <w:numId w:val="17"/>
        </w:numPr>
        <w:spacing w:line="264" w:lineRule="auto"/>
        <w:rPr>
          <w:rFonts w:cs="Arial"/>
        </w:rPr>
      </w:pPr>
      <w:r>
        <w:rPr>
          <w:rFonts w:cs="Arial"/>
        </w:rPr>
        <w:t xml:space="preserve">projects </w:t>
      </w:r>
      <w:r w:rsidRPr="00FC45E9">
        <w:rPr>
          <w:rFonts w:cs="Arial"/>
        </w:rPr>
        <w:t xml:space="preserve">failing to internally escalate the complaint </w:t>
      </w:r>
      <w:r>
        <w:rPr>
          <w:rFonts w:cs="Arial"/>
        </w:rPr>
        <w:t xml:space="preserve">for review </w:t>
      </w:r>
      <w:r w:rsidRPr="00FC45E9">
        <w:rPr>
          <w:rFonts w:cs="Arial"/>
        </w:rPr>
        <w:t>when the complaint has not been resolved</w:t>
      </w:r>
    </w:p>
    <w:p w14:paraId="481DDD49" w14:textId="77777777" w:rsidR="00C66F7A" w:rsidRDefault="00C66F7A" w:rsidP="00C66F7A">
      <w:pPr>
        <w:pStyle w:val="ListParagraph"/>
        <w:numPr>
          <w:ilvl w:val="0"/>
          <w:numId w:val="17"/>
        </w:numPr>
        <w:spacing w:line="264" w:lineRule="auto"/>
        <w:rPr>
          <w:rFonts w:cs="Arial"/>
        </w:rPr>
      </w:pPr>
      <w:r w:rsidRPr="00FC45E9">
        <w:rPr>
          <w:rFonts w:cs="Arial"/>
        </w:rPr>
        <w:t xml:space="preserve">multiple complaints from a </w:t>
      </w:r>
      <w:r>
        <w:rPr>
          <w:rFonts w:cs="Arial"/>
        </w:rPr>
        <w:t xml:space="preserve">complainant </w:t>
      </w:r>
      <w:r w:rsidRPr="00FC45E9">
        <w:rPr>
          <w:rFonts w:cs="Arial"/>
        </w:rPr>
        <w:t>about the same issue</w:t>
      </w:r>
      <w:r>
        <w:rPr>
          <w:rFonts w:cs="Arial"/>
        </w:rPr>
        <w:t xml:space="preserve"> or issues</w:t>
      </w:r>
      <w:r w:rsidRPr="00FC45E9">
        <w:rPr>
          <w:rFonts w:cs="Arial"/>
        </w:rPr>
        <w:t xml:space="preserve"> – with no visible action being taken by the </w:t>
      </w:r>
      <w:r>
        <w:rPr>
          <w:rFonts w:cs="Arial"/>
        </w:rPr>
        <w:t xml:space="preserve">proponent </w:t>
      </w:r>
      <w:r w:rsidRPr="00FC45E9">
        <w:rPr>
          <w:rFonts w:cs="Arial"/>
        </w:rPr>
        <w:t>to investigate or resolve</w:t>
      </w:r>
    </w:p>
    <w:p w14:paraId="3CBF0D5D" w14:textId="77777777" w:rsidR="00C66F7A" w:rsidRPr="00FC45E9" w:rsidRDefault="00C66F7A" w:rsidP="00C66F7A">
      <w:pPr>
        <w:pStyle w:val="ListParagraph"/>
        <w:numPr>
          <w:ilvl w:val="0"/>
          <w:numId w:val="17"/>
        </w:numPr>
        <w:spacing w:line="264" w:lineRule="auto"/>
        <w:rPr>
          <w:rFonts w:cs="Arial"/>
        </w:rPr>
      </w:pPr>
      <w:r>
        <w:rPr>
          <w:rFonts w:cs="Arial"/>
        </w:rPr>
        <w:t>multiple complaint reference numbers being issued to the complainant for the same complaint, encouraging complainants to make repetitive complaints in the hope it will carry some weight</w:t>
      </w:r>
    </w:p>
    <w:p w14:paraId="08708C72" w14:textId="77777777" w:rsidR="00C66F7A" w:rsidRDefault="00C66F7A" w:rsidP="00C66F7A">
      <w:pPr>
        <w:pStyle w:val="ListParagraph"/>
        <w:numPr>
          <w:ilvl w:val="0"/>
          <w:numId w:val="17"/>
        </w:numPr>
        <w:spacing w:line="264" w:lineRule="auto"/>
        <w:rPr>
          <w:rFonts w:cs="Arial"/>
        </w:rPr>
      </w:pPr>
      <w:r w:rsidRPr="00FC45E9">
        <w:rPr>
          <w:rFonts w:cs="Arial"/>
        </w:rPr>
        <w:t xml:space="preserve">a lack of rigour </w:t>
      </w:r>
      <w:r>
        <w:rPr>
          <w:rFonts w:cs="Arial"/>
        </w:rPr>
        <w:t xml:space="preserve">or process </w:t>
      </w:r>
      <w:r w:rsidRPr="00FC45E9">
        <w:rPr>
          <w:rFonts w:cs="Arial"/>
        </w:rPr>
        <w:t xml:space="preserve">in </w:t>
      </w:r>
      <w:r>
        <w:rPr>
          <w:rFonts w:cs="Arial"/>
        </w:rPr>
        <w:t xml:space="preserve">complaint </w:t>
      </w:r>
      <w:r w:rsidRPr="00FC45E9">
        <w:rPr>
          <w:rFonts w:cs="Arial"/>
        </w:rPr>
        <w:t>investigations</w:t>
      </w:r>
      <w:r>
        <w:rPr>
          <w:rFonts w:cs="Arial"/>
        </w:rPr>
        <w:t xml:space="preserve"> </w:t>
      </w:r>
    </w:p>
    <w:p w14:paraId="60C894DA" w14:textId="77777777" w:rsidR="00C66F7A" w:rsidRDefault="00C66F7A" w:rsidP="00C66F7A">
      <w:pPr>
        <w:pStyle w:val="ListParagraph"/>
        <w:numPr>
          <w:ilvl w:val="0"/>
          <w:numId w:val="17"/>
        </w:numPr>
        <w:spacing w:line="264" w:lineRule="auto"/>
        <w:rPr>
          <w:rFonts w:cs="Arial"/>
        </w:rPr>
      </w:pPr>
      <w:r>
        <w:rPr>
          <w:rFonts w:cs="Arial"/>
        </w:rPr>
        <w:t>poor content and lack of clarity in developer correspondence responding to the complainant</w:t>
      </w:r>
    </w:p>
    <w:p w14:paraId="0A036C2E" w14:textId="77777777" w:rsidR="00C66F7A" w:rsidRDefault="00C66F7A" w:rsidP="00C66F7A">
      <w:pPr>
        <w:pStyle w:val="ListParagraph"/>
        <w:numPr>
          <w:ilvl w:val="0"/>
          <w:numId w:val="17"/>
        </w:numPr>
        <w:spacing w:line="264" w:lineRule="auto"/>
        <w:rPr>
          <w:rFonts w:cs="Arial"/>
        </w:rPr>
      </w:pPr>
      <w:r>
        <w:rPr>
          <w:rFonts w:cs="Arial"/>
        </w:rPr>
        <w:lastRenderedPageBreak/>
        <w:t>long delays between completing steps in the complaint handling process</w:t>
      </w:r>
    </w:p>
    <w:p w14:paraId="4059D34A" w14:textId="77777777" w:rsidR="00C66F7A" w:rsidRDefault="00C66F7A" w:rsidP="00C66F7A">
      <w:pPr>
        <w:pStyle w:val="ListParagraph"/>
        <w:numPr>
          <w:ilvl w:val="0"/>
          <w:numId w:val="17"/>
        </w:numPr>
        <w:spacing w:line="264" w:lineRule="auto"/>
        <w:rPr>
          <w:rFonts w:cs="Arial"/>
        </w:rPr>
      </w:pPr>
      <w:r>
        <w:rPr>
          <w:rFonts w:cs="Arial"/>
        </w:rPr>
        <w:t xml:space="preserve">little or no ability to close a complaint due to lack of closure criteria in the complaint handling policy </w:t>
      </w:r>
    </w:p>
    <w:p w14:paraId="510B88A9" w14:textId="77777777" w:rsidR="00C66F7A" w:rsidRPr="00FC45E9" w:rsidRDefault="00C66F7A" w:rsidP="00C66F7A">
      <w:pPr>
        <w:pStyle w:val="ListParagraph"/>
        <w:numPr>
          <w:ilvl w:val="0"/>
          <w:numId w:val="17"/>
        </w:numPr>
        <w:spacing w:line="264" w:lineRule="auto"/>
        <w:rPr>
          <w:rFonts w:cs="Arial"/>
        </w:rPr>
      </w:pPr>
      <w:r>
        <w:rPr>
          <w:rFonts w:cs="Arial"/>
        </w:rPr>
        <w:t xml:space="preserve">complaints remaining open when they could have been closed, </w:t>
      </w:r>
      <w:r w:rsidRPr="00FC45E9">
        <w:rPr>
          <w:rFonts w:cs="Arial"/>
        </w:rPr>
        <w:t>and</w:t>
      </w:r>
    </w:p>
    <w:p w14:paraId="42869FE0" w14:textId="6EDE730A" w:rsidR="00C66F7A" w:rsidRPr="00FC45E9" w:rsidRDefault="00C66F7A" w:rsidP="00C66F7A">
      <w:pPr>
        <w:pStyle w:val="ListParagraph"/>
        <w:numPr>
          <w:ilvl w:val="0"/>
          <w:numId w:val="17"/>
        </w:numPr>
        <w:spacing w:line="264" w:lineRule="auto"/>
        <w:rPr>
          <w:rFonts w:cs="Arial"/>
        </w:rPr>
      </w:pPr>
      <w:r w:rsidRPr="00FC45E9">
        <w:rPr>
          <w:rFonts w:cs="Arial"/>
        </w:rPr>
        <w:t xml:space="preserve">a lack of clarity regarding </w:t>
      </w:r>
      <w:r w:rsidR="005A3380">
        <w:rPr>
          <w:rFonts w:cs="Arial"/>
        </w:rPr>
        <w:t xml:space="preserve">the </w:t>
      </w:r>
      <w:r w:rsidRPr="00FC45E9">
        <w:rPr>
          <w:rFonts w:cs="Arial"/>
        </w:rPr>
        <w:t xml:space="preserve">next steps in the </w:t>
      </w:r>
      <w:r>
        <w:rPr>
          <w:rFonts w:cs="Arial"/>
        </w:rPr>
        <w:t xml:space="preserve">complaint handling </w:t>
      </w:r>
      <w:r w:rsidRPr="00FC45E9">
        <w:rPr>
          <w:rFonts w:cs="Arial"/>
        </w:rPr>
        <w:t xml:space="preserve">process </w:t>
      </w:r>
      <w:r>
        <w:rPr>
          <w:rFonts w:cs="Arial"/>
        </w:rPr>
        <w:t xml:space="preserve">– leading </w:t>
      </w:r>
      <w:r w:rsidRPr="00FC45E9">
        <w:rPr>
          <w:rFonts w:cs="Arial"/>
        </w:rPr>
        <w:t>to numerous complaints that remain unresolved and/or not closed.</w:t>
      </w:r>
    </w:p>
    <w:p w14:paraId="41B01E1B" w14:textId="7B5B7D7D" w:rsidR="00C66F7A" w:rsidRPr="00FC45E9" w:rsidRDefault="00C66F7A" w:rsidP="00C66F7A">
      <w:pPr>
        <w:pStyle w:val="ListParagraph"/>
        <w:numPr>
          <w:ilvl w:val="0"/>
          <w:numId w:val="0"/>
        </w:numPr>
        <w:spacing w:line="264" w:lineRule="auto"/>
        <w:ind w:left="360"/>
        <w:rPr>
          <w:rFonts w:cs="Arial"/>
        </w:rPr>
      </w:pPr>
      <w:r>
        <w:rPr>
          <w:rFonts w:cs="Arial"/>
        </w:rPr>
        <w:t>T</w:t>
      </w:r>
      <w:r w:rsidRPr="00FC45E9">
        <w:rPr>
          <w:rFonts w:cs="Arial"/>
        </w:rPr>
        <w:t xml:space="preserve">here is also a wide range of </w:t>
      </w:r>
      <w:r>
        <w:rPr>
          <w:rFonts w:cs="Arial"/>
        </w:rPr>
        <w:t xml:space="preserve">project </w:t>
      </w:r>
      <w:r w:rsidRPr="00FC45E9">
        <w:rPr>
          <w:rFonts w:cs="Arial"/>
        </w:rPr>
        <w:t xml:space="preserve">complaint handling procedures in place that vary </w:t>
      </w:r>
      <w:r>
        <w:rPr>
          <w:rFonts w:cs="Arial"/>
        </w:rPr>
        <w:t xml:space="preserve">within the developer’s various </w:t>
      </w:r>
      <w:r w:rsidRPr="00FC45E9">
        <w:rPr>
          <w:rFonts w:cs="Arial"/>
        </w:rPr>
        <w:t>project</w:t>
      </w:r>
      <w:r>
        <w:rPr>
          <w:rFonts w:cs="Arial"/>
        </w:rPr>
        <w:t>s</w:t>
      </w:r>
      <w:r w:rsidRPr="00FC45E9">
        <w:rPr>
          <w:rFonts w:cs="Arial"/>
        </w:rPr>
        <w:t xml:space="preserve">, </w:t>
      </w:r>
      <w:r>
        <w:rPr>
          <w:rFonts w:cs="Arial"/>
        </w:rPr>
        <w:t xml:space="preserve">often </w:t>
      </w:r>
      <w:r w:rsidRPr="00FC45E9">
        <w:rPr>
          <w:rFonts w:cs="Arial"/>
        </w:rPr>
        <w:t xml:space="preserve">resulting in a </w:t>
      </w:r>
      <w:r>
        <w:rPr>
          <w:rFonts w:cs="Arial"/>
        </w:rPr>
        <w:t xml:space="preserve">mix </w:t>
      </w:r>
      <w:r w:rsidRPr="00FC45E9">
        <w:rPr>
          <w:rFonts w:cs="Arial"/>
        </w:rPr>
        <w:t>of consistency in the quality and effectiveness of the procedures</w:t>
      </w:r>
      <w:r>
        <w:rPr>
          <w:rFonts w:cs="Arial"/>
        </w:rPr>
        <w:t xml:space="preserve"> as well as confusion with develop</w:t>
      </w:r>
      <w:r w:rsidR="0037745A">
        <w:rPr>
          <w:rFonts w:cs="Arial"/>
        </w:rPr>
        <w:t>er</w:t>
      </w:r>
      <w:r>
        <w:rPr>
          <w:rFonts w:cs="Arial"/>
        </w:rPr>
        <w:t xml:space="preserve"> staff and complainants.</w:t>
      </w:r>
      <w:r w:rsidRPr="00FC45E9">
        <w:rPr>
          <w:rFonts w:cs="Arial"/>
        </w:rPr>
        <w:t xml:space="preserve"> </w:t>
      </w:r>
      <w:r>
        <w:rPr>
          <w:rFonts w:cs="Arial"/>
        </w:rPr>
        <w:t>Developers</w:t>
      </w:r>
      <w:r w:rsidRPr="00FC45E9">
        <w:rPr>
          <w:rFonts w:cs="Arial"/>
        </w:rPr>
        <w:t xml:space="preserve"> </w:t>
      </w:r>
      <w:r>
        <w:rPr>
          <w:rFonts w:cs="Arial"/>
        </w:rPr>
        <w:t>may</w:t>
      </w:r>
      <w:r w:rsidRPr="00FC45E9">
        <w:rPr>
          <w:rFonts w:cs="Arial"/>
        </w:rPr>
        <w:t xml:space="preserve"> </w:t>
      </w:r>
      <w:r>
        <w:rPr>
          <w:rFonts w:cs="Arial"/>
        </w:rPr>
        <w:t xml:space="preserve">possess varying degrees of </w:t>
      </w:r>
      <w:r w:rsidRPr="00FC45E9">
        <w:rPr>
          <w:rFonts w:cs="Arial"/>
        </w:rPr>
        <w:t>complaint handling skills</w:t>
      </w:r>
      <w:r w:rsidR="0037745A">
        <w:rPr>
          <w:rFonts w:cs="Arial"/>
        </w:rPr>
        <w:t xml:space="preserve">, </w:t>
      </w:r>
      <w:r>
        <w:rPr>
          <w:rFonts w:cs="Arial"/>
        </w:rPr>
        <w:t xml:space="preserve">and </w:t>
      </w:r>
      <w:r w:rsidRPr="00FC45E9">
        <w:rPr>
          <w:rFonts w:cs="Arial"/>
        </w:rPr>
        <w:t xml:space="preserve">opportunities </w:t>
      </w:r>
      <w:r>
        <w:rPr>
          <w:rFonts w:cs="Arial"/>
        </w:rPr>
        <w:t xml:space="preserve">remain </w:t>
      </w:r>
      <w:r w:rsidRPr="00FC45E9">
        <w:rPr>
          <w:rFonts w:cs="Arial"/>
        </w:rPr>
        <w:t xml:space="preserve">to improve the capability of staff effectiveness </w:t>
      </w:r>
      <w:r>
        <w:rPr>
          <w:rFonts w:cs="Arial"/>
        </w:rPr>
        <w:t>when handling complaints and interacting with complainants.</w:t>
      </w:r>
    </w:p>
    <w:p w14:paraId="1C7FC176" w14:textId="77777777" w:rsidR="00C66F7A" w:rsidRDefault="00C66F7A" w:rsidP="00C66F7A">
      <w:pPr>
        <w:pStyle w:val="ListParagraph"/>
        <w:numPr>
          <w:ilvl w:val="0"/>
          <w:numId w:val="0"/>
        </w:numPr>
        <w:spacing w:line="264" w:lineRule="auto"/>
        <w:ind w:left="360"/>
        <w:rPr>
          <w:rFonts w:cs="Arial"/>
        </w:rPr>
      </w:pPr>
      <w:r>
        <w:rPr>
          <w:rFonts w:cs="Arial"/>
        </w:rPr>
        <w:t>The Commissioner</w:t>
      </w:r>
      <w:r w:rsidRPr="00FC45E9">
        <w:rPr>
          <w:rFonts w:cs="Arial"/>
        </w:rPr>
        <w:t xml:space="preserve"> </w:t>
      </w:r>
      <w:r>
        <w:rPr>
          <w:rFonts w:cs="Arial"/>
        </w:rPr>
        <w:t>has</w:t>
      </w:r>
      <w:r w:rsidRPr="00FC45E9">
        <w:rPr>
          <w:rFonts w:cs="Arial"/>
        </w:rPr>
        <w:t xml:space="preserve"> </w:t>
      </w:r>
      <w:r>
        <w:rPr>
          <w:rFonts w:cs="Arial"/>
        </w:rPr>
        <w:t xml:space="preserve">successfully </w:t>
      </w:r>
      <w:r w:rsidRPr="00FC45E9">
        <w:rPr>
          <w:rFonts w:cs="Arial"/>
        </w:rPr>
        <w:t>encouraged a number of developers</w:t>
      </w:r>
      <w:r>
        <w:rPr>
          <w:rFonts w:cs="Arial"/>
        </w:rPr>
        <w:t>/</w:t>
      </w:r>
      <w:r w:rsidRPr="00FC45E9">
        <w:rPr>
          <w:rFonts w:cs="Arial"/>
        </w:rPr>
        <w:t>operators to voluntarily publish their complaint handling procedures on the</w:t>
      </w:r>
      <w:r>
        <w:rPr>
          <w:rFonts w:cs="Arial"/>
        </w:rPr>
        <w:t xml:space="preserve">ir project </w:t>
      </w:r>
      <w:r w:rsidRPr="00FC45E9">
        <w:rPr>
          <w:rFonts w:cs="Arial"/>
        </w:rPr>
        <w:t xml:space="preserve">website. Many </w:t>
      </w:r>
      <w:r>
        <w:rPr>
          <w:rFonts w:cs="Arial"/>
        </w:rPr>
        <w:t>developers</w:t>
      </w:r>
      <w:r w:rsidRPr="00FC45E9">
        <w:rPr>
          <w:rFonts w:cs="Arial"/>
        </w:rPr>
        <w:t xml:space="preserve"> have now complied with this request. Some </w:t>
      </w:r>
      <w:r>
        <w:rPr>
          <w:rFonts w:cs="Arial"/>
        </w:rPr>
        <w:t>developers</w:t>
      </w:r>
      <w:r w:rsidRPr="00FC45E9">
        <w:rPr>
          <w:rFonts w:cs="Arial"/>
        </w:rPr>
        <w:t xml:space="preserve"> have also revised their complaint handling procedures as a result of discussions with </w:t>
      </w:r>
      <w:r>
        <w:rPr>
          <w:rFonts w:cs="Arial"/>
        </w:rPr>
        <w:t>the</w:t>
      </w:r>
      <w:r w:rsidRPr="00FC45E9">
        <w:rPr>
          <w:rFonts w:cs="Arial"/>
        </w:rPr>
        <w:t xml:space="preserve"> Office. The </w:t>
      </w:r>
      <w:r>
        <w:rPr>
          <w:rFonts w:cs="Arial"/>
        </w:rPr>
        <w:t>Commissioner</w:t>
      </w:r>
      <w:r w:rsidRPr="00FC45E9">
        <w:rPr>
          <w:rFonts w:cs="Arial"/>
        </w:rPr>
        <w:t xml:space="preserve"> continues to make suggestions to improve existing complaint handling procedures to many industry </w:t>
      </w:r>
      <w:r>
        <w:rPr>
          <w:rFonts w:cs="Arial"/>
        </w:rPr>
        <w:t>representatives</w:t>
      </w:r>
      <w:r w:rsidRPr="00FC45E9">
        <w:rPr>
          <w:rFonts w:cs="Arial"/>
        </w:rPr>
        <w:t xml:space="preserve"> who have sought assistance</w:t>
      </w:r>
      <w:r>
        <w:rPr>
          <w:rFonts w:cs="Arial"/>
        </w:rPr>
        <w:t xml:space="preserve"> from the Office</w:t>
      </w:r>
      <w:r w:rsidRPr="00FC45E9">
        <w:rPr>
          <w:rFonts w:cs="Arial"/>
        </w:rPr>
        <w:t>.</w:t>
      </w:r>
      <w:r>
        <w:rPr>
          <w:rFonts w:cs="Arial"/>
        </w:rPr>
        <w:t xml:space="preserve"> Developers also often seek assistance from the Office on suggestions for handling specific complaints that they may be dealing with.</w:t>
      </w:r>
    </w:p>
    <w:p w14:paraId="6C2D8290" w14:textId="7FEA2116" w:rsidR="00C66F7A" w:rsidRPr="00FC45E9" w:rsidRDefault="00C66F7A" w:rsidP="00C66F7A">
      <w:pPr>
        <w:pStyle w:val="ListParagraph"/>
        <w:numPr>
          <w:ilvl w:val="0"/>
          <w:numId w:val="0"/>
        </w:numPr>
        <w:spacing w:line="264" w:lineRule="auto"/>
        <w:ind w:left="360"/>
        <w:rPr>
          <w:rFonts w:cs="Arial"/>
        </w:rPr>
      </w:pPr>
      <w:r>
        <w:rPr>
          <w:rFonts w:cs="Arial"/>
        </w:rPr>
        <w:t xml:space="preserve">The Commissioner’s complaint handling policy can be easily found </w:t>
      </w:r>
      <w:r w:rsidR="0037745A">
        <w:rPr>
          <w:rFonts w:cs="Arial"/>
        </w:rPr>
        <w:t xml:space="preserve">on </w:t>
      </w:r>
      <w:r>
        <w:rPr>
          <w:rFonts w:cs="Arial"/>
        </w:rPr>
        <w:t>the Commissioner’s website and may provide ideas and insights for industry and government/regulator complain</w:t>
      </w:r>
      <w:r w:rsidR="0037745A">
        <w:rPr>
          <w:rFonts w:cs="Arial"/>
        </w:rPr>
        <w:t>t</w:t>
      </w:r>
      <w:r>
        <w:rPr>
          <w:rFonts w:cs="Arial"/>
        </w:rPr>
        <w:t xml:space="preserve"> handling policies.</w:t>
      </w:r>
    </w:p>
    <w:p w14:paraId="28F6BF15" w14:textId="77777777" w:rsidR="00C66F7A" w:rsidRPr="00861E58" w:rsidRDefault="00C66F7A" w:rsidP="00F25864">
      <w:pPr>
        <w:pStyle w:val="Heading3"/>
        <w:ind w:firstLine="360"/>
      </w:pPr>
      <w:bookmarkStart w:id="231" w:name="_Toc135390657"/>
      <w:r w:rsidRPr="00861E58">
        <w:t>Noise considerations</w:t>
      </w:r>
      <w:bookmarkEnd w:id="231"/>
    </w:p>
    <w:p w14:paraId="1D0D4A58"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While objective measures and standards are used to determine compliance with noise restrictions, it is also evident that there is further scope to investigate complaints relating to noise emissions from </w:t>
      </w:r>
      <w:r>
        <w:rPr>
          <w:rFonts w:cs="Arial"/>
        </w:rPr>
        <w:t xml:space="preserve">wind </w:t>
      </w:r>
      <w:r w:rsidRPr="00FC45E9">
        <w:rPr>
          <w:rFonts w:cs="Arial"/>
        </w:rPr>
        <w:t>turbines and other infrastructure. In assessing noise-related complaints, the objective ‘tests’ currently in place do not necessarily capture the tonal character of noise emissions that a complainant may be experiencing. For instance, maintenance or operating issues with infrastructure (such as a turbine or a substation transformer) may lead to harmonic frequencies that produce a harsher tone to the human ear. While this is not typically represented in noise assessment data, contemporary noise measurement or recording devices can be used to indicate that the tonal character of a particular noise emission may reasonably be disturbing or offensive to a complainant.</w:t>
      </w:r>
    </w:p>
    <w:p w14:paraId="21E9D0E9" w14:textId="71AAE831" w:rsidR="00C66F7A" w:rsidRDefault="00C66F7A" w:rsidP="00C66F7A">
      <w:pPr>
        <w:pStyle w:val="ListParagraph"/>
        <w:numPr>
          <w:ilvl w:val="0"/>
          <w:numId w:val="0"/>
        </w:numPr>
        <w:spacing w:line="264" w:lineRule="auto"/>
        <w:ind w:left="360"/>
        <w:rPr>
          <w:rFonts w:cs="Arial"/>
        </w:rPr>
      </w:pPr>
      <w:r w:rsidRPr="00FC45E9">
        <w:rPr>
          <w:rFonts w:cs="Arial"/>
        </w:rPr>
        <w:t xml:space="preserve">Other events can cause abnormal noise annoyance from wind turbines. These include loose bolts, </w:t>
      </w:r>
      <w:r>
        <w:rPr>
          <w:rFonts w:cs="Arial"/>
        </w:rPr>
        <w:t xml:space="preserve">whining gearboxes, </w:t>
      </w:r>
      <w:r w:rsidRPr="00FC45E9">
        <w:rPr>
          <w:rFonts w:cs="Arial"/>
        </w:rPr>
        <w:t xml:space="preserve">lack of greasing of the rotating nacelle </w:t>
      </w:r>
      <w:r>
        <w:rPr>
          <w:rFonts w:cs="Arial"/>
        </w:rPr>
        <w:t xml:space="preserve">causing a screeching noise </w:t>
      </w:r>
      <w:r w:rsidRPr="00FC45E9">
        <w:rPr>
          <w:rFonts w:cs="Arial"/>
        </w:rPr>
        <w:t xml:space="preserve">during the yaw </w:t>
      </w:r>
      <w:r>
        <w:rPr>
          <w:rFonts w:cs="Arial"/>
        </w:rPr>
        <w:t xml:space="preserve">breaking </w:t>
      </w:r>
      <w:r w:rsidRPr="00FC45E9">
        <w:rPr>
          <w:rFonts w:cs="Arial"/>
        </w:rPr>
        <w:t>process</w:t>
      </w:r>
      <w:r>
        <w:rPr>
          <w:rFonts w:cs="Arial"/>
        </w:rPr>
        <w:t>,</w:t>
      </w:r>
      <w:r w:rsidRPr="00FC45E9">
        <w:rPr>
          <w:rFonts w:cs="Arial"/>
        </w:rPr>
        <w:t xml:space="preserve"> and lightning strike of a blade </w:t>
      </w:r>
      <w:r>
        <w:rPr>
          <w:rFonts w:cs="Arial"/>
        </w:rPr>
        <w:t xml:space="preserve">tip </w:t>
      </w:r>
      <w:r w:rsidRPr="00FC45E9">
        <w:rPr>
          <w:rFonts w:cs="Arial"/>
        </w:rPr>
        <w:t xml:space="preserve">(piercing a hole in the turbine blade that causes a high-pitched whistling sound). These situations require a rapid response to </w:t>
      </w:r>
      <w:r>
        <w:rPr>
          <w:rFonts w:cs="Arial"/>
        </w:rPr>
        <w:t>the</w:t>
      </w:r>
      <w:r w:rsidRPr="00FC45E9">
        <w:rPr>
          <w:rFonts w:cs="Arial"/>
        </w:rPr>
        <w:t xml:space="preserve"> complaint, and it is in everyone’s interest that the </w:t>
      </w:r>
      <w:r>
        <w:rPr>
          <w:rFonts w:cs="Arial"/>
        </w:rPr>
        <w:t>asset</w:t>
      </w:r>
      <w:r w:rsidRPr="00FC45E9">
        <w:rPr>
          <w:rFonts w:cs="Arial"/>
        </w:rPr>
        <w:t xml:space="preserve"> be </w:t>
      </w:r>
      <w:r w:rsidR="00737F39" w:rsidRPr="00FC45E9">
        <w:rPr>
          <w:rFonts w:cs="Arial"/>
        </w:rPr>
        <w:t>repaired,</w:t>
      </w:r>
      <w:r w:rsidRPr="00FC45E9">
        <w:rPr>
          <w:rFonts w:cs="Arial"/>
        </w:rPr>
        <w:t xml:space="preserve"> and the noise emission rectified</w:t>
      </w:r>
      <w:r>
        <w:rPr>
          <w:rFonts w:cs="Arial"/>
        </w:rPr>
        <w:t xml:space="preserve"> as soon as possible</w:t>
      </w:r>
      <w:r w:rsidRPr="00FC45E9">
        <w:rPr>
          <w:rFonts w:cs="Arial"/>
        </w:rPr>
        <w:t>.</w:t>
      </w:r>
    </w:p>
    <w:p w14:paraId="2200444D" w14:textId="44E8C45B" w:rsidR="00C66F7A" w:rsidRPr="00FC45E9" w:rsidRDefault="00C66F7A" w:rsidP="00C66F7A">
      <w:pPr>
        <w:pStyle w:val="ListParagraph"/>
        <w:numPr>
          <w:ilvl w:val="0"/>
          <w:numId w:val="0"/>
        </w:numPr>
        <w:spacing w:line="264" w:lineRule="auto"/>
        <w:ind w:left="360"/>
        <w:rPr>
          <w:rFonts w:cs="Arial"/>
        </w:rPr>
      </w:pPr>
      <w:r>
        <w:rPr>
          <w:rFonts w:cs="Arial"/>
        </w:rPr>
        <w:t>If a resident has concerns about experiencing audible noise inside their residence, the suggested approach is for a suitably qualified acoustician to attend the property, witness the alleged noise inside the residence, determine</w:t>
      </w:r>
      <w:r w:rsidR="0037745A">
        <w:rPr>
          <w:rFonts w:cs="Arial"/>
        </w:rPr>
        <w:t xml:space="preserve"> the</w:t>
      </w:r>
      <w:r>
        <w:rPr>
          <w:rFonts w:cs="Arial"/>
        </w:rPr>
        <w:t xml:space="preserve"> root causes and source of the noise, and, finally, prescribe a solution to the issue.  </w:t>
      </w:r>
    </w:p>
    <w:p w14:paraId="7F4906A6" w14:textId="77777777" w:rsidR="00C66F7A" w:rsidRPr="00861E58" w:rsidRDefault="00C66F7A" w:rsidP="00F25864">
      <w:pPr>
        <w:pStyle w:val="Heading3"/>
        <w:ind w:firstLine="360"/>
      </w:pPr>
      <w:bookmarkStart w:id="232" w:name="_Toc135390658"/>
      <w:r w:rsidRPr="00861E58">
        <w:t>Permit requirements and complaint avenues</w:t>
      </w:r>
      <w:bookmarkEnd w:id="232"/>
    </w:p>
    <w:p w14:paraId="2F9115DA"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Following </w:t>
      </w:r>
      <w:r>
        <w:rPr>
          <w:rFonts w:cs="Arial"/>
        </w:rPr>
        <w:t>the Commissioner’s</w:t>
      </w:r>
      <w:r w:rsidRPr="00FC45E9">
        <w:rPr>
          <w:rFonts w:cs="Arial"/>
        </w:rPr>
        <w:t xml:space="preserve"> discussions with the relevant Minister and Department, the Victorian Government moved quickly to introduce additional permit conditions related to complaint handling procedures and transparency based on </w:t>
      </w:r>
      <w:r>
        <w:rPr>
          <w:rFonts w:cs="Arial"/>
        </w:rPr>
        <w:t xml:space="preserve">the Commissioner’s </w:t>
      </w:r>
      <w:r w:rsidRPr="00FC45E9">
        <w:rPr>
          <w:rFonts w:cs="Arial"/>
        </w:rPr>
        <w:t xml:space="preserve">initial observations and recommendations. </w:t>
      </w:r>
      <w:r>
        <w:rPr>
          <w:rFonts w:cs="Arial"/>
        </w:rPr>
        <w:lastRenderedPageBreak/>
        <w:t>It is understood that</w:t>
      </w:r>
      <w:r w:rsidRPr="00FC45E9">
        <w:rPr>
          <w:rFonts w:cs="Arial"/>
        </w:rPr>
        <w:t xml:space="preserve"> these additional conditions have been applied to both new, renewed and modified planning permits issued for wind farms in Victoria.</w:t>
      </w:r>
    </w:p>
    <w:p w14:paraId="6C00164C" w14:textId="77777777" w:rsidR="00C66F7A" w:rsidRDefault="00C66F7A" w:rsidP="00C66F7A">
      <w:pPr>
        <w:pStyle w:val="ListParagraph"/>
        <w:numPr>
          <w:ilvl w:val="0"/>
          <w:numId w:val="0"/>
        </w:numPr>
        <w:spacing w:line="264" w:lineRule="auto"/>
        <w:ind w:left="360"/>
        <w:rPr>
          <w:rFonts w:cs="Arial"/>
        </w:rPr>
      </w:pPr>
      <w:r w:rsidRPr="00FC45E9">
        <w:rPr>
          <w:rFonts w:cs="Arial"/>
        </w:rPr>
        <w:t xml:space="preserve">There may also be other avenues for complaints to be lodged by residents in proximity to a </w:t>
      </w:r>
      <w:r>
        <w:rPr>
          <w:rFonts w:cs="Arial"/>
        </w:rPr>
        <w:t>project.</w:t>
      </w:r>
      <w:r w:rsidRPr="00FC45E9">
        <w:rPr>
          <w:rFonts w:cs="Arial"/>
        </w:rPr>
        <w:t xml:space="preserve"> </w:t>
      </w:r>
      <w:r>
        <w:rPr>
          <w:rFonts w:cs="Arial"/>
        </w:rPr>
        <w:t xml:space="preserve">Until around July 2021, </w:t>
      </w:r>
      <w:r w:rsidRPr="00FC45E9">
        <w:rPr>
          <w:rFonts w:cs="Arial"/>
        </w:rPr>
        <w:t xml:space="preserve">complaints about </w:t>
      </w:r>
      <w:r>
        <w:rPr>
          <w:rFonts w:cs="Arial"/>
        </w:rPr>
        <w:t xml:space="preserve">wind farm </w:t>
      </w:r>
      <w:r w:rsidRPr="00FC45E9">
        <w:rPr>
          <w:rFonts w:cs="Arial"/>
        </w:rPr>
        <w:t xml:space="preserve">‘noise nuisance’ </w:t>
      </w:r>
      <w:r>
        <w:rPr>
          <w:rFonts w:cs="Arial"/>
        </w:rPr>
        <w:t xml:space="preserve">in Victoria were able to be </w:t>
      </w:r>
      <w:r w:rsidRPr="00FC45E9">
        <w:rPr>
          <w:rFonts w:cs="Arial"/>
        </w:rPr>
        <w:t xml:space="preserve">lodged </w:t>
      </w:r>
      <w:r>
        <w:rPr>
          <w:rFonts w:cs="Arial"/>
        </w:rPr>
        <w:t>with</w:t>
      </w:r>
      <w:r w:rsidRPr="00FC45E9">
        <w:rPr>
          <w:rFonts w:cs="Arial"/>
        </w:rPr>
        <w:t xml:space="preserve"> local government under the </w:t>
      </w:r>
      <w:r w:rsidRPr="00FC45E9">
        <w:rPr>
          <w:rFonts w:cs="Arial"/>
          <w:i/>
        </w:rPr>
        <w:t>P</w:t>
      </w:r>
      <w:r>
        <w:rPr>
          <w:rFonts w:cs="Arial"/>
          <w:i/>
        </w:rPr>
        <w:t xml:space="preserve">ublic Health and Wellbeing Act </w:t>
      </w:r>
      <w:r w:rsidRPr="00FC45E9">
        <w:rPr>
          <w:rFonts w:cs="Arial"/>
          <w:i/>
        </w:rPr>
        <w:t>2008</w:t>
      </w:r>
      <w:r>
        <w:rPr>
          <w:rFonts w:cs="Arial"/>
          <w:i/>
        </w:rPr>
        <w:t xml:space="preserve"> </w:t>
      </w:r>
      <w:r w:rsidRPr="00494ED6">
        <w:rPr>
          <w:rFonts w:cs="Arial"/>
          <w:iCs/>
        </w:rPr>
        <w:t>(Victoria)</w:t>
      </w:r>
      <w:r w:rsidRPr="00F266D4">
        <w:rPr>
          <w:rFonts w:cs="Arial"/>
          <w:iCs/>
        </w:rPr>
        <w:t>.</w:t>
      </w:r>
      <w:r w:rsidRPr="00FC45E9">
        <w:rPr>
          <w:rFonts w:cs="Arial"/>
        </w:rPr>
        <w:t xml:space="preserve"> </w:t>
      </w:r>
      <w:r>
        <w:rPr>
          <w:rFonts w:cs="Arial"/>
        </w:rPr>
        <w:t xml:space="preserve">While wind farms are now exempt from that legislation, </w:t>
      </w:r>
      <w:r w:rsidRPr="00FC45E9">
        <w:rPr>
          <w:rFonts w:cs="Arial"/>
        </w:rPr>
        <w:t xml:space="preserve">Councils </w:t>
      </w:r>
      <w:r>
        <w:rPr>
          <w:rFonts w:cs="Arial"/>
        </w:rPr>
        <w:t>should</w:t>
      </w:r>
      <w:r w:rsidRPr="00FC45E9">
        <w:rPr>
          <w:rFonts w:cs="Arial"/>
        </w:rPr>
        <w:t xml:space="preserve"> </w:t>
      </w:r>
      <w:r>
        <w:rPr>
          <w:rFonts w:cs="Arial"/>
        </w:rPr>
        <w:t xml:space="preserve">still </w:t>
      </w:r>
      <w:r w:rsidRPr="00FC45E9">
        <w:rPr>
          <w:rFonts w:cs="Arial"/>
        </w:rPr>
        <w:t xml:space="preserve">be fully aware of their responsibilities under this Act and ensure they have appropriate documented procedures to receive and handle complaints in the case they </w:t>
      </w:r>
      <w:r>
        <w:rPr>
          <w:rFonts w:cs="Arial"/>
        </w:rPr>
        <w:t>were</w:t>
      </w:r>
      <w:r w:rsidRPr="00FC45E9">
        <w:rPr>
          <w:rFonts w:cs="Arial"/>
        </w:rPr>
        <w:t xml:space="preserve"> lodged under this legislation. </w:t>
      </w:r>
    </w:p>
    <w:p w14:paraId="5A645419" w14:textId="77777777" w:rsidR="00C66F7A" w:rsidRDefault="00C66F7A" w:rsidP="00C66F7A">
      <w:pPr>
        <w:pStyle w:val="ListParagraph"/>
        <w:numPr>
          <w:ilvl w:val="0"/>
          <w:numId w:val="0"/>
        </w:numPr>
        <w:spacing w:line="264" w:lineRule="auto"/>
        <w:ind w:left="360"/>
        <w:rPr>
          <w:rFonts w:cs="Arial"/>
        </w:rPr>
      </w:pPr>
      <w:r>
        <w:rPr>
          <w:rFonts w:cs="Arial"/>
        </w:rPr>
        <w:t xml:space="preserve">Further, the </w:t>
      </w:r>
      <w:r w:rsidRPr="005404E2">
        <w:rPr>
          <w:rFonts w:cs="Arial"/>
          <w:i/>
          <w:iCs/>
        </w:rPr>
        <w:t>Environment Protection Amendment Act 2018 (Victoria)</w:t>
      </w:r>
      <w:r>
        <w:rPr>
          <w:rFonts w:cs="Arial"/>
        </w:rPr>
        <w:t xml:space="preserve"> came into force in 2021 and provides additional options for residents to raise complaints about ‘unreasonable noise’ and allege breaches of the general environmental duty by the developer/operator.</w:t>
      </w:r>
    </w:p>
    <w:p w14:paraId="55FB31E6" w14:textId="77777777" w:rsidR="00C66F7A" w:rsidRDefault="00C66F7A" w:rsidP="00C66F7A">
      <w:pPr>
        <w:pStyle w:val="ListParagraph"/>
        <w:numPr>
          <w:ilvl w:val="0"/>
          <w:numId w:val="0"/>
        </w:numPr>
        <w:spacing w:line="264" w:lineRule="auto"/>
        <w:ind w:left="360"/>
        <w:rPr>
          <w:rFonts w:cs="Arial"/>
        </w:rPr>
      </w:pPr>
      <w:r>
        <w:rPr>
          <w:rFonts w:cs="Arial"/>
        </w:rPr>
        <w:t xml:space="preserve">Victoria has also initiated changes to wind farm noise regulation, moving investigative responsibilities from local councils to the state-based Environment Protection Authority, effective 1 July 2021. These new arrangements are similar to the regime that has been in place in New South Wales since 2013. </w:t>
      </w:r>
    </w:p>
    <w:p w14:paraId="20B63732" w14:textId="77777777" w:rsidR="00C66F7A" w:rsidRPr="00FC45E9" w:rsidRDefault="00C66F7A" w:rsidP="00C66F7A">
      <w:pPr>
        <w:pStyle w:val="ListParagraph"/>
        <w:numPr>
          <w:ilvl w:val="0"/>
          <w:numId w:val="0"/>
        </w:numPr>
        <w:spacing w:line="264" w:lineRule="auto"/>
        <w:ind w:left="360"/>
        <w:rPr>
          <w:rFonts w:cs="Arial"/>
        </w:rPr>
      </w:pPr>
      <w:r>
        <w:rPr>
          <w:rFonts w:cs="Arial"/>
        </w:rPr>
        <w:t xml:space="preserve">With these regulatory changes in place as of July 2021, community members in Victoria can lodge noise complaints about operating wind farms to the wind farm operator, the EPA, our Office or pursue legal action in the courts for alleged breach of compliance. </w:t>
      </w:r>
    </w:p>
    <w:p w14:paraId="09704F8F" w14:textId="6935BA70" w:rsidR="00C66F7A" w:rsidRPr="00940170" w:rsidRDefault="00C66F7A" w:rsidP="00C66F7A">
      <w:pPr>
        <w:pStyle w:val="ListParagraph"/>
        <w:numPr>
          <w:ilvl w:val="0"/>
          <w:numId w:val="0"/>
        </w:numPr>
        <w:spacing w:line="264" w:lineRule="auto"/>
        <w:ind w:left="360"/>
        <w:rPr>
          <w:rFonts w:cs="Arial"/>
        </w:rPr>
      </w:pPr>
      <w:r w:rsidRPr="00FC45E9">
        <w:rPr>
          <w:rFonts w:cs="Arial"/>
        </w:rPr>
        <w:t>Finally, industry bodies such as the CEC</w:t>
      </w:r>
      <w:r>
        <w:rPr>
          <w:rFonts w:cs="Arial"/>
        </w:rPr>
        <w:t xml:space="preserve">, ENA and the Energy Charter </w:t>
      </w:r>
      <w:r w:rsidRPr="00FC45E9">
        <w:rPr>
          <w:rFonts w:cs="Arial"/>
        </w:rPr>
        <w:t>may have key role</w:t>
      </w:r>
      <w:r>
        <w:rPr>
          <w:rFonts w:cs="Arial"/>
        </w:rPr>
        <w:t>s</w:t>
      </w:r>
      <w:r w:rsidRPr="00FC45E9">
        <w:rPr>
          <w:rFonts w:cs="Arial"/>
        </w:rPr>
        <w:t xml:space="preserve"> to play in leading the development and promotion of consistent, best practice complaint handling models and procedures for the </w:t>
      </w:r>
      <w:r>
        <w:rPr>
          <w:rFonts w:cs="Arial"/>
        </w:rPr>
        <w:t xml:space="preserve">renewable </w:t>
      </w:r>
      <w:r w:rsidRPr="00FC45E9">
        <w:rPr>
          <w:rFonts w:cs="Arial"/>
        </w:rPr>
        <w:t xml:space="preserve">energy </w:t>
      </w:r>
      <w:r>
        <w:rPr>
          <w:rFonts w:cs="Arial"/>
        </w:rPr>
        <w:t xml:space="preserve">and transmission </w:t>
      </w:r>
      <w:r w:rsidRPr="00FC45E9">
        <w:rPr>
          <w:rFonts w:cs="Arial"/>
        </w:rPr>
        <w:t>industr</w:t>
      </w:r>
      <w:r>
        <w:rPr>
          <w:rFonts w:cs="Arial"/>
        </w:rPr>
        <w:t>ies. These templates should be easily ado</w:t>
      </w:r>
      <w:r w:rsidRPr="00FC45E9">
        <w:rPr>
          <w:rFonts w:cs="Arial"/>
        </w:rPr>
        <w:t xml:space="preserve">pted by industry members </w:t>
      </w:r>
      <w:r>
        <w:rPr>
          <w:rFonts w:cs="Arial"/>
        </w:rPr>
        <w:t xml:space="preserve">and </w:t>
      </w:r>
      <w:r w:rsidRPr="00FC45E9">
        <w:rPr>
          <w:rFonts w:cs="Arial"/>
        </w:rPr>
        <w:t>configur</w:t>
      </w:r>
      <w:r>
        <w:rPr>
          <w:rFonts w:cs="Arial"/>
        </w:rPr>
        <w:t>able</w:t>
      </w:r>
      <w:r w:rsidRPr="00FC45E9">
        <w:rPr>
          <w:rFonts w:cs="Arial"/>
        </w:rPr>
        <w:t xml:space="preserve"> for their specific</w:t>
      </w:r>
      <w:r>
        <w:rPr>
          <w:rFonts w:cs="Arial"/>
        </w:rPr>
        <w:t xml:space="preserve"> requirements.</w:t>
      </w:r>
      <w:r w:rsidRPr="00FC45E9">
        <w:rPr>
          <w:rFonts w:cs="Arial"/>
        </w:rPr>
        <w:t xml:space="preserve"> </w:t>
      </w:r>
    </w:p>
    <w:p w14:paraId="34A8E4FC" w14:textId="77777777" w:rsidR="00C66F7A" w:rsidRPr="00861E58" w:rsidRDefault="00C66F7A" w:rsidP="00F25864">
      <w:pPr>
        <w:pStyle w:val="Heading3"/>
        <w:ind w:firstLine="360"/>
      </w:pPr>
      <w:bookmarkStart w:id="233" w:name="_Toc135390659"/>
      <w:r w:rsidRPr="00861E58">
        <w:t>Emergency procedures</w:t>
      </w:r>
      <w:bookmarkEnd w:id="233"/>
    </w:p>
    <w:p w14:paraId="4E656EB0" w14:textId="77777777" w:rsidR="00C66F7A" w:rsidRDefault="00C66F7A" w:rsidP="00C66F7A">
      <w:pPr>
        <w:pStyle w:val="ListParagraph"/>
        <w:numPr>
          <w:ilvl w:val="0"/>
          <w:numId w:val="0"/>
        </w:numPr>
        <w:spacing w:line="264" w:lineRule="auto"/>
        <w:ind w:left="360"/>
        <w:rPr>
          <w:rFonts w:cs="Arial"/>
        </w:rPr>
      </w:pPr>
      <w:r>
        <w:rPr>
          <w:rFonts w:cs="Arial"/>
        </w:rPr>
        <w:t>The Commissioner has</w:t>
      </w:r>
      <w:r w:rsidRPr="00FC45E9">
        <w:rPr>
          <w:rFonts w:cs="Arial"/>
        </w:rPr>
        <w:t xml:space="preserve"> observed opportunities for clearer protocols to be put in place between </w:t>
      </w:r>
      <w:r>
        <w:rPr>
          <w:rFonts w:cs="Arial"/>
        </w:rPr>
        <w:t xml:space="preserve">project </w:t>
      </w:r>
      <w:r w:rsidRPr="00FC45E9">
        <w:rPr>
          <w:rFonts w:cs="Arial"/>
        </w:rPr>
        <w:t xml:space="preserve">operators and emergency response agencies, in particular as </w:t>
      </w:r>
      <w:r>
        <w:rPr>
          <w:rFonts w:cs="Arial"/>
        </w:rPr>
        <w:t xml:space="preserve">they </w:t>
      </w:r>
      <w:r w:rsidRPr="00FC45E9">
        <w:rPr>
          <w:rFonts w:cs="Arial"/>
        </w:rPr>
        <w:t xml:space="preserve">relate to </w:t>
      </w:r>
      <w:r>
        <w:rPr>
          <w:rFonts w:cs="Arial"/>
        </w:rPr>
        <w:t xml:space="preserve">ground and </w:t>
      </w:r>
      <w:r w:rsidRPr="00FC45E9">
        <w:rPr>
          <w:rFonts w:cs="Arial"/>
        </w:rPr>
        <w:t>aerial firefighting</w:t>
      </w:r>
      <w:r>
        <w:rPr>
          <w:rFonts w:cs="Arial"/>
        </w:rPr>
        <w:t>,</w:t>
      </w:r>
      <w:r w:rsidRPr="00FC45E9">
        <w:rPr>
          <w:rFonts w:cs="Arial"/>
        </w:rPr>
        <w:t xml:space="preserve"> the ability to direct a rapid shutdown of </w:t>
      </w:r>
      <w:r>
        <w:rPr>
          <w:rFonts w:cs="Arial"/>
        </w:rPr>
        <w:t xml:space="preserve">assets, such as </w:t>
      </w:r>
      <w:r w:rsidRPr="00FC45E9">
        <w:rPr>
          <w:rFonts w:cs="Arial"/>
        </w:rPr>
        <w:t>wind turbines</w:t>
      </w:r>
      <w:r>
        <w:rPr>
          <w:rFonts w:cs="Arial"/>
        </w:rPr>
        <w:t xml:space="preserve"> and high voltage transmission lines,</w:t>
      </w:r>
      <w:r w:rsidRPr="00FC45E9">
        <w:rPr>
          <w:rFonts w:cs="Arial"/>
        </w:rPr>
        <w:t xml:space="preserve"> </w:t>
      </w:r>
      <w:r>
        <w:rPr>
          <w:rFonts w:cs="Arial"/>
        </w:rPr>
        <w:t xml:space="preserve">activating aviation safety lighting, </w:t>
      </w:r>
      <w:r w:rsidRPr="00FC45E9">
        <w:rPr>
          <w:rFonts w:cs="Arial"/>
        </w:rPr>
        <w:t xml:space="preserve">and the positioning of turbine blades during </w:t>
      </w:r>
      <w:r>
        <w:rPr>
          <w:rFonts w:cs="Arial"/>
        </w:rPr>
        <w:t>the</w:t>
      </w:r>
      <w:r w:rsidRPr="00FC45E9">
        <w:rPr>
          <w:rFonts w:cs="Arial"/>
        </w:rPr>
        <w:t xml:space="preserve"> shut</w:t>
      </w:r>
      <w:r>
        <w:rPr>
          <w:rFonts w:cs="Arial"/>
        </w:rPr>
        <w:t>down to minimise the obstacle’s interference with aircraft (the preferred position being a ‘Y’ shape, with one blade aligned with the turbine tower, also known as the ‘rabbit ear’ position).</w:t>
      </w:r>
    </w:p>
    <w:p w14:paraId="2454394B" w14:textId="343F2DF4" w:rsidR="00C66F7A" w:rsidRPr="00FC45E9" w:rsidRDefault="00C66F7A" w:rsidP="00C66F7A">
      <w:pPr>
        <w:pStyle w:val="ListParagraph"/>
        <w:numPr>
          <w:ilvl w:val="0"/>
          <w:numId w:val="0"/>
        </w:numPr>
        <w:spacing w:line="264" w:lineRule="auto"/>
        <w:ind w:left="360"/>
        <w:rPr>
          <w:rFonts w:cs="Arial"/>
        </w:rPr>
      </w:pPr>
      <w:r>
        <w:rPr>
          <w:rFonts w:cs="Arial"/>
        </w:rPr>
        <w:t>Not all wind turbine manufacturers or specific turbine models have the ability to remotely lock the turbine blades into the ideal position for safe aerial firefighting</w:t>
      </w:r>
      <w:r w:rsidR="0037745A">
        <w:rPr>
          <w:rFonts w:cs="Arial"/>
        </w:rPr>
        <w:t xml:space="preserve">. </w:t>
      </w:r>
      <w:r>
        <w:rPr>
          <w:rFonts w:cs="Arial"/>
        </w:rPr>
        <w:t>Some blades will continue to drift with the wind, further increasing the risks to pilots and reducing the workable airspace between turbines for planes to fly and drop retardants.</w:t>
      </w:r>
    </w:p>
    <w:p w14:paraId="4E26C68A" w14:textId="76D2BBAF" w:rsidR="00C66F7A" w:rsidRDefault="00C66F7A" w:rsidP="00C66F7A">
      <w:pPr>
        <w:pStyle w:val="ListParagraph"/>
        <w:numPr>
          <w:ilvl w:val="0"/>
          <w:numId w:val="0"/>
        </w:numPr>
        <w:spacing w:line="264" w:lineRule="auto"/>
        <w:ind w:left="360"/>
        <w:rPr>
          <w:rFonts w:cs="Arial"/>
        </w:rPr>
      </w:pPr>
      <w:r w:rsidRPr="00FC45E9">
        <w:rPr>
          <w:rFonts w:cs="Arial"/>
        </w:rPr>
        <w:t>Other potential obstacles to aerial firefighting, such as meteorological masts, radio towers and powerlines</w:t>
      </w:r>
      <w:r w:rsidR="0037745A">
        <w:rPr>
          <w:rFonts w:cs="Arial"/>
        </w:rPr>
        <w:t>,</w:t>
      </w:r>
      <w:r w:rsidRPr="00FC45E9">
        <w:rPr>
          <w:rFonts w:cs="Arial"/>
        </w:rPr>
        <w:t xml:space="preserve"> may also exist around the </w:t>
      </w:r>
      <w:r>
        <w:rPr>
          <w:rFonts w:cs="Arial"/>
        </w:rPr>
        <w:t xml:space="preserve">project </w:t>
      </w:r>
      <w:r w:rsidRPr="00FC45E9">
        <w:rPr>
          <w:rFonts w:cs="Arial"/>
        </w:rPr>
        <w:t>site</w:t>
      </w:r>
      <w:r w:rsidR="0037745A">
        <w:rPr>
          <w:rFonts w:cs="Arial"/>
        </w:rPr>
        <w:t xml:space="preserve">, </w:t>
      </w:r>
      <w:r w:rsidRPr="00FC45E9">
        <w:rPr>
          <w:rFonts w:cs="Arial"/>
        </w:rPr>
        <w:t xml:space="preserve">and pilots need to be well aware of this infrastructure. A consistent standard </w:t>
      </w:r>
      <w:r>
        <w:rPr>
          <w:rFonts w:cs="Arial"/>
        </w:rPr>
        <w:t>for</w:t>
      </w:r>
      <w:r w:rsidRPr="00FC45E9">
        <w:rPr>
          <w:rFonts w:cs="Arial"/>
        </w:rPr>
        <w:t xml:space="preserve"> the visible identification of meteorological masts should be considered and adopted into planning guidelines and aviation safety assessments.</w:t>
      </w:r>
    </w:p>
    <w:p w14:paraId="409B833C" w14:textId="67D16DC4" w:rsidR="00C66F7A" w:rsidRDefault="00C66F7A" w:rsidP="00C66F7A">
      <w:pPr>
        <w:pStyle w:val="ListParagraph"/>
        <w:numPr>
          <w:ilvl w:val="0"/>
          <w:numId w:val="0"/>
        </w:numPr>
        <w:spacing w:line="264" w:lineRule="auto"/>
        <w:ind w:left="360"/>
        <w:rPr>
          <w:rFonts w:cs="Arial"/>
        </w:rPr>
      </w:pPr>
      <w:r>
        <w:rPr>
          <w:rFonts w:cs="Arial"/>
        </w:rPr>
        <w:t>Turbines equipped with aviation safety lighting should ensure there are procedures in place to quickly activate the lights during a bushfire or fog event to increase</w:t>
      </w:r>
      <w:r w:rsidR="0037745A">
        <w:rPr>
          <w:rFonts w:cs="Arial"/>
        </w:rPr>
        <w:t xml:space="preserve"> the</w:t>
      </w:r>
      <w:r>
        <w:rPr>
          <w:rFonts w:cs="Arial"/>
        </w:rPr>
        <w:t xml:space="preserve"> transparency of those obstacles to pilots. Ultimately, pilots will need to make their own assessments and decisions about whether it is safe to fly in and amongst a wind farm or transmission line, based on the weather, smoke, fog, wind conditions and any other relevant considerations or constraints.</w:t>
      </w:r>
    </w:p>
    <w:p w14:paraId="29066C3D" w14:textId="7790A86D" w:rsidR="00C66F7A" w:rsidRDefault="00C66F7A" w:rsidP="00C66F7A">
      <w:pPr>
        <w:pStyle w:val="ListParagraph"/>
        <w:numPr>
          <w:ilvl w:val="0"/>
          <w:numId w:val="0"/>
        </w:numPr>
        <w:spacing w:line="264" w:lineRule="auto"/>
        <w:ind w:left="360"/>
        <w:rPr>
          <w:rFonts w:cs="Arial"/>
        </w:rPr>
      </w:pPr>
      <w:r>
        <w:rPr>
          <w:rFonts w:cs="Arial"/>
        </w:rPr>
        <w:t xml:space="preserve">Further information about wind farms and bushfire management can be found in the guideline document produced by the Australasian Fire and Emergency Services Authorities Council (AFAC), entitled </w:t>
      </w:r>
      <w:r w:rsidRPr="00D9489C">
        <w:rPr>
          <w:rFonts w:cs="Arial"/>
          <w:i/>
        </w:rPr>
        <w:t>Wind Farms and Bushfire Operations – Guideline – Version 3.0, 25 October 2018</w:t>
      </w:r>
      <w:r>
        <w:rPr>
          <w:rFonts w:cs="Arial"/>
        </w:rPr>
        <w:t xml:space="preserve">. Our Office contributed to this document, along with a number of key stakeholders. </w:t>
      </w:r>
    </w:p>
    <w:p w14:paraId="76733906" w14:textId="4766441D" w:rsidR="00C66F7A" w:rsidRDefault="00C66F7A" w:rsidP="00C66F7A">
      <w:pPr>
        <w:pStyle w:val="ListParagraph"/>
        <w:numPr>
          <w:ilvl w:val="0"/>
          <w:numId w:val="0"/>
        </w:numPr>
        <w:spacing w:line="264" w:lineRule="auto"/>
        <w:ind w:left="360"/>
        <w:rPr>
          <w:rFonts w:cs="Arial"/>
        </w:rPr>
      </w:pPr>
      <w:r>
        <w:rPr>
          <w:rFonts w:cs="Arial"/>
        </w:rPr>
        <w:lastRenderedPageBreak/>
        <w:t xml:space="preserve">With regard to bushfires and transmission lines, there is much conjecture and confusion around the risks of a fire being started by a transmission line, through to what actions </w:t>
      </w:r>
      <w:r w:rsidR="006F2640">
        <w:rPr>
          <w:rFonts w:cs="Arial"/>
        </w:rPr>
        <w:t>t</w:t>
      </w:r>
      <w:r>
        <w:rPr>
          <w:rFonts w:cs="Arial"/>
        </w:rPr>
        <w:t xml:space="preserve">he public </w:t>
      </w:r>
      <w:r w:rsidR="0037745A">
        <w:rPr>
          <w:rFonts w:cs="Arial"/>
        </w:rPr>
        <w:t xml:space="preserve">should </w:t>
      </w:r>
      <w:r>
        <w:rPr>
          <w:rFonts w:cs="Arial"/>
        </w:rPr>
        <w:t>take when near or fighting a fire that is in proximity to a bushfire, irrespective of the fire’s origins.</w:t>
      </w:r>
    </w:p>
    <w:p w14:paraId="3D5F855B" w14:textId="636D6A37" w:rsidR="00C66F7A" w:rsidRDefault="00C66F7A" w:rsidP="00C66F7A">
      <w:pPr>
        <w:pStyle w:val="ListParagraph"/>
        <w:numPr>
          <w:ilvl w:val="0"/>
          <w:numId w:val="0"/>
        </w:numPr>
        <w:spacing w:line="264" w:lineRule="auto"/>
        <w:ind w:left="360"/>
        <w:rPr>
          <w:rFonts w:cs="Arial"/>
        </w:rPr>
      </w:pPr>
      <w:r>
        <w:rPr>
          <w:rFonts w:cs="Arial"/>
        </w:rPr>
        <w:t>Much of the ignition confusion relates to the difference between an electricity distribution network (typically up to 66kV) versus a high voltage transmission line (typically 133kV up to 500kV).</w:t>
      </w:r>
      <w:r w:rsidR="006F2640">
        <w:rPr>
          <w:rFonts w:cs="Arial"/>
        </w:rPr>
        <w:t xml:space="preserve"> </w:t>
      </w:r>
      <w:r>
        <w:rPr>
          <w:rFonts w:cs="Arial"/>
        </w:rPr>
        <w:t>Because of the large clearance between a transmission line’s conductors and the ground or vegetation, transmission lines are not known for igniting fires, unlike the distribution lines, which are relatively close to the ground.</w:t>
      </w:r>
    </w:p>
    <w:p w14:paraId="148BB660" w14:textId="4F21B885" w:rsidR="00C66F7A" w:rsidRPr="00E8771B" w:rsidRDefault="00C66F7A" w:rsidP="00C66F7A">
      <w:pPr>
        <w:pStyle w:val="ListParagraph"/>
        <w:numPr>
          <w:ilvl w:val="0"/>
          <w:numId w:val="0"/>
        </w:numPr>
        <w:spacing w:line="264" w:lineRule="auto"/>
        <w:ind w:left="360"/>
        <w:rPr>
          <w:rFonts w:cs="Arial"/>
        </w:rPr>
      </w:pPr>
      <w:r>
        <w:rPr>
          <w:rFonts w:cs="Arial"/>
        </w:rPr>
        <w:t xml:space="preserve">To address these various concerns, Energy Safe Victoria (ESV), the Country Fire Authority (CFA) and our Office have developed a current, factual information brochure entitled </w:t>
      </w:r>
      <w:r w:rsidRPr="00E8771B">
        <w:rPr>
          <w:rFonts w:cs="Arial"/>
          <w:i/>
          <w:iCs/>
        </w:rPr>
        <w:t>Electricity Transmission Lines – Bushfire Management and Community Safety.</w:t>
      </w:r>
      <w:r>
        <w:rPr>
          <w:rFonts w:cs="Arial"/>
          <w:i/>
          <w:iCs/>
        </w:rPr>
        <w:t xml:space="preserve"> </w:t>
      </w:r>
      <w:r>
        <w:rPr>
          <w:rFonts w:cs="Arial"/>
        </w:rPr>
        <w:t xml:space="preserve">The brochure was issued in March 2023 </w:t>
      </w:r>
      <w:r w:rsidR="0037745A">
        <w:rPr>
          <w:rFonts w:cs="Arial"/>
        </w:rPr>
        <w:t xml:space="preserve">and </w:t>
      </w:r>
      <w:r>
        <w:rPr>
          <w:rFonts w:cs="Arial"/>
        </w:rPr>
        <w:t>is available online at the ESV and AEIC websites.</w:t>
      </w:r>
    </w:p>
    <w:p w14:paraId="4EE02AD6"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08D822CC" w14:textId="5BB0B403"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Planning permit conditions </w:t>
      </w:r>
      <w:r>
        <w:rPr>
          <w:rFonts w:cs="Arial"/>
        </w:rPr>
        <w:t xml:space="preserve">for projects </w:t>
      </w:r>
      <w:r w:rsidRPr="00FC45E9">
        <w:rPr>
          <w:rFonts w:cs="Arial"/>
        </w:rPr>
        <w:t xml:space="preserve">should stipulate that </w:t>
      </w:r>
      <w:r>
        <w:rPr>
          <w:rFonts w:cs="Arial"/>
        </w:rPr>
        <w:t xml:space="preserve">the </w:t>
      </w:r>
      <w:r w:rsidRPr="00FC45E9">
        <w:rPr>
          <w:rFonts w:cs="Arial"/>
        </w:rPr>
        <w:t xml:space="preserve">complaint handling procedures </w:t>
      </w:r>
      <w:r>
        <w:rPr>
          <w:rFonts w:cs="Arial"/>
        </w:rPr>
        <w:t xml:space="preserve">should </w:t>
      </w:r>
      <w:r w:rsidRPr="00FC45E9">
        <w:rPr>
          <w:rFonts w:cs="Arial"/>
        </w:rPr>
        <w:t xml:space="preserve">support all types of </w:t>
      </w:r>
      <w:r>
        <w:rPr>
          <w:rFonts w:cs="Arial"/>
        </w:rPr>
        <w:t xml:space="preserve">concerns and </w:t>
      </w:r>
      <w:r w:rsidRPr="00FC45E9">
        <w:rPr>
          <w:rFonts w:cs="Arial"/>
        </w:rPr>
        <w:t xml:space="preserve">complaints raised about the </w:t>
      </w:r>
      <w:r>
        <w:rPr>
          <w:rFonts w:cs="Arial"/>
        </w:rPr>
        <w:t xml:space="preserve">project </w:t>
      </w:r>
      <w:r w:rsidRPr="00FC45E9">
        <w:rPr>
          <w:rFonts w:cs="Arial"/>
        </w:rPr>
        <w:t xml:space="preserve">and also meet minimum best practice standards for complaint handling procedures (such as the </w:t>
      </w:r>
      <w:r w:rsidRPr="00FC45E9">
        <w:rPr>
          <w:rFonts w:cs="Arial"/>
          <w:i/>
        </w:rPr>
        <w:t>Australian/NZ Standard for Complaint Handling – AS10002:2014</w:t>
      </w:r>
      <w:r w:rsidRPr="00FC45E9">
        <w:rPr>
          <w:rFonts w:cs="Arial"/>
        </w:rPr>
        <w:t>).The developer should implement appropriate systems and processes to support the procedures and maintain an appropriately detailed complaint register.</w:t>
      </w:r>
    </w:p>
    <w:p w14:paraId="66BB916C" w14:textId="24F6ADEF"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Planning permits should include a condition requiring the endorsed complaint handling procedure and the complaints register to be published on the </w:t>
      </w:r>
      <w:r>
        <w:rPr>
          <w:rFonts w:cs="Arial"/>
        </w:rPr>
        <w:t>project</w:t>
      </w:r>
      <w:r w:rsidRPr="00FC45E9">
        <w:rPr>
          <w:rFonts w:cs="Arial"/>
        </w:rPr>
        <w:t xml:space="preserve">’s website. </w:t>
      </w:r>
      <w:r>
        <w:rPr>
          <w:rFonts w:cs="Arial"/>
        </w:rPr>
        <w:br/>
      </w:r>
      <w:r w:rsidRPr="00FC45E9">
        <w:rPr>
          <w:rFonts w:cs="Arial"/>
        </w:rPr>
        <w:t xml:space="preserve">The website should include a </w:t>
      </w:r>
      <w:r>
        <w:rPr>
          <w:rFonts w:cs="Arial"/>
        </w:rPr>
        <w:t xml:space="preserve">direct, </w:t>
      </w:r>
      <w:r w:rsidRPr="00FC45E9">
        <w:rPr>
          <w:rFonts w:cs="Arial"/>
        </w:rPr>
        <w:t>toll-free</w:t>
      </w:r>
      <w:r>
        <w:rPr>
          <w:rFonts w:cs="Arial"/>
        </w:rPr>
        <w:t xml:space="preserve"> telephone</w:t>
      </w:r>
      <w:r w:rsidRPr="00FC45E9">
        <w:rPr>
          <w:rFonts w:cs="Arial"/>
        </w:rPr>
        <w:t xml:space="preserve"> number and an email address </w:t>
      </w:r>
      <w:r>
        <w:rPr>
          <w:rFonts w:cs="Arial"/>
        </w:rPr>
        <w:t>to</w:t>
      </w:r>
      <w:r w:rsidRPr="00FC45E9">
        <w:rPr>
          <w:rFonts w:cs="Arial"/>
        </w:rPr>
        <w:t xml:space="preserve"> contact the </w:t>
      </w:r>
      <w:r>
        <w:rPr>
          <w:rFonts w:cs="Arial"/>
        </w:rPr>
        <w:t>project</w:t>
      </w:r>
      <w:r w:rsidRPr="00FC45E9">
        <w:rPr>
          <w:rFonts w:cs="Arial"/>
        </w:rPr>
        <w:t xml:space="preserve"> to make an enquiry or complaint. Developers should also proactively implement these provisions from the very commencement of development as part of best practice transparency and community engagement.</w:t>
      </w:r>
    </w:p>
    <w:p w14:paraId="44C6C79B" w14:textId="394FD7FD"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Planning permits should include a condition requiring </w:t>
      </w:r>
      <w:r>
        <w:rPr>
          <w:rFonts w:cs="Arial"/>
        </w:rPr>
        <w:t xml:space="preserve">that </w:t>
      </w:r>
      <w:r w:rsidRPr="00FC45E9">
        <w:rPr>
          <w:rFonts w:cs="Arial"/>
        </w:rPr>
        <w:t xml:space="preserve">the endorsed complaint handling procedure be followed and complied with by the </w:t>
      </w:r>
      <w:r>
        <w:rPr>
          <w:rFonts w:cs="Arial"/>
        </w:rPr>
        <w:t>proponent</w:t>
      </w:r>
      <w:r w:rsidRPr="00FC45E9">
        <w:rPr>
          <w:rFonts w:cs="Arial"/>
        </w:rPr>
        <w:t>. Failure to comply could be deemed as a material breach of permit compliance.</w:t>
      </w:r>
      <w:r>
        <w:rPr>
          <w:rFonts w:cs="Arial"/>
        </w:rPr>
        <w:t xml:space="preserve"> Complainants should be provided with a reference number, but only one reference number should be issued for the complaint, no matter how many times a complainant contacts the developer about the same issues.</w:t>
      </w:r>
    </w:p>
    <w:p w14:paraId="18E46A51"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The responsible authority should have the powers and capability to audit a </w:t>
      </w:r>
      <w:r>
        <w:rPr>
          <w:rFonts w:cs="Arial"/>
        </w:rPr>
        <w:t>project</w:t>
      </w:r>
      <w:r w:rsidRPr="00FC45E9">
        <w:rPr>
          <w:rFonts w:cs="Arial"/>
        </w:rPr>
        <w:t xml:space="preserve">’s complaint handling </w:t>
      </w:r>
      <w:r>
        <w:rPr>
          <w:rFonts w:cs="Arial"/>
        </w:rPr>
        <w:t xml:space="preserve">process, </w:t>
      </w:r>
      <w:r w:rsidRPr="00FC45E9">
        <w:rPr>
          <w:rFonts w:cs="Arial"/>
        </w:rPr>
        <w:t xml:space="preserve">activities and </w:t>
      </w:r>
      <w:r>
        <w:rPr>
          <w:rFonts w:cs="Arial"/>
        </w:rPr>
        <w:t xml:space="preserve">the </w:t>
      </w:r>
      <w:r w:rsidRPr="00FC45E9">
        <w:rPr>
          <w:rFonts w:cs="Arial"/>
        </w:rPr>
        <w:t xml:space="preserve">complaints register </w:t>
      </w:r>
      <w:r>
        <w:rPr>
          <w:rFonts w:cs="Arial"/>
        </w:rPr>
        <w:t xml:space="preserve">– to </w:t>
      </w:r>
      <w:r w:rsidRPr="00FC45E9">
        <w:rPr>
          <w:rFonts w:cs="Arial"/>
        </w:rPr>
        <w:t xml:space="preserve">monitor compliance with the </w:t>
      </w:r>
      <w:r>
        <w:rPr>
          <w:rFonts w:cs="Arial"/>
        </w:rPr>
        <w:t xml:space="preserve">endorsed </w:t>
      </w:r>
      <w:r w:rsidRPr="00FC45E9">
        <w:rPr>
          <w:rFonts w:cs="Arial"/>
        </w:rPr>
        <w:t>procedures and the planning permit conditions.</w:t>
      </w:r>
      <w:r w:rsidRPr="00FC45E9" w:rsidDel="006E4759">
        <w:rPr>
          <w:rFonts w:cs="Arial"/>
        </w:rPr>
        <w:t xml:space="preserve"> </w:t>
      </w:r>
    </w:p>
    <w:p w14:paraId="0DCF5336" w14:textId="267B714F" w:rsidR="00C66F7A" w:rsidRDefault="00C66F7A" w:rsidP="00C66F7A">
      <w:pPr>
        <w:pStyle w:val="ListParagraph"/>
        <w:numPr>
          <w:ilvl w:val="2"/>
          <w:numId w:val="8"/>
        </w:numPr>
        <w:spacing w:line="264" w:lineRule="auto"/>
        <w:ind w:left="1400" w:hanging="680"/>
        <w:rPr>
          <w:rFonts w:cs="Arial"/>
        </w:rPr>
      </w:pPr>
      <w:r w:rsidRPr="00FC45E9">
        <w:rPr>
          <w:rFonts w:cs="Arial"/>
        </w:rPr>
        <w:t xml:space="preserve">The complaint handling procedure and the </w:t>
      </w:r>
      <w:r>
        <w:rPr>
          <w:rFonts w:cs="Arial"/>
        </w:rPr>
        <w:t xml:space="preserve">project </w:t>
      </w:r>
      <w:r w:rsidRPr="00FC45E9">
        <w:rPr>
          <w:rFonts w:cs="Arial"/>
        </w:rPr>
        <w:t xml:space="preserve">operator should have the capacity to accommodate </w:t>
      </w:r>
      <w:r w:rsidR="00F47143">
        <w:rPr>
          <w:rFonts w:cs="Arial"/>
        </w:rPr>
        <w:t xml:space="preserve">the </w:t>
      </w:r>
      <w:r w:rsidRPr="00FC45E9">
        <w:rPr>
          <w:rFonts w:cs="Arial"/>
        </w:rPr>
        <w:t xml:space="preserve">handling of urgent or emergency complaints. These complaints may be related to safety issues as well as unacceptable </w:t>
      </w:r>
      <w:r>
        <w:rPr>
          <w:rFonts w:cs="Arial"/>
        </w:rPr>
        <w:t>environmental impacts, such as</w:t>
      </w:r>
      <w:r w:rsidRPr="00FC45E9">
        <w:rPr>
          <w:rFonts w:cs="Arial"/>
        </w:rPr>
        <w:t xml:space="preserve"> damage to </w:t>
      </w:r>
      <w:r>
        <w:rPr>
          <w:rFonts w:cs="Arial"/>
        </w:rPr>
        <w:t>a</w:t>
      </w:r>
      <w:r w:rsidRPr="00FC45E9">
        <w:rPr>
          <w:rFonts w:cs="Arial"/>
        </w:rPr>
        <w:t xml:space="preserve"> turbine caused by external events such as </w:t>
      </w:r>
      <w:r w:rsidR="00F47143">
        <w:rPr>
          <w:rFonts w:cs="Arial"/>
        </w:rPr>
        <w:t xml:space="preserve">a </w:t>
      </w:r>
      <w:r w:rsidRPr="00FC45E9">
        <w:rPr>
          <w:rFonts w:cs="Arial"/>
        </w:rPr>
        <w:t>lightning strike or mechanical failure</w:t>
      </w:r>
      <w:r>
        <w:rPr>
          <w:rFonts w:cs="Arial"/>
        </w:rPr>
        <w:t xml:space="preserve"> resulting in unacceptable noise emissions</w:t>
      </w:r>
      <w:r w:rsidRPr="00FC45E9">
        <w:rPr>
          <w:rFonts w:cs="Arial"/>
        </w:rPr>
        <w:t xml:space="preserve">. The </w:t>
      </w:r>
      <w:r>
        <w:rPr>
          <w:rFonts w:cs="Arial"/>
        </w:rPr>
        <w:t xml:space="preserve">project </w:t>
      </w:r>
      <w:r w:rsidRPr="00FC45E9">
        <w:rPr>
          <w:rFonts w:cs="Arial"/>
        </w:rPr>
        <w:t xml:space="preserve">operator should respond immediately, on-site, to assess, address and rectify such issues. While objective measures and standards may be in place for assessing </w:t>
      </w:r>
      <w:r>
        <w:rPr>
          <w:rFonts w:cs="Arial"/>
        </w:rPr>
        <w:t xml:space="preserve">matters such as </w:t>
      </w:r>
      <w:r w:rsidRPr="00FC45E9">
        <w:rPr>
          <w:rFonts w:cs="Arial"/>
        </w:rPr>
        <w:t xml:space="preserve">noise emissions, a subjective reasonableness test should also be applied when assessing </w:t>
      </w:r>
      <w:r>
        <w:rPr>
          <w:rFonts w:cs="Arial"/>
        </w:rPr>
        <w:t xml:space="preserve">environmental conditions, </w:t>
      </w:r>
      <w:r w:rsidRPr="00FC45E9">
        <w:rPr>
          <w:rFonts w:cs="Arial"/>
        </w:rPr>
        <w:t>such as abnormal noise emissions, tonality, special audible characteristics and low frequency noise.</w:t>
      </w:r>
    </w:p>
    <w:p w14:paraId="65B7F16B" w14:textId="7F0F9F92" w:rsidR="00C66F7A" w:rsidRPr="00FC45E9" w:rsidRDefault="00C66F7A" w:rsidP="00C66F7A">
      <w:pPr>
        <w:pStyle w:val="ListParagraph"/>
        <w:numPr>
          <w:ilvl w:val="2"/>
          <w:numId w:val="8"/>
        </w:numPr>
        <w:spacing w:line="264" w:lineRule="auto"/>
        <w:ind w:left="1400" w:hanging="680"/>
        <w:rPr>
          <w:rFonts w:cs="Arial"/>
        </w:rPr>
      </w:pPr>
      <w:r>
        <w:rPr>
          <w:rFonts w:cs="Arial"/>
        </w:rPr>
        <w:t>Complaint handling bodies such as developers, local councils, state governments and compliance authorities should ensure they are able to receive and process complaints – and that their complaint handling procedures are relevant for the types of projects covered by this report. Further, these complaints need to be closed out at the appropriate time</w:t>
      </w:r>
      <w:r w:rsidR="00F47143">
        <w:rPr>
          <w:rFonts w:cs="Arial"/>
        </w:rPr>
        <w:t>,</w:t>
      </w:r>
      <w:r>
        <w:rPr>
          <w:rFonts w:cs="Arial"/>
        </w:rPr>
        <w:t xml:space="preserve"> with the complainant being advised accordingly.</w:t>
      </w:r>
    </w:p>
    <w:p w14:paraId="5CB5758E"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lastRenderedPageBreak/>
        <w:t>For extreme emergency conditions, such as a bushfire</w:t>
      </w:r>
      <w:r>
        <w:rPr>
          <w:rFonts w:cs="Arial"/>
        </w:rPr>
        <w:t xml:space="preserve"> or flood</w:t>
      </w:r>
      <w:r w:rsidRPr="00FC45E9">
        <w:rPr>
          <w:rFonts w:cs="Arial"/>
        </w:rPr>
        <w:t xml:space="preserve">, the </w:t>
      </w:r>
      <w:r>
        <w:rPr>
          <w:rFonts w:cs="Arial"/>
        </w:rPr>
        <w:t xml:space="preserve">project </w:t>
      </w:r>
      <w:r w:rsidRPr="00FC45E9">
        <w:rPr>
          <w:rFonts w:cs="Arial"/>
        </w:rPr>
        <w:t xml:space="preserve">operator should have appropriate controls, protocols and procedures in place, consistent with the emergency response requirements, to ensure the </w:t>
      </w:r>
      <w:r>
        <w:rPr>
          <w:rFonts w:cs="Arial"/>
        </w:rPr>
        <w:t>assets</w:t>
      </w:r>
      <w:r w:rsidRPr="00FC45E9">
        <w:rPr>
          <w:rFonts w:cs="Arial"/>
        </w:rPr>
        <w:t xml:space="preserve"> can be rapidly shut down. Power network operators should be aware </w:t>
      </w:r>
      <w:r>
        <w:rPr>
          <w:rFonts w:cs="Arial"/>
        </w:rPr>
        <w:t xml:space="preserve">that </w:t>
      </w:r>
      <w:r w:rsidRPr="00FC45E9">
        <w:rPr>
          <w:rFonts w:cs="Arial"/>
        </w:rPr>
        <w:t xml:space="preserve">the wind </w:t>
      </w:r>
      <w:r>
        <w:rPr>
          <w:rFonts w:cs="Arial"/>
        </w:rPr>
        <w:t xml:space="preserve">or solar </w:t>
      </w:r>
      <w:r w:rsidRPr="00FC45E9">
        <w:rPr>
          <w:rFonts w:cs="Arial"/>
        </w:rPr>
        <w:t>farm capacity may need to be shut down quickly in the event of a</w:t>
      </w:r>
      <w:r>
        <w:rPr>
          <w:rFonts w:cs="Arial"/>
        </w:rPr>
        <w:t>n emergency event</w:t>
      </w:r>
      <w:r w:rsidRPr="00FC45E9">
        <w:rPr>
          <w:rFonts w:cs="Arial"/>
        </w:rPr>
        <w:t>.</w:t>
      </w:r>
      <w:r>
        <w:rPr>
          <w:rFonts w:cs="Arial"/>
        </w:rPr>
        <w:t xml:space="preserve"> </w:t>
      </w:r>
    </w:p>
    <w:p w14:paraId="386BA0B4" w14:textId="77777777" w:rsidR="00C66F7A" w:rsidRDefault="00C66F7A" w:rsidP="00C66F7A">
      <w:pPr>
        <w:pStyle w:val="ListParagraph"/>
        <w:numPr>
          <w:ilvl w:val="2"/>
          <w:numId w:val="8"/>
        </w:numPr>
        <w:spacing w:line="264" w:lineRule="auto"/>
        <w:ind w:left="1400" w:hanging="680"/>
        <w:rPr>
          <w:rFonts w:cs="Arial"/>
        </w:rPr>
      </w:pPr>
      <w:r>
        <w:rPr>
          <w:rFonts w:cs="Arial"/>
        </w:rPr>
        <w:t>Projects</w:t>
      </w:r>
      <w:r w:rsidRPr="00FC45E9">
        <w:rPr>
          <w:rFonts w:cs="Arial"/>
        </w:rPr>
        <w:t xml:space="preserve"> should also work </w:t>
      </w:r>
      <w:r>
        <w:rPr>
          <w:rFonts w:cs="Arial"/>
        </w:rPr>
        <w:t xml:space="preserve">closely </w:t>
      </w:r>
      <w:r w:rsidRPr="00FC45E9">
        <w:rPr>
          <w:rFonts w:cs="Arial"/>
        </w:rPr>
        <w:t xml:space="preserve">with the relevant firefighting </w:t>
      </w:r>
      <w:r>
        <w:rPr>
          <w:rFonts w:cs="Arial"/>
        </w:rPr>
        <w:t xml:space="preserve">(and/or emergency services) </w:t>
      </w:r>
      <w:r w:rsidRPr="00FC45E9">
        <w:rPr>
          <w:rFonts w:cs="Arial"/>
        </w:rPr>
        <w:t xml:space="preserve">agency to review </w:t>
      </w:r>
      <w:r>
        <w:rPr>
          <w:rFonts w:cs="Arial"/>
        </w:rPr>
        <w:t xml:space="preserve">and agree on protocols and </w:t>
      </w:r>
      <w:r w:rsidRPr="00FC45E9">
        <w:rPr>
          <w:rFonts w:cs="Arial"/>
        </w:rPr>
        <w:t xml:space="preserve">procedures </w:t>
      </w:r>
      <w:r>
        <w:rPr>
          <w:rFonts w:cs="Arial"/>
        </w:rPr>
        <w:t xml:space="preserve">to be followed in the event of an emergency. </w:t>
      </w:r>
    </w:p>
    <w:p w14:paraId="1400E43F" w14:textId="41761823" w:rsidR="00C66F7A" w:rsidRDefault="00C66F7A" w:rsidP="00C66F7A">
      <w:pPr>
        <w:pStyle w:val="ListParagraph"/>
        <w:numPr>
          <w:ilvl w:val="2"/>
          <w:numId w:val="8"/>
        </w:numPr>
        <w:spacing w:line="264" w:lineRule="auto"/>
        <w:ind w:left="1400" w:hanging="680"/>
        <w:rPr>
          <w:rFonts w:cs="Arial"/>
        </w:rPr>
      </w:pPr>
      <w:r w:rsidRPr="00FC45E9">
        <w:rPr>
          <w:rFonts w:cs="Arial"/>
        </w:rPr>
        <w:t xml:space="preserve">The </w:t>
      </w:r>
      <w:r>
        <w:rPr>
          <w:rFonts w:cs="Arial"/>
        </w:rPr>
        <w:t>project</w:t>
      </w:r>
      <w:r w:rsidRPr="00FC45E9">
        <w:rPr>
          <w:rFonts w:cs="Arial"/>
        </w:rPr>
        <w:t xml:space="preserve"> should use appropriate marking devices to ensure transparency of other aerial obstacles</w:t>
      </w:r>
      <w:r w:rsidR="00F47143">
        <w:rPr>
          <w:rFonts w:cs="Arial"/>
        </w:rPr>
        <w:t xml:space="preserve">, </w:t>
      </w:r>
      <w:r w:rsidRPr="00FC45E9">
        <w:rPr>
          <w:rFonts w:cs="Arial"/>
        </w:rPr>
        <w:t>such as meteorological masts, radio towers and powerlines</w:t>
      </w:r>
      <w:r w:rsidR="00F47143">
        <w:rPr>
          <w:rFonts w:cs="Arial"/>
        </w:rPr>
        <w:t xml:space="preserve">, </w:t>
      </w:r>
      <w:r>
        <w:rPr>
          <w:rFonts w:cs="Arial"/>
        </w:rPr>
        <w:t xml:space="preserve">in consultation with </w:t>
      </w:r>
      <w:r w:rsidRPr="00FC45E9">
        <w:rPr>
          <w:rFonts w:cs="Arial"/>
        </w:rPr>
        <w:t xml:space="preserve">the firefighting agency. </w:t>
      </w:r>
      <w:r>
        <w:rPr>
          <w:rFonts w:cs="Arial"/>
        </w:rPr>
        <w:t xml:space="preserve">Material </w:t>
      </w:r>
      <w:r w:rsidRPr="00FC45E9">
        <w:rPr>
          <w:rFonts w:cs="Arial"/>
        </w:rPr>
        <w:t>obstacles should require planning permits</w:t>
      </w:r>
      <w:r>
        <w:rPr>
          <w:rFonts w:cs="Arial"/>
        </w:rPr>
        <w:t xml:space="preserve">. If the obstacle is a potential risk to aviation safety, the obstacle should </w:t>
      </w:r>
      <w:r w:rsidRPr="00FC45E9">
        <w:rPr>
          <w:rFonts w:cs="Arial"/>
        </w:rPr>
        <w:t xml:space="preserve">be assessed as part of the </w:t>
      </w:r>
      <w:r>
        <w:rPr>
          <w:rFonts w:cs="Arial"/>
        </w:rPr>
        <w:t xml:space="preserve">overall </w:t>
      </w:r>
      <w:r w:rsidRPr="00FC45E9">
        <w:rPr>
          <w:rFonts w:cs="Arial"/>
        </w:rPr>
        <w:t xml:space="preserve">aviation impact </w:t>
      </w:r>
      <w:r>
        <w:rPr>
          <w:rFonts w:cs="Arial"/>
        </w:rPr>
        <w:t>assessment, with the audited assessment being provided to the responsible planning authority.</w:t>
      </w:r>
    </w:p>
    <w:p w14:paraId="014109FA" w14:textId="3E1FBDF2" w:rsidR="00C66F7A" w:rsidRPr="00FC45E9" w:rsidRDefault="00C66F7A" w:rsidP="00C66F7A">
      <w:pPr>
        <w:pStyle w:val="ListParagraph"/>
        <w:numPr>
          <w:ilvl w:val="2"/>
          <w:numId w:val="8"/>
        </w:numPr>
        <w:spacing w:line="264" w:lineRule="auto"/>
        <w:ind w:left="1400" w:hanging="680"/>
        <w:rPr>
          <w:rFonts w:cs="Arial"/>
        </w:rPr>
      </w:pPr>
      <w:r>
        <w:rPr>
          <w:rFonts w:cs="Arial"/>
        </w:rPr>
        <w:t xml:space="preserve">Wind turbine design standards should be reviewed in light of their capability to remotely position and lock turbine blades in the event of a bushfire. Developers should strongly consider selecting turbines that conform to this standard going forward. </w:t>
      </w:r>
      <w:r w:rsidRPr="005404E2">
        <w:rPr>
          <w:rFonts w:cs="Arial"/>
        </w:rPr>
        <w:t>There would also be a strong advantage if turbines were delivered with the capability to install aviation lighting</w:t>
      </w:r>
      <w:r w:rsidR="00F47143">
        <w:rPr>
          <w:rFonts w:cs="Arial"/>
        </w:rPr>
        <w:t>,</w:t>
      </w:r>
      <w:r w:rsidRPr="005404E2">
        <w:rPr>
          <w:rFonts w:cs="Arial"/>
        </w:rPr>
        <w:t xml:space="preserve"> even if this is not a permit requirement or intended for use under normal conditions, as the </w:t>
      </w:r>
      <w:r>
        <w:rPr>
          <w:rFonts w:cs="Arial"/>
        </w:rPr>
        <w:t>ability</w:t>
      </w:r>
      <w:r w:rsidRPr="005404E2">
        <w:rPr>
          <w:rFonts w:cs="Arial"/>
        </w:rPr>
        <w:t xml:space="preserve"> to </w:t>
      </w:r>
      <w:r>
        <w:rPr>
          <w:rFonts w:cs="Arial"/>
        </w:rPr>
        <w:t>quickly and remotely activate safety lighting on turbines</w:t>
      </w:r>
      <w:r w:rsidRPr="005404E2">
        <w:rPr>
          <w:rFonts w:cs="Arial"/>
        </w:rPr>
        <w:t xml:space="preserve"> may assist greatly in the event of any bushfire or </w:t>
      </w:r>
      <w:r>
        <w:rPr>
          <w:rFonts w:cs="Arial"/>
        </w:rPr>
        <w:t xml:space="preserve">other </w:t>
      </w:r>
      <w:r w:rsidRPr="005404E2">
        <w:rPr>
          <w:rFonts w:cs="Arial"/>
        </w:rPr>
        <w:t>emergency.</w:t>
      </w:r>
    </w:p>
    <w:p w14:paraId="37285B11" w14:textId="6A88DC3E"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The industry peak bod</w:t>
      </w:r>
      <w:r>
        <w:rPr>
          <w:rFonts w:cs="Arial"/>
        </w:rPr>
        <w:t>ies</w:t>
      </w:r>
      <w:r w:rsidRPr="00FC45E9">
        <w:rPr>
          <w:rFonts w:cs="Arial"/>
        </w:rPr>
        <w:t xml:space="preserve"> (CEC</w:t>
      </w:r>
      <w:r>
        <w:rPr>
          <w:rFonts w:cs="Arial"/>
        </w:rPr>
        <w:t xml:space="preserve"> and ENA</w:t>
      </w:r>
      <w:r w:rsidRPr="00FC45E9">
        <w:rPr>
          <w:rFonts w:cs="Arial"/>
        </w:rPr>
        <w:t>) should continue to provide leadership to the industry by developing and promoting best practice standards for complaint handling, along with community engagement and quality assurance of member companies. The CEC</w:t>
      </w:r>
      <w:r>
        <w:rPr>
          <w:rFonts w:cs="Arial"/>
        </w:rPr>
        <w:t xml:space="preserve"> and ENA</w:t>
      </w:r>
      <w:r w:rsidRPr="00FC45E9">
        <w:rPr>
          <w:rFonts w:cs="Arial"/>
        </w:rPr>
        <w:t xml:space="preserve"> could also encourage or mandate </w:t>
      </w:r>
      <w:r>
        <w:rPr>
          <w:rFonts w:cs="Arial"/>
        </w:rPr>
        <w:t xml:space="preserve">(via a code of conduct) </w:t>
      </w:r>
      <w:r w:rsidRPr="00FC45E9">
        <w:rPr>
          <w:rFonts w:cs="Arial"/>
        </w:rPr>
        <w:t xml:space="preserve">that its industry members voluntarily publish their </w:t>
      </w:r>
      <w:r>
        <w:rPr>
          <w:rFonts w:cs="Arial"/>
        </w:rPr>
        <w:t>project’</w:t>
      </w:r>
      <w:r w:rsidRPr="00FC45E9">
        <w:rPr>
          <w:rFonts w:cs="Arial"/>
        </w:rPr>
        <w:t xml:space="preserve">s complaint handling procedure </w:t>
      </w:r>
      <w:r>
        <w:rPr>
          <w:rFonts w:cs="Arial"/>
        </w:rPr>
        <w:t xml:space="preserve">and contact details </w:t>
      </w:r>
      <w:r w:rsidRPr="00FC45E9">
        <w:rPr>
          <w:rFonts w:cs="Arial"/>
        </w:rPr>
        <w:t xml:space="preserve">and </w:t>
      </w:r>
      <w:r w:rsidR="00F47143">
        <w:rPr>
          <w:rFonts w:cs="Arial"/>
        </w:rPr>
        <w:t xml:space="preserve">that </w:t>
      </w:r>
      <w:r w:rsidRPr="00FC45E9">
        <w:rPr>
          <w:rFonts w:cs="Arial"/>
        </w:rPr>
        <w:t>th</w:t>
      </w:r>
      <w:r>
        <w:rPr>
          <w:rFonts w:cs="Arial"/>
        </w:rPr>
        <w:t>eir staff are</w:t>
      </w:r>
      <w:r w:rsidRPr="00FC45E9">
        <w:rPr>
          <w:rFonts w:cs="Arial"/>
        </w:rPr>
        <w:t xml:space="preserve"> properly trained and skilled in </w:t>
      </w:r>
      <w:r>
        <w:rPr>
          <w:rFonts w:cs="Arial"/>
        </w:rPr>
        <w:t xml:space="preserve">effective </w:t>
      </w:r>
      <w:r w:rsidRPr="00FC45E9">
        <w:rPr>
          <w:rFonts w:cs="Arial"/>
        </w:rPr>
        <w:t>complaint handling.</w:t>
      </w:r>
    </w:p>
    <w:p w14:paraId="223A6B34" w14:textId="7782300A" w:rsidR="00C66F7A" w:rsidRDefault="00C66F7A" w:rsidP="00C66F7A">
      <w:pPr>
        <w:pStyle w:val="ListParagraph"/>
        <w:numPr>
          <w:ilvl w:val="2"/>
          <w:numId w:val="8"/>
        </w:numPr>
        <w:spacing w:line="264" w:lineRule="auto"/>
        <w:ind w:left="1400" w:hanging="680"/>
        <w:rPr>
          <w:rFonts w:cs="Arial"/>
        </w:rPr>
      </w:pPr>
      <w:r w:rsidRPr="00530122">
        <w:rPr>
          <w:rFonts w:cs="Arial"/>
        </w:rPr>
        <w:t>Policies and procedures for handling noise and other environmental complaints lodged with government agencies, including local councils, should be in</w:t>
      </w:r>
      <w:r w:rsidR="00F47143">
        <w:rPr>
          <w:rFonts w:cs="Arial"/>
        </w:rPr>
        <w:t xml:space="preserve"> a</w:t>
      </w:r>
      <w:r w:rsidRPr="00530122">
        <w:rPr>
          <w:rFonts w:cs="Arial"/>
        </w:rPr>
        <w:t xml:space="preserve"> place where the possibility exists for complaints to be made either as an alleged breach of compliance and/or under other governing legislation, such as the Victorian </w:t>
      </w:r>
      <w:r w:rsidRPr="00530122">
        <w:rPr>
          <w:rFonts w:cs="Arial"/>
          <w:i/>
        </w:rPr>
        <w:t>Public Health and Wellbeing Act 2008</w:t>
      </w:r>
      <w:r w:rsidRPr="00530122">
        <w:rPr>
          <w:rFonts w:cs="Arial"/>
        </w:rPr>
        <w:t xml:space="preserve"> and the </w:t>
      </w:r>
      <w:r w:rsidRPr="00530122">
        <w:rPr>
          <w:rFonts w:cs="Arial"/>
          <w:i/>
          <w:iCs/>
        </w:rPr>
        <w:t>Environment Protection Amendment Act 2018</w:t>
      </w:r>
      <w:r w:rsidRPr="00530122">
        <w:rPr>
          <w:rFonts w:cs="Arial"/>
        </w:rPr>
        <w:t>. Overlapping legislation may well need to be adjusted to avoid unnecessary duplication of process and the prospects of vexatious complaints and litigation.</w:t>
      </w:r>
    </w:p>
    <w:p w14:paraId="362F6888" w14:textId="77777777" w:rsidR="00C66F7A" w:rsidRDefault="00C66F7A" w:rsidP="00C66F7A">
      <w:pPr>
        <w:pStyle w:val="ListParagraph"/>
        <w:numPr>
          <w:ilvl w:val="2"/>
          <w:numId w:val="8"/>
        </w:numPr>
        <w:spacing w:line="264" w:lineRule="auto"/>
        <w:ind w:left="1400" w:hanging="680"/>
        <w:rPr>
          <w:rFonts w:cs="Arial"/>
        </w:rPr>
      </w:pPr>
      <w:r>
        <w:rPr>
          <w:rFonts w:cs="Arial"/>
        </w:rPr>
        <w:t>While guidelines are now in place relating to bushfires and wind farms (issued by AFAC) and transmission (ESV), contemporary guidelines still need to be published regarding bushfires and solar farms, large scale batteries as well as an updated, consistent guideline on working with transmission lines on farms.</w:t>
      </w:r>
    </w:p>
    <w:p w14:paraId="53C9FD8D" w14:textId="77777777" w:rsidR="00C66F7A" w:rsidRPr="00530122" w:rsidRDefault="00C66F7A" w:rsidP="00C66F7A">
      <w:pPr>
        <w:pStyle w:val="ListParagraph"/>
        <w:numPr>
          <w:ilvl w:val="2"/>
          <w:numId w:val="8"/>
        </w:numPr>
        <w:spacing w:line="264" w:lineRule="auto"/>
        <w:ind w:left="1400" w:hanging="680"/>
        <w:rPr>
          <w:rFonts w:cs="Arial"/>
        </w:rPr>
      </w:pPr>
      <w:r w:rsidRPr="00530122">
        <w:rPr>
          <w:rFonts w:cs="Arial"/>
        </w:rPr>
        <w:br w:type="page"/>
      </w:r>
    </w:p>
    <w:p w14:paraId="0710E364" w14:textId="77777777" w:rsidR="00C66F7A" w:rsidRPr="00FC45E9" w:rsidRDefault="00C66F7A" w:rsidP="00C66F7A">
      <w:pPr>
        <w:pStyle w:val="Heading2"/>
        <w:numPr>
          <w:ilvl w:val="0"/>
          <w:numId w:val="8"/>
        </w:numPr>
      </w:pPr>
      <w:bookmarkStart w:id="234" w:name="_Toc98781026"/>
      <w:bookmarkStart w:id="235" w:name="_Toc135390660"/>
      <w:bookmarkStart w:id="236" w:name="_Toc51224055"/>
      <w:bookmarkStart w:id="237" w:name="_Toc84430836"/>
      <w:r w:rsidRPr="00FC45E9">
        <w:lastRenderedPageBreak/>
        <w:t>Site Selection</w:t>
      </w:r>
      <w:bookmarkEnd w:id="234"/>
      <w:bookmarkEnd w:id="235"/>
    </w:p>
    <w:p w14:paraId="2DF02CA6"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71EDB46B" w14:textId="77777777" w:rsidR="00C66F7A" w:rsidRPr="00861E58" w:rsidRDefault="00C66F7A" w:rsidP="00F25864">
      <w:pPr>
        <w:pStyle w:val="Heading3"/>
        <w:ind w:firstLine="360"/>
      </w:pPr>
      <w:bookmarkStart w:id="238" w:name="_Toc131505385"/>
      <w:bookmarkStart w:id="239" w:name="_Toc132641515"/>
      <w:bookmarkStart w:id="240" w:name="_Toc135390661"/>
      <w:r w:rsidRPr="00861E58">
        <w:t>Background</w:t>
      </w:r>
      <w:bookmarkEnd w:id="238"/>
      <w:bookmarkEnd w:id="239"/>
      <w:bookmarkEnd w:id="240"/>
    </w:p>
    <w:p w14:paraId="472F5E16" w14:textId="0D4BE6D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 selection </w:t>
      </w:r>
      <w:r>
        <w:rPr>
          <w:rFonts w:cs="Arial"/>
        </w:rPr>
        <w:t>criteria for</w:t>
      </w:r>
      <w:r w:rsidRPr="00FC45E9">
        <w:rPr>
          <w:rFonts w:cs="Arial"/>
        </w:rPr>
        <w:t xml:space="preserve"> a potential proposed </w:t>
      </w:r>
      <w:r>
        <w:rPr>
          <w:rFonts w:cs="Arial"/>
        </w:rPr>
        <w:t xml:space="preserve">project </w:t>
      </w:r>
      <w:r w:rsidR="007B149F">
        <w:rPr>
          <w:rFonts w:cs="Arial"/>
        </w:rPr>
        <w:t xml:space="preserve">site </w:t>
      </w:r>
      <w:r w:rsidRPr="00FC45E9">
        <w:rPr>
          <w:rFonts w:cs="Arial"/>
        </w:rPr>
        <w:t xml:space="preserve">may </w:t>
      </w:r>
      <w:r>
        <w:rPr>
          <w:rFonts w:cs="Arial"/>
        </w:rPr>
        <w:t xml:space="preserve">be based on </w:t>
      </w:r>
      <w:r w:rsidRPr="00FC45E9">
        <w:rPr>
          <w:rFonts w:cs="Arial"/>
        </w:rPr>
        <w:t xml:space="preserve">a </w:t>
      </w:r>
      <w:r>
        <w:rPr>
          <w:rFonts w:cs="Arial"/>
        </w:rPr>
        <w:t xml:space="preserve">wide </w:t>
      </w:r>
      <w:r w:rsidRPr="00FC45E9">
        <w:rPr>
          <w:rFonts w:cs="Arial"/>
        </w:rPr>
        <w:t>range of factors</w:t>
      </w:r>
      <w:r w:rsidR="00F47143">
        <w:rPr>
          <w:rFonts w:cs="Arial"/>
        </w:rPr>
        <w:t>,</w:t>
      </w:r>
      <w:r w:rsidRPr="00FC45E9">
        <w:rPr>
          <w:rFonts w:cs="Arial"/>
        </w:rPr>
        <w:t xml:space="preserve"> including the available wind </w:t>
      </w:r>
      <w:r>
        <w:rPr>
          <w:rFonts w:cs="Arial"/>
        </w:rPr>
        <w:t xml:space="preserve">or solar </w:t>
      </w:r>
      <w:r w:rsidRPr="00FC45E9">
        <w:rPr>
          <w:rFonts w:cs="Arial"/>
        </w:rPr>
        <w:t>resource</w:t>
      </w:r>
      <w:r w:rsidR="00F47143">
        <w:rPr>
          <w:rFonts w:cs="Arial"/>
        </w:rPr>
        <w:t>s</w:t>
      </w:r>
      <w:r w:rsidRPr="00FC45E9">
        <w:rPr>
          <w:rFonts w:cs="Arial"/>
        </w:rPr>
        <w:t xml:space="preserve">, proximity to existing transmission infrastructure, </w:t>
      </w:r>
      <w:r w:rsidR="00F47143">
        <w:rPr>
          <w:rFonts w:cs="Arial"/>
        </w:rPr>
        <w:t xml:space="preserve">the </w:t>
      </w:r>
      <w:r w:rsidRPr="00FC45E9">
        <w:rPr>
          <w:rFonts w:cs="Arial"/>
        </w:rPr>
        <w:t>potential for securing landowner arrangements and other approved development in the area.</w:t>
      </w:r>
      <w:r>
        <w:rPr>
          <w:rFonts w:cs="Arial"/>
        </w:rPr>
        <w:t xml:space="preserve"> It should also include the likelihood or, conversely, the degree of difficulty of engaging with the community and gaining community support. </w:t>
      </w:r>
    </w:p>
    <w:p w14:paraId="7F395D83" w14:textId="786BA73F"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Current transmission infrastructure was originally </w:t>
      </w:r>
      <w:r>
        <w:rPr>
          <w:rFonts w:cs="Arial"/>
        </w:rPr>
        <w:t xml:space="preserve">planned, </w:t>
      </w:r>
      <w:r w:rsidRPr="00FC45E9">
        <w:rPr>
          <w:rFonts w:cs="Arial"/>
        </w:rPr>
        <w:t xml:space="preserve">designed and built many years ago based on </w:t>
      </w:r>
      <w:r>
        <w:rPr>
          <w:rFonts w:cs="Arial"/>
        </w:rPr>
        <w:t xml:space="preserve">the location and availability of the then </w:t>
      </w:r>
      <w:r w:rsidRPr="00FC45E9">
        <w:rPr>
          <w:rFonts w:cs="Arial"/>
        </w:rPr>
        <w:t>existing energy resources (such as coal</w:t>
      </w:r>
      <w:r>
        <w:rPr>
          <w:rFonts w:cs="Arial"/>
        </w:rPr>
        <w:t>, gas and hydro</w:t>
      </w:r>
      <w:r w:rsidRPr="00FC45E9">
        <w:rPr>
          <w:rFonts w:cs="Arial"/>
        </w:rPr>
        <w:t>)</w:t>
      </w:r>
      <w:r w:rsidR="00F47143">
        <w:rPr>
          <w:rFonts w:cs="Arial"/>
        </w:rPr>
        <w:t>,</w:t>
      </w:r>
      <w:r w:rsidRPr="00FC45E9">
        <w:rPr>
          <w:rFonts w:cs="Arial"/>
        </w:rPr>
        <w:t xml:space="preserve"> </w:t>
      </w:r>
      <w:r>
        <w:rPr>
          <w:rFonts w:cs="Arial"/>
        </w:rPr>
        <w:t>which, at that time,</w:t>
      </w:r>
      <w:r w:rsidRPr="00FC45E9">
        <w:rPr>
          <w:rFonts w:cs="Arial"/>
        </w:rPr>
        <w:t xml:space="preserve"> did not envisage the significant shift to </w:t>
      </w:r>
      <w:r>
        <w:rPr>
          <w:rFonts w:cs="Arial"/>
        </w:rPr>
        <w:t xml:space="preserve">large-scale </w:t>
      </w:r>
      <w:r w:rsidRPr="00FC45E9">
        <w:rPr>
          <w:rFonts w:cs="Arial"/>
        </w:rPr>
        <w:t>renewable resources such as wind and solar</w:t>
      </w:r>
      <w:r>
        <w:rPr>
          <w:rFonts w:cs="Arial"/>
        </w:rPr>
        <w:t xml:space="preserve"> energy. These relatively new resources </w:t>
      </w:r>
      <w:r w:rsidRPr="00FC45E9">
        <w:rPr>
          <w:rFonts w:cs="Arial"/>
        </w:rPr>
        <w:t xml:space="preserve">are often optimally (in all other respects) </w:t>
      </w:r>
      <w:r>
        <w:rPr>
          <w:rFonts w:cs="Arial"/>
        </w:rPr>
        <w:t xml:space="preserve">best </w:t>
      </w:r>
      <w:r w:rsidRPr="00FC45E9">
        <w:rPr>
          <w:rFonts w:cs="Arial"/>
        </w:rPr>
        <w:t xml:space="preserve">located in </w:t>
      </w:r>
      <w:r>
        <w:rPr>
          <w:rFonts w:cs="Arial"/>
        </w:rPr>
        <w:t>different geographies</w:t>
      </w:r>
      <w:r w:rsidRPr="00FC45E9">
        <w:rPr>
          <w:rFonts w:cs="Arial"/>
        </w:rPr>
        <w:t xml:space="preserve"> </w:t>
      </w:r>
      <w:r>
        <w:rPr>
          <w:rFonts w:cs="Arial"/>
        </w:rPr>
        <w:t xml:space="preserve">and often </w:t>
      </w:r>
      <w:r w:rsidRPr="00FC45E9">
        <w:rPr>
          <w:rFonts w:cs="Arial"/>
        </w:rPr>
        <w:t>well away from existing grid infrastructure.</w:t>
      </w:r>
    </w:p>
    <w:p w14:paraId="56C55D87" w14:textId="79C2A613" w:rsidR="00C66F7A" w:rsidRDefault="00C66F7A" w:rsidP="00C66F7A">
      <w:pPr>
        <w:pStyle w:val="ListParagraph"/>
        <w:numPr>
          <w:ilvl w:val="0"/>
          <w:numId w:val="0"/>
        </w:numPr>
        <w:spacing w:line="264" w:lineRule="auto"/>
        <w:ind w:left="360"/>
        <w:rPr>
          <w:rFonts w:cs="Arial"/>
        </w:rPr>
      </w:pPr>
      <w:r w:rsidRPr="00FC45E9">
        <w:rPr>
          <w:rFonts w:cs="Arial"/>
        </w:rPr>
        <w:t>Prospecting developers are not generally restricted in initiating a new project on a particular site and</w:t>
      </w:r>
      <w:r>
        <w:rPr>
          <w:rFonts w:cs="Arial"/>
        </w:rPr>
        <w:t xml:space="preserve"> almost always pursue sites that are very close to existing transmission infrastructure. Developments </w:t>
      </w:r>
      <w:r w:rsidRPr="00FC45E9">
        <w:rPr>
          <w:rFonts w:cs="Arial"/>
        </w:rPr>
        <w:t xml:space="preserve">often commence by </w:t>
      </w:r>
      <w:r>
        <w:rPr>
          <w:rFonts w:cs="Arial"/>
        </w:rPr>
        <w:t>prospectors initiating</w:t>
      </w:r>
      <w:r w:rsidRPr="00FC45E9">
        <w:rPr>
          <w:rFonts w:cs="Arial"/>
        </w:rPr>
        <w:t xml:space="preserve"> discussions with adjoining landowners</w:t>
      </w:r>
      <w:r>
        <w:rPr>
          <w:rFonts w:cs="Arial"/>
        </w:rPr>
        <w:t xml:space="preserve"> at </w:t>
      </w:r>
      <w:r w:rsidR="00737F39">
        <w:rPr>
          <w:rFonts w:cs="Arial"/>
        </w:rPr>
        <w:t>a</w:t>
      </w:r>
      <w:r>
        <w:rPr>
          <w:rFonts w:cs="Arial"/>
        </w:rPr>
        <w:t xml:space="preserve"> transmission optimal site</w:t>
      </w:r>
      <w:r w:rsidRPr="00FC45E9">
        <w:rPr>
          <w:rFonts w:cs="Arial"/>
        </w:rPr>
        <w:t xml:space="preserve"> to seek their agreement to host </w:t>
      </w:r>
      <w:r>
        <w:rPr>
          <w:rFonts w:cs="Arial"/>
        </w:rPr>
        <w:t>the project</w:t>
      </w:r>
      <w:r w:rsidRPr="00FC45E9">
        <w:rPr>
          <w:rFonts w:cs="Arial"/>
        </w:rPr>
        <w:t xml:space="preserve">. </w:t>
      </w:r>
      <w:r>
        <w:rPr>
          <w:rFonts w:cs="Arial"/>
        </w:rPr>
        <w:t xml:space="preserve">However, because existing transmission infrastructure is often located near communities, lifestyle dwellings and primary producers, </w:t>
      </w:r>
      <w:r w:rsidRPr="00FC45E9">
        <w:rPr>
          <w:rFonts w:cs="Arial"/>
        </w:rPr>
        <w:t xml:space="preserve">prospective and developed wind </w:t>
      </w:r>
      <w:r>
        <w:rPr>
          <w:rFonts w:cs="Arial"/>
        </w:rPr>
        <w:t xml:space="preserve">and solar </w:t>
      </w:r>
      <w:r w:rsidRPr="00FC45E9">
        <w:rPr>
          <w:rFonts w:cs="Arial"/>
        </w:rPr>
        <w:t xml:space="preserve">farms </w:t>
      </w:r>
      <w:r>
        <w:rPr>
          <w:rFonts w:cs="Arial"/>
        </w:rPr>
        <w:t>are</w:t>
      </w:r>
      <w:r w:rsidRPr="00FC45E9">
        <w:rPr>
          <w:rFonts w:cs="Arial"/>
        </w:rPr>
        <w:t xml:space="preserve"> </w:t>
      </w:r>
      <w:r>
        <w:rPr>
          <w:rFonts w:cs="Arial"/>
        </w:rPr>
        <w:t xml:space="preserve">more likely to </w:t>
      </w:r>
      <w:r w:rsidRPr="00FC45E9">
        <w:rPr>
          <w:rFonts w:cs="Arial"/>
        </w:rPr>
        <w:t xml:space="preserve">be located in </w:t>
      </w:r>
      <w:r>
        <w:rPr>
          <w:rFonts w:cs="Arial"/>
        </w:rPr>
        <w:t>areas that will cause friction with neighbours and communities</w:t>
      </w:r>
      <w:r w:rsidRPr="00FC45E9">
        <w:rPr>
          <w:rFonts w:cs="Arial"/>
        </w:rPr>
        <w:t>.</w:t>
      </w:r>
    </w:p>
    <w:p w14:paraId="6CA1F675" w14:textId="31E5DBDE" w:rsidR="00C66F7A" w:rsidRDefault="00C66F7A" w:rsidP="00C66F7A">
      <w:pPr>
        <w:pStyle w:val="ListParagraph"/>
        <w:numPr>
          <w:ilvl w:val="0"/>
          <w:numId w:val="0"/>
        </w:numPr>
        <w:spacing w:line="264" w:lineRule="auto"/>
        <w:ind w:left="360"/>
        <w:rPr>
          <w:rFonts w:cs="Arial"/>
        </w:rPr>
      </w:pPr>
      <w:r>
        <w:rPr>
          <w:rFonts w:cs="Arial"/>
        </w:rPr>
        <w:t xml:space="preserve">AEMO’s Integrated System Plan (ISP) provides a detailed roadmap for the transition of the electricity grid. However, there is no corresponding plan for electricity generation that details </w:t>
      </w:r>
      <w:r w:rsidR="00F47143">
        <w:rPr>
          <w:rFonts w:cs="Arial"/>
        </w:rPr>
        <w:t xml:space="preserve">the </w:t>
      </w:r>
      <w:r>
        <w:rPr>
          <w:rFonts w:cs="Arial"/>
        </w:rPr>
        <w:t>preferred location, type and scale for proposed generation plants. The Renewable Energy Zones (REZs) being pursued by some states go part way to address the location dimension of a generation plan but may not specify the type and scale of the asset. Further, there are no guarantees that a prospector-developed project site within a REZ area will actually be developed into a generation asset within a required timeframe or at all. Meanwhile, the prospector will likely still have control of the land.</w:t>
      </w:r>
    </w:p>
    <w:p w14:paraId="1C78CE5B" w14:textId="77777777" w:rsidR="00C66F7A" w:rsidRPr="00BD3AD2" w:rsidRDefault="00C66F7A" w:rsidP="00C66F7A">
      <w:pPr>
        <w:pStyle w:val="ListParagraph"/>
        <w:numPr>
          <w:ilvl w:val="0"/>
          <w:numId w:val="0"/>
        </w:numPr>
        <w:spacing w:line="264" w:lineRule="auto"/>
        <w:ind w:left="360"/>
        <w:rPr>
          <w:rFonts w:cs="Arial"/>
        </w:rPr>
      </w:pPr>
      <w:r w:rsidRPr="00BD3AD2">
        <w:rPr>
          <w:rFonts w:cs="Arial"/>
        </w:rPr>
        <w:t>Similar to the mining industry, the offshore electricity infrastructure legislation, recently passed in the Federal Parliament, requires the Minister to first declare an offshore area to be suitable for offshore electricity infrastructure projects</w:t>
      </w:r>
      <w:r>
        <w:rPr>
          <w:rFonts w:cs="Arial"/>
        </w:rPr>
        <w:t>, which includes offshore wind farms and other renewable energy generation infrastructure</w:t>
      </w:r>
      <w:r w:rsidRPr="00BD3AD2">
        <w:rPr>
          <w:rFonts w:cs="Arial"/>
        </w:rPr>
        <w:t>. In deciding whether an area is suitable for</w:t>
      </w:r>
      <w:r>
        <w:rPr>
          <w:rFonts w:cs="Arial"/>
        </w:rPr>
        <w:t xml:space="preserve"> development</w:t>
      </w:r>
      <w:r w:rsidRPr="00BD3AD2">
        <w:rPr>
          <w:rFonts w:cs="Arial"/>
        </w:rPr>
        <w:t>, the Minister will consider the potential impacts of such activities on other industries, the environment, the electricity generation capacity, and the potential demand for such projects in state and territory planning.</w:t>
      </w:r>
      <w:r>
        <w:rPr>
          <w:rFonts w:cs="Arial"/>
        </w:rPr>
        <w:t xml:space="preserve"> </w:t>
      </w:r>
    </w:p>
    <w:p w14:paraId="6191499B" w14:textId="2F3A76E3" w:rsidR="00C66F7A" w:rsidRPr="00D52BD7" w:rsidRDefault="00C66F7A" w:rsidP="00C66F7A">
      <w:pPr>
        <w:pStyle w:val="ListParagraph"/>
        <w:numPr>
          <w:ilvl w:val="0"/>
          <w:numId w:val="0"/>
        </w:numPr>
        <w:spacing w:line="264" w:lineRule="auto"/>
        <w:ind w:left="360"/>
      </w:pPr>
      <w:r>
        <w:rPr>
          <w:rFonts w:cs="Arial"/>
        </w:rPr>
        <w:t xml:space="preserve">Potential proponents may then, via </w:t>
      </w:r>
      <w:r w:rsidR="00554300">
        <w:rPr>
          <w:rFonts w:cs="Arial"/>
        </w:rPr>
        <w:t xml:space="preserve">a </w:t>
      </w:r>
      <w:r>
        <w:rPr>
          <w:rFonts w:cs="Arial"/>
        </w:rPr>
        <w:t xml:space="preserve">competitive process, apply for a </w:t>
      </w:r>
      <w:r w:rsidR="0004329C">
        <w:rPr>
          <w:rFonts w:cs="Arial"/>
        </w:rPr>
        <w:t>‘</w:t>
      </w:r>
      <w:r>
        <w:rPr>
          <w:rFonts w:cs="Arial"/>
        </w:rPr>
        <w:t>feasibility</w:t>
      </w:r>
      <w:r w:rsidR="005A0A52">
        <w:rPr>
          <w:rFonts w:cs="Arial"/>
        </w:rPr>
        <w:t>’</w:t>
      </w:r>
      <w:r>
        <w:rPr>
          <w:rFonts w:cs="Arial"/>
        </w:rPr>
        <w:t xml:space="preserve"> licence to undertake exploratory and scoping work. </w:t>
      </w:r>
      <w:r w:rsidRPr="003B45D6">
        <w:t>Once feasibility work is completed, the licence holder can apply for a</w:t>
      </w:r>
      <w:r w:rsidR="005A0A52">
        <w:t xml:space="preserve"> ‘c</w:t>
      </w:r>
      <w:r w:rsidRPr="003B45D6">
        <w:t>ommercial</w:t>
      </w:r>
      <w:r w:rsidR="005A0A52">
        <w:t>’</w:t>
      </w:r>
      <w:r w:rsidR="009710A8">
        <w:t xml:space="preserve"> </w:t>
      </w:r>
      <w:r w:rsidRPr="003B45D6">
        <w:t>licence</w:t>
      </w:r>
      <w:r w:rsidR="007039E5">
        <w:t>,</w:t>
      </w:r>
      <w:r w:rsidRPr="003B45D6">
        <w:t xml:space="preserve"> which permits the </w:t>
      </w:r>
      <w:r>
        <w:t>licence holder to construct</w:t>
      </w:r>
      <w:r w:rsidRPr="003B45D6">
        <w:t>, install</w:t>
      </w:r>
      <w:r>
        <w:t>,</w:t>
      </w:r>
      <w:r w:rsidRPr="003B45D6">
        <w:t xml:space="preserve"> operat</w:t>
      </w:r>
      <w:r>
        <w:t>e,</w:t>
      </w:r>
      <w:r w:rsidRPr="003B45D6">
        <w:t xml:space="preserve"> maint</w:t>
      </w:r>
      <w:r>
        <w:t>ain</w:t>
      </w:r>
      <w:r w:rsidRPr="003B45D6">
        <w:t>, and decommission</w:t>
      </w:r>
      <w:r>
        <w:t xml:space="preserve"> commercial scale offshore renewable energy generation projects (such as wind farms).</w:t>
      </w:r>
    </w:p>
    <w:p w14:paraId="1DC1A344" w14:textId="77777777" w:rsidR="00C66F7A" w:rsidRPr="00FC45E9" w:rsidRDefault="00C66F7A" w:rsidP="00C66F7A">
      <w:pPr>
        <w:pStyle w:val="ListParagraph"/>
        <w:numPr>
          <w:ilvl w:val="0"/>
          <w:numId w:val="0"/>
        </w:numPr>
        <w:spacing w:line="264" w:lineRule="auto"/>
        <w:ind w:left="360"/>
        <w:rPr>
          <w:rFonts w:cs="Arial"/>
        </w:rPr>
      </w:pPr>
      <w:r>
        <w:rPr>
          <w:rFonts w:cs="Arial"/>
        </w:rPr>
        <w:t xml:space="preserve">All things being well, the proponent is then issued with an operation license to build, operate and decommission the project. But if the proponent fails to meet key milestones in, say, the feasibility stage, they may well lose their right to the site and have their license terminated – making way for another proponent to step in.  </w:t>
      </w:r>
    </w:p>
    <w:p w14:paraId="28A12705" w14:textId="77777777" w:rsidR="00C66F7A" w:rsidRPr="00861E58" w:rsidRDefault="00C66F7A" w:rsidP="00F25864">
      <w:pPr>
        <w:pStyle w:val="Heading3"/>
        <w:ind w:firstLine="360"/>
      </w:pPr>
      <w:bookmarkStart w:id="241" w:name="_Toc135390662"/>
      <w:r w:rsidRPr="00861E58">
        <w:t>Site impacts</w:t>
      </w:r>
      <w:bookmarkEnd w:id="241"/>
    </w:p>
    <w:p w14:paraId="4962B0F3" w14:textId="77777777" w:rsidR="00C66F7A" w:rsidRPr="00FC45E9" w:rsidRDefault="00C66F7A" w:rsidP="00C66F7A">
      <w:pPr>
        <w:pStyle w:val="ListParagraph"/>
        <w:numPr>
          <w:ilvl w:val="0"/>
          <w:numId w:val="0"/>
        </w:numPr>
        <w:spacing w:line="264" w:lineRule="auto"/>
        <w:ind w:left="360"/>
        <w:rPr>
          <w:rFonts w:cs="Arial"/>
        </w:rPr>
      </w:pPr>
      <w:r>
        <w:rPr>
          <w:rFonts w:cs="Arial"/>
        </w:rPr>
        <w:t>The Commissioner’s</w:t>
      </w:r>
      <w:r w:rsidRPr="00FC45E9">
        <w:rPr>
          <w:rFonts w:cs="Arial"/>
        </w:rPr>
        <w:t xml:space="preserve"> experience to date indicates that there is a much higher likelihood of community issues and concerns to contend with when a proposed or operating </w:t>
      </w:r>
      <w:r>
        <w:rPr>
          <w:rFonts w:cs="Arial"/>
        </w:rPr>
        <w:t xml:space="preserve">project </w:t>
      </w:r>
      <w:r w:rsidRPr="00FC45E9">
        <w:rPr>
          <w:rFonts w:cs="Arial"/>
        </w:rPr>
        <w:t xml:space="preserve">is located near or amongst more populated areas. Often, the more populated areas correlate with </w:t>
      </w:r>
      <w:r>
        <w:rPr>
          <w:rFonts w:cs="Arial"/>
        </w:rPr>
        <w:t>accessibility to</w:t>
      </w:r>
      <w:r w:rsidRPr="00FC45E9">
        <w:rPr>
          <w:rFonts w:cs="Arial"/>
        </w:rPr>
        <w:t xml:space="preserve"> transmission </w:t>
      </w:r>
      <w:r w:rsidRPr="00FC45E9">
        <w:rPr>
          <w:rFonts w:cs="Arial"/>
        </w:rPr>
        <w:lastRenderedPageBreak/>
        <w:t xml:space="preserve">infrastructure, however, they can also result in a very large number of neighbours who will </w:t>
      </w:r>
      <w:r>
        <w:rPr>
          <w:rFonts w:cs="Arial"/>
        </w:rPr>
        <w:t xml:space="preserve">ultimately </w:t>
      </w:r>
      <w:r w:rsidRPr="00FC45E9">
        <w:rPr>
          <w:rFonts w:cs="Arial"/>
        </w:rPr>
        <w:t>reside in close proximity to multiple turbines</w:t>
      </w:r>
      <w:r>
        <w:rPr>
          <w:rFonts w:cs="Arial"/>
        </w:rPr>
        <w:t xml:space="preserve"> or solar arrays</w:t>
      </w:r>
      <w:r w:rsidRPr="00FC45E9">
        <w:rPr>
          <w:rFonts w:cs="Arial"/>
        </w:rPr>
        <w:t>.</w:t>
      </w:r>
    </w:p>
    <w:p w14:paraId="6A2B34B7" w14:textId="33E38845" w:rsidR="00C66F7A" w:rsidRDefault="00C66F7A" w:rsidP="00C66F7A">
      <w:pPr>
        <w:pStyle w:val="ListParagraph"/>
        <w:numPr>
          <w:ilvl w:val="0"/>
          <w:numId w:val="0"/>
        </w:numPr>
        <w:spacing w:line="264" w:lineRule="auto"/>
        <w:ind w:left="360"/>
        <w:rPr>
          <w:rFonts w:cs="Arial"/>
        </w:rPr>
      </w:pPr>
      <w:r w:rsidRPr="00FC45E9">
        <w:rPr>
          <w:rFonts w:cs="Arial"/>
        </w:rPr>
        <w:t xml:space="preserve">Further, there may be multiple proposed (and/or existing) </w:t>
      </w:r>
      <w:r>
        <w:rPr>
          <w:rFonts w:cs="Arial"/>
        </w:rPr>
        <w:t xml:space="preserve">projects </w:t>
      </w:r>
      <w:r w:rsidRPr="00FC45E9">
        <w:rPr>
          <w:rFonts w:cs="Arial"/>
        </w:rPr>
        <w:t xml:space="preserve">in a given area, with the potential for residents to be ‘surrounded’ by </w:t>
      </w:r>
      <w:r>
        <w:rPr>
          <w:rFonts w:cs="Arial"/>
        </w:rPr>
        <w:t xml:space="preserve">projects – if </w:t>
      </w:r>
      <w:r w:rsidRPr="00FC45E9">
        <w:rPr>
          <w:rFonts w:cs="Arial"/>
        </w:rPr>
        <w:t xml:space="preserve">such projects </w:t>
      </w:r>
      <w:r>
        <w:rPr>
          <w:rFonts w:cs="Arial"/>
        </w:rPr>
        <w:t xml:space="preserve">were to </w:t>
      </w:r>
      <w:r w:rsidRPr="00FC45E9">
        <w:rPr>
          <w:rFonts w:cs="Arial"/>
        </w:rPr>
        <w:t>proceed. These scenarios could lead to a range of compounding issues for residents</w:t>
      </w:r>
      <w:r w:rsidR="00405531">
        <w:rPr>
          <w:rFonts w:cs="Arial"/>
        </w:rPr>
        <w:t xml:space="preserve">, </w:t>
      </w:r>
      <w:r w:rsidRPr="00FC45E9">
        <w:rPr>
          <w:rFonts w:cs="Arial"/>
        </w:rPr>
        <w:t xml:space="preserve">including </w:t>
      </w:r>
      <w:r>
        <w:rPr>
          <w:rFonts w:cs="Arial"/>
        </w:rPr>
        <w:t xml:space="preserve">construction impacts, impacts from </w:t>
      </w:r>
      <w:r w:rsidRPr="00FC45E9">
        <w:rPr>
          <w:rFonts w:cs="Arial"/>
        </w:rPr>
        <w:t xml:space="preserve">noise, visual amenity and potential economic </w:t>
      </w:r>
      <w:r>
        <w:rPr>
          <w:rFonts w:cs="Arial"/>
        </w:rPr>
        <w:t xml:space="preserve">disparity or </w:t>
      </w:r>
      <w:r w:rsidRPr="00FC45E9">
        <w:rPr>
          <w:rFonts w:cs="Arial"/>
        </w:rPr>
        <w:t xml:space="preserve">loss. </w:t>
      </w:r>
      <w:r>
        <w:rPr>
          <w:rFonts w:cs="Arial"/>
        </w:rPr>
        <w:t>There is also the possibility that large-scale projects may be proposed adjacent to environmentally sensitive areas, such as designated areas of high value habitat, National Parks or World Heritage Areas.</w:t>
      </w:r>
    </w:p>
    <w:p w14:paraId="1692338A" w14:textId="30455D1B" w:rsidR="00C66F7A" w:rsidRPr="00FC45E9" w:rsidRDefault="00C66F7A" w:rsidP="00C66F7A">
      <w:pPr>
        <w:pStyle w:val="ListParagraph"/>
        <w:numPr>
          <w:ilvl w:val="0"/>
          <w:numId w:val="0"/>
        </w:numPr>
        <w:spacing w:line="264" w:lineRule="auto"/>
        <w:ind w:left="360"/>
        <w:rPr>
          <w:rFonts w:cs="Arial"/>
        </w:rPr>
      </w:pPr>
      <w:r>
        <w:rPr>
          <w:rFonts w:cs="Arial"/>
        </w:rPr>
        <w:t xml:space="preserve">Impacts may be further compounded </w:t>
      </w:r>
      <w:r w:rsidRPr="00FC45E9">
        <w:rPr>
          <w:rFonts w:cs="Arial"/>
        </w:rPr>
        <w:t>if project construction timeframes overlap, placing enormous pressure on local resources and infrastructure, in addition to the usual annoyances such as construction noise</w:t>
      </w:r>
      <w:r>
        <w:rPr>
          <w:rFonts w:cs="Arial"/>
        </w:rPr>
        <w:t>, traffic, road damage</w:t>
      </w:r>
      <w:r w:rsidRPr="00FC45E9">
        <w:rPr>
          <w:rFonts w:cs="Arial"/>
        </w:rPr>
        <w:t xml:space="preserve"> and dust.</w:t>
      </w:r>
      <w:r>
        <w:rPr>
          <w:rFonts w:cs="Arial"/>
        </w:rPr>
        <w:t xml:space="preserve"> </w:t>
      </w:r>
      <w:r w:rsidRPr="00FC45E9">
        <w:rPr>
          <w:rFonts w:cs="Arial"/>
        </w:rPr>
        <w:t>There can also be</w:t>
      </w:r>
      <w:r>
        <w:rPr>
          <w:rFonts w:cs="Arial"/>
        </w:rPr>
        <w:t xml:space="preserve"> other severe</w:t>
      </w:r>
      <w:r w:rsidRPr="00FC45E9">
        <w:rPr>
          <w:rFonts w:cs="Arial"/>
        </w:rPr>
        <w:t xml:space="preserve"> cumulative effects during </w:t>
      </w:r>
      <w:r w:rsidR="00405531">
        <w:rPr>
          <w:rFonts w:cs="Arial"/>
        </w:rPr>
        <w:t xml:space="preserve">the </w:t>
      </w:r>
      <w:r w:rsidRPr="00FC45E9">
        <w:rPr>
          <w:rFonts w:cs="Arial"/>
        </w:rPr>
        <w:t xml:space="preserve">construction of more than </w:t>
      </w:r>
      <w:r>
        <w:rPr>
          <w:rFonts w:cs="Arial"/>
        </w:rPr>
        <w:t xml:space="preserve">one project </w:t>
      </w:r>
      <w:r w:rsidRPr="00FC45E9">
        <w:rPr>
          <w:rFonts w:cs="Arial"/>
        </w:rPr>
        <w:t xml:space="preserve">in a </w:t>
      </w:r>
      <w:r>
        <w:rPr>
          <w:rFonts w:cs="Arial"/>
        </w:rPr>
        <w:t xml:space="preserve">specific </w:t>
      </w:r>
      <w:r w:rsidRPr="00FC45E9">
        <w:rPr>
          <w:rFonts w:cs="Arial"/>
        </w:rPr>
        <w:t xml:space="preserve">locality, </w:t>
      </w:r>
      <w:r>
        <w:rPr>
          <w:rFonts w:cs="Arial"/>
        </w:rPr>
        <w:t xml:space="preserve">such as </w:t>
      </w:r>
      <w:r w:rsidRPr="00FC45E9">
        <w:rPr>
          <w:rFonts w:cs="Arial"/>
        </w:rPr>
        <w:t xml:space="preserve">placing enormous pressures on roads, resources (such as gravel), </w:t>
      </w:r>
      <w:r>
        <w:rPr>
          <w:rFonts w:cs="Arial"/>
        </w:rPr>
        <w:t xml:space="preserve">meal providers, </w:t>
      </w:r>
      <w:r w:rsidRPr="00FC45E9">
        <w:rPr>
          <w:rFonts w:cs="Arial"/>
        </w:rPr>
        <w:t>accommodation and skilled tradespersons.</w:t>
      </w:r>
    </w:p>
    <w:p w14:paraId="01CFED8F" w14:textId="2546B425" w:rsidR="00C66F7A" w:rsidRPr="00FC45E9" w:rsidRDefault="00C66F7A" w:rsidP="00C66F7A">
      <w:pPr>
        <w:pStyle w:val="ListParagraph"/>
        <w:numPr>
          <w:ilvl w:val="0"/>
          <w:numId w:val="0"/>
        </w:numPr>
        <w:spacing w:line="264" w:lineRule="auto"/>
        <w:ind w:left="360"/>
        <w:rPr>
          <w:rFonts w:cs="Arial"/>
        </w:rPr>
      </w:pPr>
      <w:r>
        <w:rPr>
          <w:rFonts w:cs="Arial"/>
        </w:rPr>
        <w:t xml:space="preserve">Based on our complaint handling experiences, </w:t>
      </w:r>
      <w:r w:rsidR="00790720">
        <w:rPr>
          <w:rFonts w:cs="Arial"/>
        </w:rPr>
        <w:t xml:space="preserve">we have </w:t>
      </w:r>
      <w:r w:rsidRPr="00FC45E9">
        <w:rPr>
          <w:rFonts w:cs="Arial"/>
        </w:rPr>
        <w:t xml:space="preserve">found that locating </w:t>
      </w:r>
      <w:r>
        <w:rPr>
          <w:rFonts w:cs="Arial"/>
        </w:rPr>
        <w:t xml:space="preserve">wind </w:t>
      </w:r>
      <w:r w:rsidRPr="00FC45E9">
        <w:rPr>
          <w:rFonts w:cs="Arial"/>
        </w:rPr>
        <w:t xml:space="preserve">turbines on the top of hills or ridges, while optimum for capturing the wind resource, can have greater impacts on visual amenity, </w:t>
      </w:r>
      <w:r w:rsidR="00405531">
        <w:rPr>
          <w:rFonts w:cs="Arial"/>
        </w:rPr>
        <w:t xml:space="preserve">and </w:t>
      </w:r>
      <w:r w:rsidRPr="00FC45E9">
        <w:rPr>
          <w:rFonts w:cs="Arial"/>
        </w:rPr>
        <w:t xml:space="preserve">may lead to specific noise and shadow flicker scenarios for residents in the valley beneath and may have other </w:t>
      </w:r>
      <w:r>
        <w:rPr>
          <w:rFonts w:cs="Arial"/>
        </w:rPr>
        <w:t xml:space="preserve">associated </w:t>
      </w:r>
      <w:r w:rsidRPr="00FC45E9">
        <w:rPr>
          <w:rFonts w:cs="Arial"/>
        </w:rPr>
        <w:t xml:space="preserve">impacts on the community. Access roads for hill </w:t>
      </w:r>
      <w:r>
        <w:rPr>
          <w:rFonts w:cs="Arial"/>
        </w:rPr>
        <w:t xml:space="preserve">and </w:t>
      </w:r>
      <w:r w:rsidRPr="00FC45E9">
        <w:rPr>
          <w:rFonts w:cs="Arial"/>
        </w:rPr>
        <w:t xml:space="preserve">ridge wind farms can also be obtrusive and significantly damage and constrain the </w:t>
      </w:r>
      <w:r>
        <w:rPr>
          <w:rFonts w:cs="Arial"/>
        </w:rPr>
        <w:t xml:space="preserve">remaining </w:t>
      </w:r>
      <w:r w:rsidRPr="00FC45E9">
        <w:rPr>
          <w:rFonts w:cs="Arial"/>
        </w:rPr>
        <w:t>available farming land in the area.</w:t>
      </w:r>
    </w:p>
    <w:p w14:paraId="20D931CF" w14:textId="3AEF8174" w:rsidR="00C66F7A" w:rsidRDefault="00C66F7A" w:rsidP="00C66F7A">
      <w:pPr>
        <w:pStyle w:val="ListParagraph"/>
        <w:numPr>
          <w:ilvl w:val="0"/>
          <w:numId w:val="0"/>
        </w:numPr>
        <w:spacing w:line="264" w:lineRule="auto"/>
        <w:ind w:left="360"/>
        <w:rPr>
          <w:rFonts w:cs="Arial"/>
        </w:rPr>
      </w:pPr>
      <w:r w:rsidRPr="00FC45E9">
        <w:rPr>
          <w:rFonts w:cs="Arial"/>
        </w:rPr>
        <w:t xml:space="preserve">Conversely, there appear to be minimal issues raised to date about wind farms that are located on large land holdings or on flat or slight to moderate undulating land and sites that are well away from neighbours </w:t>
      </w:r>
      <w:r>
        <w:rPr>
          <w:rFonts w:cs="Arial"/>
        </w:rPr>
        <w:t xml:space="preserve">and towns </w:t>
      </w:r>
      <w:r w:rsidRPr="00FC45E9">
        <w:rPr>
          <w:rFonts w:cs="Arial"/>
        </w:rPr>
        <w:t>(noting comments made earlier regarding landowner and neighbour agreements in subsections 1 and 2</w:t>
      </w:r>
      <w:r w:rsidR="0058455E">
        <w:rPr>
          <w:rFonts w:cs="Arial"/>
        </w:rPr>
        <w:t xml:space="preserve"> of this Appe</w:t>
      </w:r>
      <w:r w:rsidR="00F2405F">
        <w:rPr>
          <w:rFonts w:cs="Arial"/>
        </w:rPr>
        <w:t>n</w:t>
      </w:r>
      <w:r w:rsidR="0058455E">
        <w:rPr>
          <w:rFonts w:cs="Arial"/>
        </w:rPr>
        <w:t>dix</w:t>
      </w:r>
      <w:r w:rsidRPr="00FC45E9">
        <w:rPr>
          <w:rFonts w:cs="Arial"/>
        </w:rPr>
        <w:t>).</w:t>
      </w:r>
    </w:p>
    <w:p w14:paraId="4758A825" w14:textId="798D1B1F" w:rsidR="00C66F7A" w:rsidRDefault="00C66F7A" w:rsidP="00C66F7A">
      <w:pPr>
        <w:pStyle w:val="ListParagraph"/>
        <w:numPr>
          <w:ilvl w:val="0"/>
          <w:numId w:val="0"/>
        </w:numPr>
        <w:spacing w:line="264" w:lineRule="auto"/>
        <w:ind w:left="360"/>
        <w:rPr>
          <w:rFonts w:cs="Arial"/>
        </w:rPr>
      </w:pPr>
      <w:r>
        <w:rPr>
          <w:rFonts w:cs="Arial"/>
        </w:rPr>
        <w:t xml:space="preserve">Similarly, solar farms are best </w:t>
      </w:r>
      <w:r w:rsidR="006E499A">
        <w:rPr>
          <w:rFonts w:cs="Arial"/>
        </w:rPr>
        <w:t>suited</w:t>
      </w:r>
      <w:r>
        <w:rPr>
          <w:rFonts w:cs="Arial"/>
        </w:rPr>
        <w:t xml:space="preserve"> on flat ground, where the surrounding topography is also on minimal undulation. Such siting can avoid visual impacts, including glare, glint and view impacts on prospective neighbours.</w:t>
      </w:r>
    </w:p>
    <w:p w14:paraId="5145E4F9" w14:textId="33891E12" w:rsidR="00C1300B" w:rsidRDefault="00C1300B" w:rsidP="00C66F7A">
      <w:pPr>
        <w:pStyle w:val="ListParagraph"/>
        <w:numPr>
          <w:ilvl w:val="0"/>
          <w:numId w:val="0"/>
        </w:numPr>
        <w:spacing w:line="264" w:lineRule="auto"/>
        <w:ind w:left="360"/>
        <w:rPr>
          <w:rFonts w:cs="Arial"/>
        </w:rPr>
      </w:pPr>
      <w:r>
        <w:rPr>
          <w:rFonts w:cs="Arial"/>
        </w:rPr>
        <w:t>Route options for long dista</w:t>
      </w:r>
      <w:r w:rsidR="00EB144C">
        <w:rPr>
          <w:rFonts w:cs="Arial"/>
        </w:rPr>
        <w:t xml:space="preserve">nce, high voltage </w:t>
      </w:r>
      <w:r>
        <w:rPr>
          <w:rFonts w:cs="Arial"/>
        </w:rPr>
        <w:t>transmission lines</w:t>
      </w:r>
      <w:r w:rsidR="00EB144C">
        <w:rPr>
          <w:rFonts w:cs="Arial"/>
        </w:rPr>
        <w:t xml:space="preserve"> should also</w:t>
      </w:r>
      <w:r w:rsidR="00E62AD4">
        <w:rPr>
          <w:rFonts w:cs="Arial"/>
        </w:rPr>
        <w:t xml:space="preserve"> take into consideration impacts on landholders, neighbours and comm</w:t>
      </w:r>
      <w:r w:rsidR="009C4040">
        <w:rPr>
          <w:rFonts w:cs="Arial"/>
        </w:rPr>
        <w:t>unity. Where possible, existing easements should be used</w:t>
      </w:r>
      <w:r w:rsidR="005D2BBB">
        <w:rPr>
          <w:rFonts w:cs="Arial"/>
        </w:rPr>
        <w:t xml:space="preserve"> (including uprate options) or, if a greenfield route</w:t>
      </w:r>
      <w:r w:rsidR="002F3E2F">
        <w:rPr>
          <w:rFonts w:cs="Arial"/>
        </w:rPr>
        <w:t xml:space="preserve">, selecting routes </w:t>
      </w:r>
      <w:r w:rsidR="00025F68">
        <w:rPr>
          <w:rFonts w:cs="Arial"/>
        </w:rPr>
        <w:t xml:space="preserve">well </w:t>
      </w:r>
      <w:r w:rsidR="002F3E2F">
        <w:rPr>
          <w:rFonts w:cs="Arial"/>
        </w:rPr>
        <w:t>away from more highly pop</w:t>
      </w:r>
      <w:r w:rsidR="00F363EC">
        <w:rPr>
          <w:rFonts w:cs="Arial"/>
        </w:rPr>
        <w:t>ulated areas and smaller landholdings.</w:t>
      </w:r>
    </w:p>
    <w:p w14:paraId="2F376B09" w14:textId="77777777" w:rsidR="00C66F7A" w:rsidRDefault="00C66F7A" w:rsidP="00C66F7A">
      <w:pPr>
        <w:pStyle w:val="ListParagraph"/>
        <w:numPr>
          <w:ilvl w:val="0"/>
          <w:numId w:val="0"/>
        </w:numPr>
        <w:spacing w:line="264" w:lineRule="auto"/>
        <w:ind w:left="360"/>
        <w:rPr>
          <w:rFonts w:cs="Arial"/>
        </w:rPr>
      </w:pPr>
      <w:r>
        <w:rPr>
          <w:rFonts w:cs="Arial"/>
        </w:rPr>
        <w:t xml:space="preserve">Location, capacity and availability of accessible transmission lines remains a significant challenge for the renewable energy industry. A number of more recently completed projects have discovered, upon connection to the grid, that there is insufficient available capacity in the existing transmission line for the project’s generational output to be delivered – resulting in significant curtailment of the generation asset. A number of large-scale solar projects have experienced this situation, as these projects tend to be in more remote locations in order to capture the optimal solar resource. </w:t>
      </w:r>
    </w:p>
    <w:p w14:paraId="7C11F8B4" w14:textId="545D01BB" w:rsidR="00C66F7A" w:rsidRDefault="00C66F7A" w:rsidP="00C66F7A">
      <w:pPr>
        <w:pStyle w:val="ListParagraph"/>
        <w:numPr>
          <w:ilvl w:val="0"/>
          <w:numId w:val="0"/>
        </w:numPr>
        <w:spacing w:line="264" w:lineRule="auto"/>
        <w:ind w:left="360"/>
        <w:rPr>
          <w:rFonts w:cs="Arial"/>
        </w:rPr>
      </w:pPr>
      <w:r>
        <w:rPr>
          <w:rFonts w:cs="Arial"/>
        </w:rPr>
        <w:t xml:space="preserve">Again, it may be prudent for developers to engage early with AEMO and transmission operators to ensure that the planned project’s output can be fully accommodated and taken into consideration for AEMO’s Integrated System Plan. </w:t>
      </w:r>
      <w:r w:rsidR="006E499A">
        <w:rPr>
          <w:rFonts w:cs="Arial"/>
        </w:rPr>
        <w:t>But</w:t>
      </w:r>
      <w:r>
        <w:rPr>
          <w:rFonts w:cs="Arial"/>
        </w:rPr>
        <w:t xml:space="preserve"> fundamentally, there needs to be an integrated approach to grid and generation planning and mechanisms to execute on that combined plan in a coordinated way.</w:t>
      </w:r>
    </w:p>
    <w:p w14:paraId="587F19AF" w14:textId="77777777" w:rsidR="00C66F7A" w:rsidRPr="00861E58" w:rsidRDefault="00C66F7A" w:rsidP="00F25864">
      <w:pPr>
        <w:pStyle w:val="Heading3"/>
        <w:ind w:firstLine="360"/>
      </w:pPr>
      <w:bookmarkStart w:id="242" w:name="_Toc135390663"/>
      <w:r w:rsidRPr="00861E58">
        <w:t>Optimising site locations</w:t>
      </w:r>
      <w:bookmarkEnd w:id="242"/>
    </w:p>
    <w:p w14:paraId="1F093800"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There may be opportunities to select and prioritise </w:t>
      </w:r>
      <w:r>
        <w:rPr>
          <w:rFonts w:cs="Arial"/>
        </w:rPr>
        <w:t>p</w:t>
      </w:r>
      <w:r w:rsidRPr="00FC45E9">
        <w:rPr>
          <w:rFonts w:cs="Arial"/>
        </w:rPr>
        <w:t>rojects</w:t>
      </w:r>
      <w:r>
        <w:rPr>
          <w:rFonts w:cs="Arial"/>
        </w:rPr>
        <w:t xml:space="preserve"> in</w:t>
      </w:r>
      <w:r w:rsidRPr="00FC45E9">
        <w:rPr>
          <w:rFonts w:cs="Arial"/>
        </w:rPr>
        <w:t xml:space="preserve"> the current pipeline</w:t>
      </w:r>
      <w:r>
        <w:rPr>
          <w:rFonts w:cs="Arial"/>
        </w:rPr>
        <w:t xml:space="preserve"> based on an increased</w:t>
      </w:r>
      <w:r w:rsidRPr="00FC45E9">
        <w:rPr>
          <w:rFonts w:cs="Arial"/>
        </w:rPr>
        <w:t xml:space="preserve"> likelihood of acceptance of the project by the surrounding community. </w:t>
      </w:r>
      <w:r>
        <w:rPr>
          <w:rFonts w:cs="Arial"/>
        </w:rPr>
        <w:t>With the increase</w:t>
      </w:r>
      <w:r w:rsidDel="00CC51E9">
        <w:rPr>
          <w:rFonts w:cs="Arial"/>
        </w:rPr>
        <w:t xml:space="preserve"> </w:t>
      </w:r>
      <w:r>
        <w:rPr>
          <w:rFonts w:cs="Arial"/>
        </w:rPr>
        <w:t xml:space="preserve">in development and construction costs, the ongoing grid connection/capacity issues and the declining value of large-scale generation certificates, not all projects in the development pipeline are expected to </w:t>
      </w:r>
      <w:r w:rsidRPr="00FC45E9">
        <w:rPr>
          <w:rFonts w:cs="Arial"/>
        </w:rPr>
        <w:lastRenderedPageBreak/>
        <w:t xml:space="preserve">go ahead. There is </w:t>
      </w:r>
      <w:r>
        <w:rPr>
          <w:rFonts w:cs="Arial"/>
        </w:rPr>
        <w:t>an opportunity</w:t>
      </w:r>
      <w:r w:rsidRPr="00FC45E9">
        <w:rPr>
          <w:rFonts w:cs="Arial"/>
        </w:rPr>
        <w:t xml:space="preserve"> to select projects that meet other key parameters, including economic and regional development goals, while also </w:t>
      </w:r>
      <w:r>
        <w:rPr>
          <w:rFonts w:cs="Arial"/>
        </w:rPr>
        <w:t xml:space="preserve">selecting sites that are </w:t>
      </w:r>
      <w:r w:rsidRPr="00FC45E9">
        <w:rPr>
          <w:rFonts w:cs="Arial"/>
        </w:rPr>
        <w:t>optimal from a community impact</w:t>
      </w:r>
      <w:r>
        <w:rPr>
          <w:rFonts w:cs="Arial"/>
        </w:rPr>
        <w:t xml:space="preserve"> perspective</w:t>
      </w:r>
      <w:r w:rsidRPr="00FC45E9">
        <w:rPr>
          <w:rFonts w:cs="Arial"/>
        </w:rPr>
        <w:t>.</w:t>
      </w:r>
    </w:p>
    <w:p w14:paraId="3FB62148" w14:textId="0B3A68AB" w:rsidR="00C66F7A" w:rsidRDefault="00C66F7A" w:rsidP="00C66F7A">
      <w:pPr>
        <w:pStyle w:val="ListParagraph"/>
        <w:numPr>
          <w:ilvl w:val="0"/>
          <w:numId w:val="0"/>
        </w:numPr>
        <w:spacing w:line="264" w:lineRule="auto"/>
        <w:ind w:left="360"/>
        <w:rPr>
          <w:rFonts w:cs="Arial"/>
        </w:rPr>
      </w:pPr>
      <w:r>
        <w:rPr>
          <w:rFonts w:cs="Arial"/>
        </w:rPr>
        <w:t>Recent state and territory government initiatives, such as the identification of Renewable Energy Zones (REZs) in New South Wales, Queensland and Victoria</w:t>
      </w:r>
      <w:r w:rsidR="00F266D4">
        <w:rPr>
          <w:rFonts w:cs="Arial"/>
        </w:rPr>
        <w:t xml:space="preserve">, </w:t>
      </w:r>
      <w:r>
        <w:rPr>
          <w:rFonts w:cs="Arial"/>
        </w:rPr>
        <w:t xml:space="preserve">as well as the VRET Program (Victoria), Reverse Auction Program (ACT) and Renewables 400 (Queensland) have enabled governments to become more proactively involved in selecting projects that are located in more optimal </w:t>
      </w:r>
      <w:r w:rsidR="003D2067">
        <w:rPr>
          <w:rFonts w:cs="Arial"/>
        </w:rPr>
        <w:t>areas</w:t>
      </w:r>
      <w:r>
        <w:rPr>
          <w:rFonts w:cs="Arial"/>
        </w:rPr>
        <w:t>. These programs also provide a level of oversight to help mandate community engagement programs to ensur</w:t>
      </w:r>
      <w:r w:rsidR="00F266D4">
        <w:rPr>
          <w:rFonts w:cs="Arial"/>
        </w:rPr>
        <w:t>e</w:t>
      </w:r>
      <w:r>
        <w:rPr>
          <w:rFonts w:cs="Arial"/>
        </w:rPr>
        <w:t xml:space="preserve"> minimal or no cumulative effects occur from neighbouring projects. Upgrades to the grid system at a national level may also provide opportunities to explore new locations for renewable projects</w:t>
      </w:r>
      <w:r w:rsidR="00E94F34">
        <w:rPr>
          <w:rFonts w:cs="Arial"/>
        </w:rPr>
        <w:t>, such as Project Energy Connect</w:t>
      </w:r>
      <w:r w:rsidR="001A7307">
        <w:rPr>
          <w:rFonts w:cs="Arial"/>
        </w:rPr>
        <w:t xml:space="preserve"> </w:t>
      </w:r>
      <w:r w:rsidR="00E94F34">
        <w:rPr>
          <w:rFonts w:cs="Arial"/>
        </w:rPr>
        <w:t>and VNI West</w:t>
      </w:r>
      <w:r w:rsidR="001A7307">
        <w:rPr>
          <w:rFonts w:cs="Arial"/>
        </w:rPr>
        <w:t>.</w:t>
      </w:r>
    </w:p>
    <w:p w14:paraId="4927935C" w14:textId="77777777" w:rsidR="00C66F7A" w:rsidRDefault="00C66F7A" w:rsidP="00C66F7A">
      <w:pPr>
        <w:pStyle w:val="ListParagraph"/>
        <w:numPr>
          <w:ilvl w:val="0"/>
          <w:numId w:val="0"/>
        </w:numPr>
        <w:spacing w:line="264" w:lineRule="auto"/>
        <w:ind w:left="360"/>
        <w:rPr>
          <w:rFonts w:cs="Arial"/>
        </w:rPr>
      </w:pPr>
      <w:r>
        <w:rPr>
          <w:rFonts w:cs="Arial"/>
        </w:rPr>
        <w:t>REZs may need to contend with the issue of cumulative effects as developers concentrate their efforts in the REZ geography to leverage the transmission hub that is to be established. REZ administrators have the opportunity to license or select developers/projects that are most likely to achieve community acceptance as well as minimise cumulative effect issues as an unintended consequence of a REZ.</w:t>
      </w:r>
    </w:p>
    <w:p w14:paraId="0E4CFFD9"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Given that existing </w:t>
      </w:r>
      <w:r>
        <w:rPr>
          <w:rFonts w:cs="Arial"/>
        </w:rPr>
        <w:t>projects</w:t>
      </w:r>
      <w:r w:rsidRPr="00FC45E9">
        <w:rPr>
          <w:rFonts w:cs="Arial"/>
        </w:rPr>
        <w:t xml:space="preserve"> have most likely already selected sites for their location, management and selection of appropriate new sites from remaining site options may become more difficult. A more ‘top-down’ approach to selecting </w:t>
      </w:r>
      <w:r>
        <w:rPr>
          <w:rFonts w:cs="Arial"/>
        </w:rPr>
        <w:t xml:space="preserve">proposed </w:t>
      </w:r>
      <w:r w:rsidRPr="00FC45E9">
        <w:rPr>
          <w:rFonts w:cs="Arial"/>
        </w:rPr>
        <w:t xml:space="preserve">projects, together with appropriate </w:t>
      </w:r>
      <w:r>
        <w:rPr>
          <w:rFonts w:cs="Arial"/>
        </w:rPr>
        <w:t>long-term planning and deployment of t</w:t>
      </w:r>
      <w:r w:rsidRPr="00FC45E9">
        <w:rPr>
          <w:rFonts w:cs="Arial"/>
        </w:rPr>
        <w:t xml:space="preserve">he </w:t>
      </w:r>
      <w:r>
        <w:rPr>
          <w:rFonts w:cs="Arial"/>
        </w:rPr>
        <w:t xml:space="preserve">transmission </w:t>
      </w:r>
      <w:r w:rsidRPr="00FC45E9">
        <w:rPr>
          <w:rFonts w:cs="Arial"/>
        </w:rPr>
        <w:t xml:space="preserve">grid, </w:t>
      </w:r>
      <w:r>
        <w:rPr>
          <w:rFonts w:cs="Arial"/>
        </w:rPr>
        <w:t xml:space="preserve">should assist </w:t>
      </w:r>
      <w:r w:rsidRPr="00FC45E9">
        <w:rPr>
          <w:rFonts w:cs="Arial"/>
        </w:rPr>
        <w:t xml:space="preserve">greatly in </w:t>
      </w:r>
      <w:r>
        <w:rPr>
          <w:rFonts w:cs="Arial"/>
        </w:rPr>
        <w:t xml:space="preserve">managing </w:t>
      </w:r>
      <w:r w:rsidRPr="00FC45E9">
        <w:rPr>
          <w:rFonts w:cs="Arial"/>
        </w:rPr>
        <w:t>this challenge going forward.</w:t>
      </w:r>
    </w:p>
    <w:p w14:paraId="3AFFEFFD"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07A693AE" w14:textId="7B0458C1"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State</w:t>
      </w:r>
      <w:r>
        <w:rPr>
          <w:rFonts w:cs="Arial"/>
        </w:rPr>
        <w:t>/territory</w:t>
      </w:r>
      <w:r w:rsidRPr="00FC45E9">
        <w:rPr>
          <w:rFonts w:cs="Arial"/>
        </w:rPr>
        <w:t xml:space="preserve"> and local governments should consider assessing proposed wind</w:t>
      </w:r>
      <w:r>
        <w:rPr>
          <w:rFonts w:cs="Arial"/>
        </w:rPr>
        <w:t xml:space="preserve">, solar and storage </w:t>
      </w:r>
      <w:r w:rsidRPr="00FC45E9">
        <w:rPr>
          <w:rFonts w:cs="Arial"/>
        </w:rPr>
        <w:t xml:space="preserve">energy projects on a wider range of criteria (including </w:t>
      </w:r>
      <w:r w:rsidR="00F266D4">
        <w:rPr>
          <w:rFonts w:cs="Arial"/>
        </w:rPr>
        <w:t xml:space="preserve">the </w:t>
      </w:r>
      <w:r>
        <w:rPr>
          <w:rFonts w:cs="Arial"/>
        </w:rPr>
        <w:t xml:space="preserve">ability for power output to be transmitted and consumed, </w:t>
      </w:r>
      <w:r w:rsidRPr="00FC45E9">
        <w:rPr>
          <w:rFonts w:cs="Arial"/>
        </w:rPr>
        <w:t>the suitability of a location from a community impact perspective and the degree of community support) and then prioritising projects for approval or progression accordingly. ‘Reverse auction’ feed-in tariff schemes</w:t>
      </w:r>
      <w:r>
        <w:rPr>
          <w:rFonts w:cs="Arial"/>
        </w:rPr>
        <w:t>,</w:t>
      </w:r>
      <w:r w:rsidRPr="00FC45E9">
        <w:rPr>
          <w:rFonts w:cs="Arial"/>
        </w:rPr>
        <w:t xml:space="preserve"> such as the schemes deployed by the ACT</w:t>
      </w:r>
      <w:r>
        <w:rPr>
          <w:rFonts w:cs="Arial"/>
        </w:rPr>
        <w:t>, Queensland</w:t>
      </w:r>
      <w:r w:rsidRPr="00FC45E9">
        <w:rPr>
          <w:rFonts w:cs="Arial"/>
        </w:rPr>
        <w:t xml:space="preserve"> and Victorian governments, </w:t>
      </w:r>
      <w:r>
        <w:rPr>
          <w:rFonts w:cs="Arial"/>
        </w:rPr>
        <w:t>and Renewable Energy Zones</w:t>
      </w:r>
      <w:r w:rsidR="00F266D4">
        <w:rPr>
          <w:rFonts w:cs="Arial"/>
        </w:rPr>
        <w:t>,</w:t>
      </w:r>
      <w:r>
        <w:rPr>
          <w:rFonts w:cs="Arial"/>
        </w:rPr>
        <w:t xml:space="preserve"> are </w:t>
      </w:r>
      <w:r w:rsidRPr="00FC45E9">
        <w:rPr>
          <w:rFonts w:cs="Arial"/>
        </w:rPr>
        <w:t>example</w:t>
      </w:r>
      <w:r>
        <w:rPr>
          <w:rFonts w:cs="Arial"/>
        </w:rPr>
        <w:t>s</w:t>
      </w:r>
      <w:r w:rsidRPr="00FC45E9">
        <w:rPr>
          <w:rFonts w:cs="Arial"/>
        </w:rPr>
        <w:t xml:space="preserve"> of how </w:t>
      </w:r>
      <w:r>
        <w:rPr>
          <w:rFonts w:cs="Arial"/>
        </w:rPr>
        <w:t>governments can</w:t>
      </w:r>
      <w:r w:rsidRPr="00FC45E9">
        <w:rPr>
          <w:rFonts w:cs="Arial"/>
        </w:rPr>
        <w:t xml:space="preserve"> prioritise and incentivise projects to be developed in preferred locations</w:t>
      </w:r>
      <w:r>
        <w:rPr>
          <w:rFonts w:cs="Arial"/>
        </w:rPr>
        <w:t>. These schemes</w:t>
      </w:r>
      <w:r w:rsidRPr="00FC45E9">
        <w:rPr>
          <w:rFonts w:cs="Arial"/>
        </w:rPr>
        <w:t xml:space="preserve"> </w:t>
      </w:r>
      <w:r>
        <w:rPr>
          <w:rFonts w:cs="Arial"/>
        </w:rPr>
        <w:t xml:space="preserve">can also </w:t>
      </w:r>
      <w:r w:rsidRPr="00FC45E9">
        <w:rPr>
          <w:rFonts w:cs="Arial"/>
        </w:rPr>
        <w:t xml:space="preserve">promote </w:t>
      </w:r>
      <w:r>
        <w:rPr>
          <w:rFonts w:cs="Arial"/>
        </w:rPr>
        <w:t xml:space="preserve">and motivate </w:t>
      </w:r>
      <w:r w:rsidRPr="00FC45E9">
        <w:rPr>
          <w:rFonts w:cs="Arial"/>
        </w:rPr>
        <w:t>best practice community engagement</w:t>
      </w:r>
      <w:r>
        <w:rPr>
          <w:rFonts w:cs="Arial"/>
        </w:rPr>
        <w:t xml:space="preserve"> by proponents</w:t>
      </w:r>
      <w:r w:rsidRPr="00FC45E9">
        <w:rPr>
          <w:rFonts w:cs="Arial"/>
        </w:rPr>
        <w:t xml:space="preserve">. </w:t>
      </w:r>
      <w:r>
        <w:rPr>
          <w:rFonts w:cs="Arial"/>
        </w:rPr>
        <w:t>V</w:t>
      </w:r>
      <w:r w:rsidRPr="00FC45E9">
        <w:rPr>
          <w:rFonts w:cs="Arial"/>
        </w:rPr>
        <w:t xml:space="preserve">isual amenity guidelines </w:t>
      </w:r>
      <w:r>
        <w:rPr>
          <w:rFonts w:cs="Arial"/>
        </w:rPr>
        <w:t xml:space="preserve">such as the </w:t>
      </w:r>
      <w:r w:rsidRPr="005404E2">
        <w:rPr>
          <w:rFonts w:cs="Arial"/>
          <w:i/>
          <w:iCs/>
        </w:rPr>
        <w:t>Wind Energy Visual Assessment Bulletin for State Significant Wind Energy Development</w:t>
      </w:r>
      <w:r>
        <w:rPr>
          <w:rFonts w:cs="Arial"/>
        </w:rPr>
        <w:t xml:space="preserve"> </w:t>
      </w:r>
      <w:r w:rsidRPr="00FC45E9">
        <w:rPr>
          <w:rFonts w:cs="Arial"/>
        </w:rPr>
        <w:t xml:space="preserve">introduced in New South Wales </w:t>
      </w:r>
      <w:r>
        <w:rPr>
          <w:rFonts w:cs="Arial"/>
        </w:rPr>
        <w:t xml:space="preserve">in 2016 </w:t>
      </w:r>
      <w:r w:rsidRPr="00FC45E9">
        <w:rPr>
          <w:rFonts w:cs="Arial"/>
        </w:rPr>
        <w:t>c</w:t>
      </w:r>
      <w:r>
        <w:rPr>
          <w:rFonts w:cs="Arial"/>
        </w:rPr>
        <w:t>an</w:t>
      </w:r>
      <w:r w:rsidRPr="00FC45E9">
        <w:rPr>
          <w:rFonts w:cs="Arial"/>
        </w:rPr>
        <w:t xml:space="preserve"> also restrict development in more populated areas, including </w:t>
      </w:r>
      <w:r>
        <w:rPr>
          <w:rFonts w:cs="Arial"/>
        </w:rPr>
        <w:t>assessing the acceptability of</w:t>
      </w:r>
      <w:r w:rsidRPr="00FC45E9">
        <w:rPr>
          <w:rFonts w:cs="Arial"/>
        </w:rPr>
        <w:t xml:space="preserve"> multiple wind farms in a given location.</w:t>
      </w:r>
    </w:p>
    <w:p w14:paraId="1C7C3ABA"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State and local governments may also consider other criteria in assessing and prioritising wind </w:t>
      </w:r>
      <w:r>
        <w:rPr>
          <w:rFonts w:cs="Arial"/>
        </w:rPr>
        <w:t xml:space="preserve">and solar </w:t>
      </w:r>
      <w:r w:rsidRPr="00FC45E9">
        <w:rPr>
          <w:rFonts w:cs="Arial"/>
        </w:rPr>
        <w:t xml:space="preserve">energy projects, including economic development and the ability to both support regional and industry development through improved local electricity supply and infrastructure in regional communities. Appropriate zoning </w:t>
      </w:r>
      <w:r>
        <w:rPr>
          <w:rFonts w:cs="Arial"/>
        </w:rPr>
        <w:t xml:space="preserve">for renewable energy development and </w:t>
      </w:r>
      <w:r w:rsidRPr="00FC45E9">
        <w:rPr>
          <w:rFonts w:cs="Arial"/>
        </w:rPr>
        <w:t xml:space="preserve">overlays for clarifying where it would be appropriate or not appropriate to build and operate </w:t>
      </w:r>
      <w:r>
        <w:rPr>
          <w:rFonts w:cs="Arial"/>
        </w:rPr>
        <w:t>projects</w:t>
      </w:r>
      <w:r w:rsidRPr="00FC45E9">
        <w:rPr>
          <w:rFonts w:cs="Arial"/>
        </w:rPr>
        <w:t xml:space="preserve"> should also be considered.</w:t>
      </w:r>
    </w:p>
    <w:p w14:paraId="64E5B41B"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Prospecting for new wind</w:t>
      </w:r>
      <w:r>
        <w:rPr>
          <w:rFonts w:cs="Arial"/>
        </w:rPr>
        <w:t>, solar or storage</w:t>
      </w:r>
      <w:r w:rsidRPr="00FC45E9">
        <w:rPr>
          <w:rFonts w:cs="Arial"/>
        </w:rPr>
        <w:t xml:space="preserve"> development sites could be subject to an ‘approval </w:t>
      </w:r>
      <w:r>
        <w:rPr>
          <w:rFonts w:cs="Arial"/>
        </w:rPr>
        <w:t xml:space="preserve">(or license) </w:t>
      </w:r>
      <w:r w:rsidRPr="00FC45E9">
        <w:rPr>
          <w:rFonts w:cs="Arial"/>
        </w:rPr>
        <w:t xml:space="preserve">to prospect’ requirement issued by the responsible authority before </w:t>
      </w:r>
      <w:r>
        <w:rPr>
          <w:rFonts w:cs="Arial"/>
        </w:rPr>
        <w:t xml:space="preserve">formal </w:t>
      </w:r>
      <w:r w:rsidRPr="00FC45E9">
        <w:rPr>
          <w:rFonts w:cs="Arial"/>
        </w:rPr>
        <w:t xml:space="preserve">prospecting commences. </w:t>
      </w:r>
      <w:r>
        <w:rPr>
          <w:rFonts w:cs="Arial"/>
        </w:rPr>
        <w:t>Similar to the recent Offshore Electricity Infrastructure legislation, t</w:t>
      </w:r>
      <w:r w:rsidRPr="00FC45E9">
        <w:rPr>
          <w:rFonts w:cs="Arial"/>
        </w:rPr>
        <w:t xml:space="preserve">he approval to prospect </w:t>
      </w:r>
      <w:r>
        <w:rPr>
          <w:rFonts w:cs="Arial"/>
        </w:rPr>
        <w:t xml:space="preserve">a specified potential site </w:t>
      </w:r>
      <w:r w:rsidRPr="00FC45E9">
        <w:rPr>
          <w:rFonts w:cs="Arial"/>
        </w:rPr>
        <w:t>would be granted on a range of criteria, including the suitability of the proposed site</w:t>
      </w:r>
      <w:r>
        <w:rPr>
          <w:rFonts w:cs="Arial"/>
        </w:rPr>
        <w:t>, alignment with the State’s renewable energy zone strategy, transmission capacity/availability</w:t>
      </w:r>
      <w:r w:rsidRPr="00FC45E9">
        <w:rPr>
          <w:rFonts w:cs="Arial"/>
        </w:rPr>
        <w:t xml:space="preserve"> as well as the credentials of the developer and key personnel. See also Recommendation 1.2.</w:t>
      </w:r>
      <w:r>
        <w:rPr>
          <w:rFonts w:cs="Arial"/>
        </w:rPr>
        <w:t>10</w:t>
      </w:r>
      <w:r w:rsidRPr="00FC45E9">
        <w:rPr>
          <w:rFonts w:cs="Arial"/>
        </w:rPr>
        <w:t>.</w:t>
      </w:r>
    </w:p>
    <w:p w14:paraId="5B3B5509"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As part of the assessment suggested in Recommendation 8.2.1, the responsible authority should have processes in place to obtain and verify clear evidence of the developer’s </w:t>
      </w:r>
      <w:r w:rsidRPr="00FC45E9">
        <w:rPr>
          <w:rFonts w:cs="Arial"/>
        </w:rPr>
        <w:lastRenderedPageBreak/>
        <w:t>consultations with affected landowners and residents and be able to assess the likelihood of strong community support for the project.</w:t>
      </w:r>
    </w:p>
    <w:p w14:paraId="0E3A2353" w14:textId="321F1612"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Once an approved </w:t>
      </w:r>
      <w:r>
        <w:rPr>
          <w:rFonts w:cs="Arial"/>
        </w:rPr>
        <w:t>project</w:t>
      </w:r>
      <w:r w:rsidRPr="00FC45E9">
        <w:rPr>
          <w:rFonts w:cs="Arial"/>
        </w:rPr>
        <w:t xml:space="preserve"> has </w:t>
      </w:r>
      <w:r>
        <w:rPr>
          <w:rFonts w:cs="Arial"/>
        </w:rPr>
        <w:t xml:space="preserve">materially </w:t>
      </w:r>
      <w:r w:rsidRPr="00FC45E9">
        <w:rPr>
          <w:rFonts w:cs="Arial"/>
        </w:rPr>
        <w:t xml:space="preserve">commenced construction, the responsible authority </w:t>
      </w:r>
      <w:r>
        <w:rPr>
          <w:rFonts w:cs="Arial"/>
        </w:rPr>
        <w:t>may need to</w:t>
      </w:r>
      <w:r w:rsidRPr="00FC45E9">
        <w:rPr>
          <w:rFonts w:cs="Arial"/>
        </w:rPr>
        <w:t xml:space="preserve"> </w:t>
      </w:r>
      <w:r>
        <w:rPr>
          <w:rFonts w:cs="Arial"/>
        </w:rPr>
        <w:t xml:space="preserve">check </w:t>
      </w:r>
      <w:r w:rsidRPr="00FC45E9">
        <w:rPr>
          <w:rFonts w:cs="Arial"/>
        </w:rPr>
        <w:t xml:space="preserve">other </w:t>
      </w:r>
      <w:r>
        <w:rPr>
          <w:rFonts w:cs="Arial"/>
        </w:rPr>
        <w:t xml:space="preserve">pending or approved </w:t>
      </w:r>
      <w:r w:rsidRPr="00FC45E9">
        <w:rPr>
          <w:rFonts w:cs="Arial"/>
        </w:rPr>
        <w:t xml:space="preserve">projects in the area </w:t>
      </w:r>
      <w:r w:rsidR="00F266D4">
        <w:rPr>
          <w:rFonts w:cs="Arial"/>
        </w:rPr>
        <w:t xml:space="preserve">that </w:t>
      </w:r>
      <w:r>
        <w:rPr>
          <w:rFonts w:cs="Arial"/>
        </w:rPr>
        <w:t xml:space="preserve">are yet to commence construction to ensure </w:t>
      </w:r>
      <w:r w:rsidRPr="00FC45E9">
        <w:rPr>
          <w:rFonts w:cs="Arial"/>
        </w:rPr>
        <w:t>any compounding effects on residents, including noise, shadow flicker and visual amenity</w:t>
      </w:r>
      <w:r>
        <w:rPr>
          <w:rFonts w:cs="Arial"/>
        </w:rPr>
        <w:t>, have been properly considered in those applications/permits</w:t>
      </w:r>
      <w:r w:rsidRPr="00FC45E9">
        <w:rPr>
          <w:rFonts w:cs="Arial"/>
        </w:rPr>
        <w:t xml:space="preserve">. </w:t>
      </w:r>
      <w:r>
        <w:rPr>
          <w:rFonts w:cs="Arial"/>
        </w:rPr>
        <w:t>If necessary and where reasonable, t</w:t>
      </w:r>
      <w:r w:rsidRPr="00FC45E9">
        <w:rPr>
          <w:rFonts w:cs="Arial"/>
        </w:rPr>
        <w:t xml:space="preserve">he responsible authority should also have the ability to require a modification to the </w:t>
      </w:r>
      <w:r>
        <w:rPr>
          <w:rFonts w:cs="Arial"/>
        </w:rPr>
        <w:t xml:space="preserve">approved </w:t>
      </w:r>
      <w:r w:rsidRPr="00FC45E9">
        <w:rPr>
          <w:rFonts w:cs="Arial"/>
        </w:rPr>
        <w:t xml:space="preserve">planning permit and layout of those projects that have </w:t>
      </w:r>
      <w:r>
        <w:rPr>
          <w:rFonts w:cs="Arial"/>
        </w:rPr>
        <w:t xml:space="preserve">yet to be approved or </w:t>
      </w:r>
      <w:r w:rsidR="00F266D4">
        <w:rPr>
          <w:rFonts w:cs="Arial"/>
        </w:rPr>
        <w:t xml:space="preserve">have </w:t>
      </w:r>
      <w:r w:rsidRPr="00FC45E9">
        <w:rPr>
          <w:rFonts w:cs="Arial"/>
        </w:rPr>
        <w:t>not already materially commenced construction. Background noise level</w:t>
      </w:r>
      <w:r>
        <w:rPr>
          <w:rFonts w:cs="Arial"/>
        </w:rPr>
        <w:t xml:space="preserve"> assessments</w:t>
      </w:r>
      <w:r w:rsidRPr="00FC45E9">
        <w:rPr>
          <w:rFonts w:cs="Arial"/>
        </w:rPr>
        <w:t xml:space="preserve"> should exclude any noise contribution from a neighbouring operating wind farm for the purposes of applying the noise standard.</w:t>
      </w:r>
    </w:p>
    <w:p w14:paraId="6769CD97" w14:textId="6D9E868E"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State governments should publish and maintain a map of all operating and proposed wind</w:t>
      </w:r>
      <w:r>
        <w:rPr>
          <w:rFonts w:cs="Arial"/>
        </w:rPr>
        <w:t>,</w:t>
      </w:r>
      <w:r w:rsidRPr="00FC45E9">
        <w:rPr>
          <w:rFonts w:cs="Arial"/>
        </w:rPr>
        <w:t xml:space="preserve"> </w:t>
      </w:r>
      <w:r>
        <w:rPr>
          <w:rFonts w:cs="Arial"/>
        </w:rPr>
        <w:t>solar and storage projects</w:t>
      </w:r>
      <w:r w:rsidRPr="00FC45E9">
        <w:rPr>
          <w:rFonts w:cs="Arial"/>
        </w:rPr>
        <w:t xml:space="preserve">, including the location of the </w:t>
      </w:r>
      <w:r>
        <w:rPr>
          <w:rFonts w:cs="Arial"/>
        </w:rPr>
        <w:t>project</w:t>
      </w:r>
      <w:r w:rsidRPr="00FC45E9">
        <w:rPr>
          <w:rFonts w:cs="Arial"/>
        </w:rPr>
        <w:t xml:space="preserve">, location of </w:t>
      </w:r>
      <w:r>
        <w:rPr>
          <w:rFonts w:cs="Arial"/>
        </w:rPr>
        <w:t xml:space="preserve">wind </w:t>
      </w:r>
      <w:r w:rsidRPr="00FC45E9">
        <w:rPr>
          <w:rFonts w:cs="Arial"/>
        </w:rPr>
        <w:t>turbines</w:t>
      </w:r>
      <w:r>
        <w:rPr>
          <w:rFonts w:cs="Arial"/>
        </w:rPr>
        <w:t xml:space="preserve"> or solar arrays</w:t>
      </w:r>
      <w:r w:rsidRPr="00FC45E9">
        <w:rPr>
          <w:rFonts w:cs="Arial"/>
        </w:rPr>
        <w:t xml:space="preserve">, the status of the project (proposed, permitted, in construction or operating) as well as information about the </w:t>
      </w:r>
      <w:r>
        <w:rPr>
          <w:rFonts w:cs="Arial"/>
        </w:rPr>
        <w:t xml:space="preserve">project’s </w:t>
      </w:r>
      <w:r w:rsidRPr="00FC45E9">
        <w:rPr>
          <w:rFonts w:cs="Arial"/>
        </w:rPr>
        <w:t xml:space="preserve">design, including number and size/rating of </w:t>
      </w:r>
      <w:r>
        <w:rPr>
          <w:rFonts w:cs="Arial"/>
        </w:rPr>
        <w:t xml:space="preserve">wind </w:t>
      </w:r>
      <w:r w:rsidRPr="00FC45E9">
        <w:rPr>
          <w:rFonts w:cs="Arial"/>
        </w:rPr>
        <w:t>turbines</w:t>
      </w:r>
      <w:r>
        <w:rPr>
          <w:rFonts w:cs="Arial"/>
        </w:rPr>
        <w:t xml:space="preserve">, solar arrays or storage units </w:t>
      </w:r>
      <w:r w:rsidRPr="00FC45E9">
        <w:rPr>
          <w:rFonts w:cs="Arial"/>
        </w:rPr>
        <w:t>and information about the proponent.</w:t>
      </w:r>
      <w:r>
        <w:rPr>
          <w:rFonts w:cs="Arial"/>
        </w:rPr>
        <w:t xml:space="preserve"> This can be assisted </w:t>
      </w:r>
      <w:r w:rsidR="00801FAA">
        <w:rPr>
          <w:rFonts w:cs="Arial"/>
        </w:rPr>
        <w:t xml:space="preserve">by </w:t>
      </w:r>
      <w:r>
        <w:rPr>
          <w:rFonts w:cs="Arial"/>
        </w:rPr>
        <w:t xml:space="preserve">having appropriate links to the project website. </w:t>
      </w:r>
      <w:r w:rsidRPr="00FC45E9">
        <w:rPr>
          <w:rFonts w:cs="Arial"/>
        </w:rPr>
        <w:t xml:space="preserve"> </w:t>
      </w:r>
    </w:p>
    <w:p w14:paraId="6100FAA9" w14:textId="763C4514" w:rsidR="00C66F7A" w:rsidRDefault="00C66F7A" w:rsidP="00C66F7A">
      <w:pPr>
        <w:pStyle w:val="ListParagraph"/>
        <w:numPr>
          <w:ilvl w:val="2"/>
          <w:numId w:val="8"/>
        </w:numPr>
        <w:spacing w:line="264" w:lineRule="auto"/>
        <w:ind w:left="1400" w:hanging="680"/>
        <w:rPr>
          <w:rFonts w:cs="Arial"/>
        </w:rPr>
      </w:pPr>
      <w:r w:rsidRPr="00FC45E9">
        <w:rPr>
          <w:rFonts w:cs="Arial"/>
        </w:rPr>
        <w:t xml:space="preserve">State governments, in conjunction with </w:t>
      </w:r>
      <w:r>
        <w:rPr>
          <w:rFonts w:cs="Arial"/>
        </w:rPr>
        <w:t xml:space="preserve">the </w:t>
      </w:r>
      <w:r w:rsidRPr="00FC45E9">
        <w:rPr>
          <w:rFonts w:cs="Arial"/>
        </w:rPr>
        <w:t>appropriate Australian Government departments/agencies and the Australian Energy Market Operator (AEMO), should review current and planned transmission infrastructure to ensure it allow</w:t>
      </w:r>
      <w:r>
        <w:rPr>
          <w:rFonts w:cs="Arial"/>
        </w:rPr>
        <w:t>s</w:t>
      </w:r>
      <w:r w:rsidRPr="00FC45E9">
        <w:rPr>
          <w:rFonts w:cs="Arial"/>
        </w:rPr>
        <w:t xml:space="preserve"> </w:t>
      </w:r>
      <w:r>
        <w:rPr>
          <w:rFonts w:cs="Arial"/>
        </w:rPr>
        <w:t xml:space="preserve">for </w:t>
      </w:r>
      <w:r w:rsidRPr="00FC45E9">
        <w:rPr>
          <w:rFonts w:cs="Arial"/>
        </w:rPr>
        <w:t>new large</w:t>
      </w:r>
      <w:r>
        <w:rPr>
          <w:rFonts w:cs="Arial"/>
        </w:rPr>
        <w:t>-</w:t>
      </w:r>
      <w:r w:rsidRPr="00FC45E9">
        <w:rPr>
          <w:rFonts w:cs="Arial"/>
        </w:rPr>
        <w:t xml:space="preserve">scale renewable generation facilities to be connected in the most optimal locations for renewable resources. </w:t>
      </w:r>
      <w:r>
        <w:rPr>
          <w:rFonts w:cs="Arial"/>
        </w:rPr>
        <w:t>AEMO’s Integrated System Plan has identified a number of potential renewable energy zones that provides insight and direction for long-term transmission planning</w:t>
      </w:r>
      <w:r w:rsidRPr="00FC45E9">
        <w:rPr>
          <w:rFonts w:cs="Arial"/>
        </w:rPr>
        <w:t>.</w:t>
      </w:r>
      <w:r>
        <w:rPr>
          <w:rFonts w:cs="Arial"/>
        </w:rPr>
        <w:t xml:space="preserve"> The resulting n</w:t>
      </w:r>
      <w:r w:rsidRPr="005C39C9">
        <w:rPr>
          <w:rFonts w:cs="Arial"/>
        </w:rPr>
        <w:t xml:space="preserve">ew and/or augmented transmission infrastructure needs to be </w:t>
      </w:r>
      <w:r>
        <w:rPr>
          <w:rFonts w:cs="Arial"/>
        </w:rPr>
        <w:t xml:space="preserve">planned, built and commissioned </w:t>
      </w:r>
      <w:r w:rsidRPr="005C39C9">
        <w:rPr>
          <w:rFonts w:cs="Arial"/>
        </w:rPr>
        <w:t>in a timely manner.</w:t>
      </w:r>
      <w:r>
        <w:rPr>
          <w:rFonts w:cs="Arial"/>
        </w:rPr>
        <w:t xml:space="preserve"> If state government REZ programs are executed well, they should address this recommendation along with the major backbone grid deployments currently in plan.</w:t>
      </w:r>
    </w:p>
    <w:p w14:paraId="7D9D194E" w14:textId="2EC2DC3F" w:rsidR="00C66F7A" w:rsidRDefault="00C66F7A" w:rsidP="00C66F7A">
      <w:pPr>
        <w:pStyle w:val="ListParagraph"/>
        <w:numPr>
          <w:ilvl w:val="2"/>
          <w:numId w:val="8"/>
        </w:numPr>
        <w:spacing w:line="264" w:lineRule="auto"/>
        <w:ind w:left="1400" w:hanging="680"/>
        <w:rPr>
          <w:rFonts w:cs="Arial"/>
        </w:rPr>
      </w:pPr>
      <w:r>
        <w:rPr>
          <w:rFonts w:cs="Arial"/>
        </w:rPr>
        <w:t xml:space="preserve">State/territory governments should consider licensing arrangements </w:t>
      </w:r>
      <w:r w:rsidR="00D73D16">
        <w:rPr>
          <w:rFonts w:cs="Arial"/>
        </w:rPr>
        <w:t xml:space="preserve">and </w:t>
      </w:r>
      <w:r w:rsidR="00414A71">
        <w:rPr>
          <w:rFonts w:cs="Arial"/>
        </w:rPr>
        <w:t xml:space="preserve">declared areas </w:t>
      </w:r>
      <w:r>
        <w:rPr>
          <w:rFonts w:cs="Arial"/>
        </w:rPr>
        <w:t xml:space="preserve">for onshore generation projects </w:t>
      </w:r>
      <w:r w:rsidR="00414A71">
        <w:rPr>
          <w:rFonts w:cs="Arial"/>
        </w:rPr>
        <w:t>– al</w:t>
      </w:r>
      <w:r>
        <w:rPr>
          <w:rFonts w:cs="Arial"/>
        </w:rPr>
        <w:t>ong similar lines as has been recently legislated for offshore generation development. Prospectors and developers should have time limits for achieving milestones and should not have the ability to control an undeveloped</w:t>
      </w:r>
      <w:r w:rsidR="00520020">
        <w:rPr>
          <w:rFonts w:cs="Arial"/>
        </w:rPr>
        <w:t>, declared</w:t>
      </w:r>
      <w:r>
        <w:rPr>
          <w:rFonts w:cs="Arial"/>
        </w:rPr>
        <w:t xml:space="preserve"> generation project site </w:t>
      </w:r>
      <w:r w:rsidRPr="008435D6">
        <w:rPr>
          <w:rFonts w:cs="Arial"/>
          <w:i/>
          <w:iCs/>
        </w:rPr>
        <w:t>ad infinitum</w:t>
      </w:r>
      <w:r>
        <w:rPr>
          <w:rFonts w:cs="Arial"/>
        </w:rPr>
        <w:t>.</w:t>
      </w:r>
    </w:p>
    <w:p w14:paraId="0EE0C577" w14:textId="77777777" w:rsidR="00C66F7A" w:rsidRDefault="00C66F7A" w:rsidP="00C66F7A">
      <w:pPr>
        <w:pStyle w:val="ListParagraph"/>
        <w:numPr>
          <w:ilvl w:val="2"/>
          <w:numId w:val="8"/>
        </w:numPr>
        <w:spacing w:line="264" w:lineRule="auto"/>
        <w:ind w:left="1400" w:hanging="680"/>
        <w:rPr>
          <w:rFonts w:cs="Arial"/>
        </w:rPr>
      </w:pPr>
      <w:r>
        <w:rPr>
          <w:rFonts w:cs="Arial"/>
        </w:rPr>
        <w:t>Transmission easements required for actionable projects under AEMO’s Integrated System Plan should be acquired well ahead of time.</w:t>
      </w:r>
    </w:p>
    <w:p w14:paraId="60043115" w14:textId="35A5959F" w:rsidR="00C66F7A" w:rsidRPr="00D50463" w:rsidRDefault="00C66F7A" w:rsidP="00C66F7A">
      <w:pPr>
        <w:pStyle w:val="ListParagraph"/>
        <w:numPr>
          <w:ilvl w:val="2"/>
          <w:numId w:val="8"/>
        </w:numPr>
        <w:spacing w:line="264" w:lineRule="auto"/>
        <w:ind w:left="1400" w:hanging="680"/>
        <w:rPr>
          <w:rFonts w:cs="Arial"/>
        </w:rPr>
      </w:pPr>
      <w:r w:rsidRPr="00D50463">
        <w:rPr>
          <w:rFonts w:cs="Arial"/>
        </w:rPr>
        <w:t xml:space="preserve">There may be opportunities </w:t>
      </w:r>
      <w:r w:rsidRPr="00D50463">
        <w:t>for regulator</w:t>
      </w:r>
      <w:r>
        <w:t>s</w:t>
      </w:r>
      <w:r w:rsidRPr="00D50463">
        <w:t xml:space="preserve"> to </w:t>
      </w:r>
      <w:r>
        <w:t xml:space="preserve">clearly </w:t>
      </w:r>
      <w:r w:rsidRPr="00D50463">
        <w:t xml:space="preserve">outline specific guidance and expectations for </w:t>
      </w:r>
      <w:r>
        <w:t xml:space="preserve">project </w:t>
      </w:r>
      <w:r w:rsidRPr="00D50463">
        <w:t xml:space="preserve">prospectors </w:t>
      </w:r>
      <w:r>
        <w:t xml:space="preserve">to comply with </w:t>
      </w:r>
      <w:r w:rsidRPr="00D50463">
        <w:t xml:space="preserve">in relation to site selection for projects that are likely to impact </w:t>
      </w:r>
      <w:r w:rsidR="00CB441F">
        <w:t xml:space="preserve">nearby </w:t>
      </w:r>
      <w:r w:rsidRPr="00D50463">
        <w:t>environmentally sensitive areas.</w:t>
      </w:r>
    </w:p>
    <w:p w14:paraId="1BDBDE14" w14:textId="77777777" w:rsidR="00C66F7A" w:rsidRDefault="00C66F7A" w:rsidP="00C66F7A">
      <w:pPr>
        <w:rPr>
          <w:rFonts w:cs="Arial"/>
        </w:rPr>
      </w:pPr>
      <w:r>
        <w:rPr>
          <w:rFonts w:cs="Arial"/>
        </w:rPr>
        <w:br w:type="page"/>
      </w:r>
    </w:p>
    <w:p w14:paraId="5CE36ADF" w14:textId="77777777" w:rsidR="00C66F7A" w:rsidRPr="00FC45E9" w:rsidRDefault="00C66F7A" w:rsidP="00C66F7A">
      <w:pPr>
        <w:pStyle w:val="Heading2"/>
        <w:numPr>
          <w:ilvl w:val="0"/>
          <w:numId w:val="8"/>
        </w:numPr>
      </w:pPr>
      <w:bookmarkStart w:id="243" w:name="_Toc98781027"/>
      <w:bookmarkStart w:id="244" w:name="_Toc135390664"/>
      <w:r w:rsidRPr="00FC45E9">
        <w:lastRenderedPageBreak/>
        <w:t xml:space="preserve">Health </w:t>
      </w:r>
      <w:r>
        <w:t xml:space="preserve">and Safety </w:t>
      </w:r>
      <w:r w:rsidRPr="00FC45E9">
        <w:t>Matters</w:t>
      </w:r>
      <w:bookmarkEnd w:id="243"/>
      <w:bookmarkEnd w:id="244"/>
    </w:p>
    <w:p w14:paraId="1B87E367" w14:textId="77777777" w:rsidR="00C66F7A" w:rsidRPr="00FC45E9" w:rsidRDefault="00C66F7A" w:rsidP="00C66F7A">
      <w:pPr>
        <w:pStyle w:val="ListParagraph"/>
        <w:numPr>
          <w:ilvl w:val="1"/>
          <w:numId w:val="8"/>
        </w:numPr>
        <w:spacing w:line="264" w:lineRule="auto"/>
        <w:rPr>
          <w:rFonts w:cs="Arial"/>
          <w:b/>
        </w:rPr>
      </w:pPr>
      <w:r w:rsidRPr="00FC45E9">
        <w:rPr>
          <w:rFonts w:cs="Arial"/>
          <w:b/>
        </w:rPr>
        <w:t>Observations</w:t>
      </w:r>
    </w:p>
    <w:p w14:paraId="472B9998" w14:textId="4ADE1EED" w:rsidR="00C66F7A" w:rsidRPr="00861E58" w:rsidRDefault="00C053A3" w:rsidP="00F25864">
      <w:pPr>
        <w:pStyle w:val="Heading3"/>
        <w:ind w:firstLine="360"/>
      </w:pPr>
      <w:bookmarkStart w:id="245" w:name="_Toc135390665"/>
      <w:r>
        <w:t xml:space="preserve">Wind Farms and </w:t>
      </w:r>
      <w:r w:rsidR="00C66F7A" w:rsidRPr="00861E58">
        <w:t>Health</w:t>
      </w:r>
      <w:bookmarkEnd w:id="245"/>
    </w:p>
    <w:p w14:paraId="6EB03861" w14:textId="32D2487C"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Much has been and continues to be written and researched on the topic of wind farms and health effects. </w:t>
      </w:r>
      <w:r w:rsidR="00FF4C70">
        <w:rPr>
          <w:rFonts w:cs="Arial"/>
        </w:rPr>
        <w:t>While</w:t>
      </w:r>
      <w:r w:rsidR="00801FAA">
        <w:rPr>
          <w:rFonts w:cs="Arial"/>
        </w:rPr>
        <w:t xml:space="preserve"> the</w:t>
      </w:r>
      <w:r w:rsidR="00FF4C70">
        <w:rPr>
          <w:rFonts w:cs="Arial"/>
        </w:rPr>
        <w:t xml:space="preserve"> d</w:t>
      </w:r>
      <w:r w:rsidRPr="00FC45E9">
        <w:rPr>
          <w:rFonts w:cs="Arial"/>
        </w:rPr>
        <w:t xml:space="preserve">ebate continues around the world as to whether a wind farm </w:t>
      </w:r>
      <w:r w:rsidR="00317BD0">
        <w:rPr>
          <w:rFonts w:cs="Arial"/>
        </w:rPr>
        <w:t xml:space="preserve">can </w:t>
      </w:r>
      <w:r w:rsidRPr="00FC45E9">
        <w:rPr>
          <w:rFonts w:cs="Arial"/>
        </w:rPr>
        <w:t xml:space="preserve">cause physiological harm to residents living </w:t>
      </w:r>
      <w:r>
        <w:rPr>
          <w:rFonts w:cs="Arial"/>
        </w:rPr>
        <w:t>with</w:t>
      </w:r>
      <w:r w:rsidRPr="00FC45E9">
        <w:rPr>
          <w:rFonts w:cs="Arial"/>
        </w:rPr>
        <w:t>in its vicinity</w:t>
      </w:r>
      <w:r w:rsidR="00EB4F11">
        <w:rPr>
          <w:rFonts w:cs="Arial"/>
        </w:rPr>
        <w:t>, anecdotally</w:t>
      </w:r>
      <w:r w:rsidR="00801FAA">
        <w:rPr>
          <w:rFonts w:cs="Arial"/>
        </w:rPr>
        <w:t>,</w:t>
      </w:r>
      <w:r w:rsidR="00EB4F11">
        <w:rPr>
          <w:rFonts w:cs="Arial"/>
        </w:rPr>
        <w:t xml:space="preserve"> the level and intensity of </w:t>
      </w:r>
      <w:r w:rsidR="00E56282">
        <w:rPr>
          <w:rFonts w:cs="Arial"/>
        </w:rPr>
        <w:t>the debate appears to be subsiding</w:t>
      </w:r>
      <w:r w:rsidRPr="00FC45E9">
        <w:rPr>
          <w:rFonts w:cs="Arial"/>
        </w:rPr>
        <w:t>.</w:t>
      </w:r>
    </w:p>
    <w:p w14:paraId="796FCB1C" w14:textId="1BBA8890" w:rsidR="00C66F7A" w:rsidRDefault="00C66F7A" w:rsidP="00C66F7A">
      <w:pPr>
        <w:pStyle w:val="ListParagraph"/>
        <w:numPr>
          <w:ilvl w:val="0"/>
          <w:numId w:val="0"/>
        </w:numPr>
        <w:spacing w:line="264" w:lineRule="auto"/>
        <w:ind w:left="360"/>
        <w:rPr>
          <w:rFonts w:cs="Arial"/>
        </w:rPr>
      </w:pPr>
      <w:r w:rsidRPr="00FC45E9">
        <w:rPr>
          <w:rFonts w:cs="Arial"/>
        </w:rPr>
        <w:t xml:space="preserve">In 2016, the NHMRC announced the funding of two research studies into wind farms and health. </w:t>
      </w:r>
      <w:r w:rsidRPr="006B07A2">
        <w:rPr>
          <w:rFonts w:cs="Arial"/>
        </w:rPr>
        <w:t xml:space="preserve">One study </w:t>
      </w:r>
      <w:r>
        <w:rPr>
          <w:rFonts w:cs="Arial"/>
        </w:rPr>
        <w:t>was</w:t>
      </w:r>
      <w:r w:rsidRPr="006B07A2">
        <w:rPr>
          <w:rFonts w:cs="Arial"/>
        </w:rPr>
        <w:t xml:space="preserve"> focused on the effects of </w:t>
      </w:r>
      <w:r>
        <w:rPr>
          <w:rFonts w:cs="Arial"/>
        </w:rPr>
        <w:t xml:space="preserve">audible </w:t>
      </w:r>
      <w:r w:rsidRPr="006B07A2">
        <w:rPr>
          <w:rFonts w:cs="Arial"/>
        </w:rPr>
        <w:t>wind farm noise on sleep</w:t>
      </w:r>
      <w:r>
        <w:rPr>
          <w:rFonts w:cs="Arial"/>
        </w:rPr>
        <w:t xml:space="preserve">, </w:t>
      </w:r>
      <w:r w:rsidRPr="006B07A2">
        <w:rPr>
          <w:rFonts w:cs="Arial"/>
        </w:rPr>
        <w:t>led by Professor Peter Catcheside at Flinders University. The o</w:t>
      </w:r>
      <w:r w:rsidRPr="002B6C16">
        <w:rPr>
          <w:rFonts w:cs="Arial"/>
        </w:rPr>
        <w:t xml:space="preserve">ther study </w:t>
      </w:r>
      <w:r>
        <w:rPr>
          <w:rFonts w:cs="Arial"/>
        </w:rPr>
        <w:t>was</w:t>
      </w:r>
      <w:r w:rsidRPr="002B6C16">
        <w:rPr>
          <w:rFonts w:cs="Arial"/>
        </w:rPr>
        <w:t xml:space="preserve"> focused on measuring the effects of infrasound</w:t>
      </w:r>
      <w:r>
        <w:rPr>
          <w:rFonts w:cs="Arial"/>
        </w:rPr>
        <w:t xml:space="preserve"> impacts on humans</w:t>
      </w:r>
      <w:r w:rsidRPr="002B6C16">
        <w:rPr>
          <w:rFonts w:cs="Arial"/>
        </w:rPr>
        <w:t xml:space="preserve"> and </w:t>
      </w:r>
      <w:r>
        <w:rPr>
          <w:rFonts w:cs="Arial"/>
        </w:rPr>
        <w:t xml:space="preserve">was </w:t>
      </w:r>
      <w:r w:rsidRPr="002B6C16">
        <w:rPr>
          <w:rFonts w:cs="Arial"/>
        </w:rPr>
        <w:t>led by Professor Guy Marks at the University of New South Wales.</w:t>
      </w:r>
    </w:p>
    <w:p w14:paraId="3BEEF9E9" w14:textId="77777777" w:rsidR="00D6737D" w:rsidRPr="00D6737D" w:rsidRDefault="00D6737D" w:rsidP="00D6737D">
      <w:pPr>
        <w:pStyle w:val="ListParagraph"/>
        <w:numPr>
          <w:ilvl w:val="0"/>
          <w:numId w:val="0"/>
        </w:numPr>
        <w:spacing w:line="264" w:lineRule="auto"/>
        <w:ind w:left="360"/>
        <w:rPr>
          <w:rFonts w:cstheme="minorHAnsi"/>
        </w:rPr>
      </w:pPr>
      <w:r w:rsidRPr="00D6737D">
        <w:rPr>
          <w:rFonts w:cstheme="minorHAnsi"/>
        </w:rPr>
        <w:t xml:space="preserve">The study led by Professor Peter Catcheside comprised a few different tests, including surveys, a field study and laboratory studies, measuring a cross-section of residents with varying proximities of exposure to wind farm noise and residents in quiet rural areas. </w:t>
      </w:r>
    </w:p>
    <w:p w14:paraId="59F63D9A" w14:textId="0B00908F" w:rsidR="00D6737D" w:rsidRPr="00D6737D" w:rsidRDefault="003B23DF" w:rsidP="00D6737D">
      <w:pPr>
        <w:pStyle w:val="ListParagraph"/>
        <w:numPr>
          <w:ilvl w:val="0"/>
          <w:numId w:val="0"/>
        </w:numPr>
        <w:spacing w:line="264" w:lineRule="auto"/>
        <w:ind w:left="360"/>
        <w:rPr>
          <w:rFonts w:cstheme="minorHAnsi"/>
        </w:rPr>
      </w:pPr>
      <w:r>
        <w:rPr>
          <w:rFonts w:cstheme="minorHAnsi"/>
        </w:rPr>
        <w:t>S</w:t>
      </w:r>
      <w:r w:rsidR="00D6737D" w:rsidRPr="00D6737D">
        <w:rPr>
          <w:rFonts w:cstheme="minorHAnsi"/>
        </w:rPr>
        <w:t>urvey result</w:t>
      </w:r>
      <w:r>
        <w:rPr>
          <w:rFonts w:cstheme="minorHAnsi"/>
        </w:rPr>
        <w:t>s</w:t>
      </w:r>
      <w:r w:rsidR="00D6737D" w:rsidRPr="00D6737D">
        <w:rPr>
          <w:rFonts w:cstheme="minorHAnsi"/>
        </w:rPr>
        <w:t xml:space="preserve"> found that only 0.3 percent of those residing within 10km of a wind farm attribute sleep disturbance to wind farm noise, which is no higher than sleep disturbances attributed to road traffic or other noises. </w:t>
      </w:r>
    </w:p>
    <w:p w14:paraId="56A6349B" w14:textId="42D75432" w:rsidR="00D6737D" w:rsidRPr="00D6737D" w:rsidRDefault="001F02C6" w:rsidP="00D6737D">
      <w:pPr>
        <w:pStyle w:val="ListParagraph"/>
        <w:numPr>
          <w:ilvl w:val="0"/>
          <w:numId w:val="0"/>
        </w:numPr>
        <w:spacing w:line="264" w:lineRule="auto"/>
        <w:ind w:left="360"/>
        <w:rPr>
          <w:rFonts w:cstheme="minorHAnsi"/>
        </w:rPr>
      </w:pPr>
      <w:r>
        <w:rPr>
          <w:rFonts w:cstheme="minorHAnsi"/>
        </w:rPr>
        <w:t>L</w:t>
      </w:r>
      <w:r w:rsidR="00D6737D" w:rsidRPr="00D6737D">
        <w:rPr>
          <w:rFonts w:cstheme="minorHAnsi"/>
        </w:rPr>
        <w:t xml:space="preserve">aboratory </w:t>
      </w:r>
      <w:r w:rsidR="003B23DF">
        <w:rPr>
          <w:rFonts w:cstheme="minorHAnsi"/>
        </w:rPr>
        <w:t xml:space="preserve">studies </w:t>
      </w:r>
      <w:r w:rsidR="00D6737D" w:rsidRPr="00D6737D">
        <w:rPr>
          <w:rFonts w:cstheme="minorHAnsi"/>
        </w:rPr>
        <w:t>found that wind farm and road traffic noise instigate sensory responses that can briefly disturb sleep depending on noise level but with relatively minor impacts on overall rest compared to noise levels in real-world exposure environments.</w:t>
      </w:r>
    </w:p>
    <w:p w14:paraId="16D11472" w14:textId="77777777" w:rsidR="0087539B" w:rsidRDefault="00D6737D" w:rsidP="00D6737D">
      <w:pPr>
        <w:pStyle w:val="ListParagraph"/>
        <w:numPr>
          <w:ilvl w:val="0"/>
          <w:numId w:val="0"/>
        </w:numPr>
        <w:spacing w:line="264" w:lineRule="auto"/>
        <w:ind w:left="360"/>
        <w:rPr>
          <w:rFonts w:cs="Arial"/>
        </w:rPr>
      </w:pPr>
      <w:r w:rsidRPr="00D6737D">
        <w:rPr>
          <w:rFonts w:cstheme="minorHAnsi"/>
        </w:rPr>
        <w:t xml:space="preserve">The second study, led by Professor Guy Marks, conducted a laboratory study of 72 hours of exposure to infrasound, pseudo infrasound and traffic noise exposure. Before this study, some concerns were expressed that the specific but inaudible infrasound from wind turbines may cause health issues. This study successfully concluded that infrasound did not worsen sleep or cause any health </w:t>
      </w:r>
      <w:r w:rsidR="002D7001" w:rsidRPr="00D6737D">
        <w:rPr>
          <w:rFonts w:cstheme="minorHAnsi"/>
        </w:rPr>
        <w:t>concerns.</w:t>
      </w:r>
      <w:r w:rsidR="002D7001">
        <w:rPr>
          <w:rFonts w:cs="Arial"/>
        </w:rPr>
        <w:t xml:space="preserve"> </w:t>
      </w:r>
    </w:p>
    <w:p w14:paraId="50CFE456" w14:textId="759CE381" w:rsidR="00C66F7A" w:rsidRDefault="002D7001" w:rsidP="00D6737D">
      <w:pPr>
        <w:pStyle w:val="ListParagraph"/>
        <w:numPr>
          <w:ilvl w:val="0"/>
          <w:numId w:val="0"/>
        </w:numPr>
        <w:spacing w:line="264" w:lineRule="auto"/>
        <w:ind w:left="360"/>
        <w:rPr>
          <w:rFonts w:cs="Arial"/>
        </w:rPr>
      </w:pPr>
      <w:r>
        <w:rPr>
          <w:rFonts w:cs="Arial"/>
        </w:rPr>
        <w:t>Both</w:t>
      </w:r>
      <w:r w:rsidR="00C66F7A">
        <w:rPr>
          <w:rFonts w:cs="Arial"/>
        </w:rPr>
        <w:t xml:space="preserve"> studies are now completed. The two final reports from these studies have been published on the NHMRC website, under the title </w:t>
      </w:r>
      <w:r w:rsidR="00C66F7A" w:rsidRPr="00DD7C57">
        <w:rPr>
          <w:rFonts w:cs="Arial"/>
          <w:i/>
        </w:rPr>
        <w:t xml:space="preserve">Targeted Call for Research into Wind Farms and Human Health 2015. </w:t>
      </w:r>
      <w:r w:rsidR="00C66F7A">
        <w:rPr>
          <w:rFonts w:cs="Arial"/>
        </w:rPr>
        <w:t>Various papers related to the two studies are also available on the internet.</w:t>
      </w:r>
    </w:p>
    <w:p w14:paraId="52779820" w14:textId="1ED0B7B0" w:rsidR="00C66F7A" w:rsidRPr="00FC45E9" w:rsidRDefault="00C66F7A" w:rsidP="00C66F7A">
      <w:pPr>
        <w:pStyle w:val="ListParagraph"/>
        <w:numPr>
          <w:ilvl w:val="0"/>
          <w:numId w:val="0"/>
        </w:numPr>
        <w:spacing w:line="264" w:lineRule="auto"/>
        <w:ind w:left="360"/>
        <w:rPr>
          <w:rFonts w:cs="Arial"/>
        </w:rPr>
      </w:pPr>
      <w:r w:rsidRPr="00FC45E9">
        <w:rPr>
          <w:rFonts w:cs="Arial"/>
        </w:rPr>
        <w:t>In addition</w:t>
      </w:r>
      <w:r>
        <w:rPr>
          <w:rFonts w:cs="Arial"/>
        </w:rPr>
        <w:t xml:space="preserve">, </w:t>
      </w:r>
      <w:r w:rsidRPr="00FC45E9">
        <w:rPr>
          <w:rFonts w:cs="Arial"/>
        </w:rPr>
        <w:t>the Australian Government established the Independent Scientific Committee on Wind Turbines</w:t>
      </w:r>
      <w:r>
        <w:rPr>
          <w:rFonts w:cs="Arial"/>
        </w:rPr>
        <w:t xml:space="preserve"> – which operated from 2015 to 2021 – </w:t>
      </w:r>
      <w:r w:rsidRPr="00FC45E9">
        <w:rPr>
          <w:rFonts w:cs="Arial"/>
        </w:rPr>
        <w:t>to</w:t>
      </w:r>
      <w:r>
        <w:rPr>
          <w:rFonts w:cs="Arial"/>
        </w:rPr>
        <w:t xml:space="preserve"> </w:t>
      </w:r>
      <w:r w:rsidRPr="00FC45E9">
        <w:rPr>
          <w:rFonts w:cs="Arial"/>
        </w:rPr>
        <w:t>provide advice on a range of matters</w:t>
      </w:r>
      <w:r w:rsidR="00801FAA">
        <w:rPr>
          <w:rFonts w:cs="Arial"/>
        </w:rPr>
        <w:t>,</w:t>
      </w:r>
      <w:r w:rsidRPr="00FC45E9">
        <w:rPr>
          <w:rFonts w:cs="Arial"/>
        </w:rPr>
        <w:t xml:space="preserve"> including wind farm noise levels and the relationship to health effects.</w:t>
      </w:r>
      <w:r w:rsidR="00F57C22">
        <w:rPr>
          <w:rFonts w:cs="Arial"/>
        </w:rPr>
        <w:t xml:space="preserve"> The Committee’s reports and papers can be found online</w:t>
      </w:r>
      <w:r w:rsidR="00900689">
        <w:rPr>
          <w:rFonts w:cs="Arial"/>
        </w:rPr>
        <w:t xml:space="preserve"> and can also be accessed </w:t>
      </w:r>
      <w:r w:rsidR="00C32C61">
        <w:rPr>
          <w:rFonts w:cs="Arial"/>
        </w:rPr>
        <w:t>on our website.</w:t>
      </w:r>
    </w:p>
    <w:p w14:paraId="78B1B23B" w14:textId="77777777" w:rsidR="00C32C61" w:rsidRDefault="00C66F7A" w:rsidP="00C66F7A">
      <w:pPr>
        <w:pStyle w:val="ListParagraph"/>
        <w:numPr>
          <w:ilvl w:val="0"/>
          <w:numId w:val="0"/>
        </w:numPr>
        <w:spacing w:line="264" w:lineRule="auto"/>
        <w:ind w:left="360"/>
        <w:rPr>
          <w:rFonts w:cs="Arial"/>
        </w:rPr>
      </w:pPr>
      <w:r w:rsidRPr="00FC45E9">
        <w:rPr>
          <w:rFonts w:cs="Arial"/>
        </w:rPr>
        <w:t>A number of c</w:t>
      </w:r>
      <w:r w:rsidR="001E4E94">
        <w:rPr>
          <w:rFonts w:cs="Arial"/>
        </w:rPr>
        <w:t>ases</w:t>
      </w:r>
      <w:r w:rsidRPr="00FC45E9">
        <w:rPr>
          <w:rFonts w:cs="Arial"/>
        </w:rPr>
        <w:t xml:space="preserve"> about wind farms received by the Office include</w:t>
      </w:r>
      <w:r>
        <w:rPr>
          <w:rFonts w:cs="Arial"/>
        </w:rPr>
        <w:t>d</w:t>
      </w:r>
      <w:r w:rsidRPr="00FC45E9">
        <w:rPr>
          <w:rFonts w:cs="Arial"/>
        </w:rPr>
        <w:t xml:space="preserve"> references to health impacts as a result of wind farm operations. Health conditions cited in complaints include sleep disturbance, headaches, </w:t>
      </w:r>
      <w:r w:rsidR="006E499A" w:rsidRPr="00FC45E9">
        <w:rPr>
          <w:rFonts w:cs="Arial"/>
        </w:rPr>
        <w:t>earaches</w:t>
      </w:r>
      <w:r w:rsidRPr="00FC45E9">
        <w:rPr>
          <w:rFonts w:cs="Arial"/>
        </w:rPr>
        <w:t xml:space="preserve">, ‘pounding’ in the ears, tinnitus, tachycardia, high blood pressure, sight impairment, diabetes, chest-tightening, nausea and general fatigue. </w:t>
      </w:r>
    </w:p>
    <w:p w14:paraId="5113D825" w14:textId="65ED3B69" w:rsidR="00C66F7A" w:rsidRPr="00FC45E9" w:rsidRDefault="00E96AD8" w:rsidP="00C66F7A">
      <w:pPr>
        <w:pStyle w:val="ListParagraph"/>
        <w:numPr>
          <w:ilvl w:val="0"/>
          <w:numId w:val="0"/>
        </w:numPr>
        <w:spacing w:line="264" w:lineRule="auto"/>
        <w:ind w:left="360"/>
        <w:rPr>
          <w:rFonts w:cs="Arial"/>
        </w:rPr>
      </w:pPr>
      <w:r>
        <w:rPr>
          <w:rFonts w:cs="Arial"/>
        </w:rPr>
        <w:t>C</w:t>
      </w:r>
      <w:r w:rsidR="00C66F7A" w:rsidRPr="00FC45E9">
        <w:rPr>
          <w:rFonts w:cs="Arial"/>
        </w:rPr>
        <w:t>omplain</w:t>
      </w:r>
      <w:r w:rsidR="00C66F7A">
        <w:rPr>
          <w:rFonts w:cs="Arial"/>
        </w:rPr>
        <w:t>an</w:t>
      </w:r>
      <w:r w:rsidR="00C66F7A" w:rsidRPr="00FC45E9">
        <w:rPr>
          <w:rFonts w:cs="Arial"/>
        </w:rPr>
        <w:t xml:space="preserve">ts </w:t>
      </w:r>
      <w:r>
        <w:rPr>
          <w:rFonts w:cs="Arial"/>
        </w:rPr>
        <w:t>typically</w:t>
      </w:r>
      <w:r w:rsidR="00C66F7A" w:rsidRPr="00FC45E9">
        <w:rPr>
          <w:rFonts w:cs="Arial"/>
        </w:rPr>
        <w:t xml:space="preserve"> state that such </w:t>
      </w:r>
      <w:r w:rsidR="000D1913">
        <w:rPr>
          <w:rFonts w:cs="Arial"/>
        </w:rPr>
        <w:t xml:space="preserve">health </w:t>
      </w:r>
      <w:r w:rsidR="00C66F7A" w:rsidRPr="00FC45E9">
        <w:rPr>
          <w:rFonts w:cs="Arial"/>
        </w:rPr>
        <w:t xml:space="preserve">conditions are caused by audible noise and low frequency noise, including infrasound, along with vibration sensations </w:t>
      </w:r>
      <w:r w:rsidR="00C66F7A">
        <w:rPr>
          <w:rFonts w:cs="Arial"/>
        </w:rPr>
        <w:t xml:space="preserve">allegedly </w:t>
      </w:r>
      <w:r w:rsidR="00C66F7A" w:rsidRPr="00FC45E9">
        <w:rPr>
          <w:rFonts w:cs="Arial"/>
        </w:rPr>
        <w:t>attributable to the operation of nearby turbines. In some cases, complain</w:t>
      </w:r>
      <w:r w:rsidR="00C66F7A">
        <w:rPr>
          <w:rFonts w:cs="Arial"/>
        </w:rPr>
        <w:t>an</w:t>
      </w:r>
      <w:r w:rsidR="00C66F7A" w:rsidRPr="00FC45E9">
        <w:rPr>
          <w:rFonts w:cs="Arial"/>
        </w:rPr>
        <w:t>ts have stated that some health conditions persist even when the turbines are not operating.</w:t>
      </w:r>
    </w:p>
    <w:p w14:paraId="0157D917" w14:textId="52BE2B4B" w:rsidR="00C66F7A" w:rsidRDefault="00B729D4" w:rsidP="00C66F7A">
      <w:pPr>
        <w:pStyle w:val="ListParagraph"/>
        <w:numPr>
          <w:ilvl w:val="0"/>
          <w:numId w:val="0"/>
        </w:numPr>
        <w:spacing w:line="264" w:lineRule="auto"/>
        <w:ind w:left="360"/>
        <w:rPr>
          <w:rFonts w:cs="Arial"/>
        </w:rPr>
      </w:pPr>
      <w:r>
        <w:rPr>
          <w:rFonts w:cs="Arial"/>
        </w:rPr>
        <w:t>Over time,</w:t>
      </w:r>
      <w:r w:rsidR="00C66F7A" w:rsidRPr="00FC45E9">
        <w:rPr>
          <w:rFonts w:cs="Arial"/>
        </w:rPr>
        <w:t xml:space="preserve"> </w:t>
      </w:r>
      <w:r>
        <w:rPr>
          <w:rFonts w:cs="Arial"/>
        </w:rPr>
        <w:t xml:space="preserve">numerous </w:t>
      </w:r>
      <w:r w:rsidR="00C66F7A" w:rsidRPr="00FC45E9">
        <w:rPr>
          <w:rFonts w:cs="Arial"/>
        </w:rPr>
        <w:t>invitations</w:t>
      </w:r>
      <w:r w:rsidR="00C66F7A">
        <w:rPr>
          <w:rFonts w:cs="Arial"/>
        </w:rPr>
        <w:t xml:space="preserve"> have been extended</w:t>
      </w:r>
      <w:r w:rsidR="00C66F7A" w:rsidRPr="00FC45E9">
        <w:rPr>
          <w:rFonts w:cs="Arial"/>
        </w:rPr>
        <w:t xml:space="preserve"> to complainants to provide evidence of their medical conditions</w:t>
      </w:r>
      <w:r w:rsidR="00C66F7A">
        <w:rPr>
          <w:rFonts w:cs="Arial"/>
        </w:rPr>
        <w:t>. C</w:t>
      </w:r>
      <w:r w:rsidR="00D92825">
        <w:rPr>
          <w:rFonts w:cs="Arial"/>
        </w:rPr>
        <w:t>ases</w:t>
      </w:r>
      <w:r w:rsidR="00C66F7A" w:rsidRPr="00FC45E9">
        <w:rPr>
          <w:rFonts w:cs="Arial"/>
        </w:rPr>
        <w:t xml:space="preserve"> regarding health concerns received by </w:t>
      </w:r>
      <w:r w:rsidR="00C66F7A">
        <w:rPr>
          <w:rFonts w:cs="Arial"/>
        </w:rPr>
        <w:t>the</w:t>
      </w:r>
      <w:r w:rsidR="00C66F7A" w:rsidRPr="00FC45E9">
        <w:rPr>
          <w:rFonts w:cs="Arial"/>
        </w:rPr>
        <w:t xml:space="preserve"> Office have</w:t>
      </w:r>
      <w:r w:rsidR="00C66F7A">
        <w:rPr>
          <w:rFonts w:cs="Arial"/>
        </w:rPr>
        <w:t>, in the main,</w:t>
      </w:r>
      <w:r w:rsidR="00C66F7A" w:rsidRPr="00FC45E9">
        <w:rPr>
          <w:rFonts w:cs="Arial"/>
        </w:rPr>
        <w:t xml:space="preserve"> provided only anecdotal evidence regarding stated health issues and perceived causality. It has therefore been difficult to </w:t>
      </w:r>
      <w:r w:rsidR="00C66F7A">
        <w:rPr>
          <w:rFonts w:cs="Arial"/>
        </w:rPr>
        <w:t xml:space="preserve">form an opinion on </w:t>
      </w:r>
      <w:r w:rsidR="00C66F7A" w:rsidRPr="00FC45E9">
        <w:rPr>
          <w:rFonts w:cs="Arial"/>
        </w:rPr>
        <w:t xml:space="preserve">whether or not the stated health conditions reported by complainants are </w:t>
      </w:r>
      <w:r w:rsidR="00C66F7A" w:rsidRPr="00FC45E9">
        <w:rPr>
          <w:rFonts w:cs="Arial"/>
        </w:rPr>
        <w:lastRenderedPageBreak/>
        <w:t xml:space="preserve">valid and, if valid, whether or not the health conditions are possibly a result of the wind farm’s operations or from some </w:t>
      </w:r>
      <w:r w:rsidR="00C66F7A">
        <w:rPr>
          <w:rFonts w:cs="Arial"/>
        </w:rPr>
        <w:t xml:space="preserve">other known or unknown </w:t>
      </w:r>
      <w:r w:rsidR="00C66F7A" w:rsidRPr="00FC45E9">
        <w:rPr>
          <w:rFonts w:cs="Arial"/>
        </w:rPr>
        <w:t>cause.</w:t>
      </w:r>
      <w:r w:rsidR="00C66F7A">
        <w:rPr>
          <w:rFonts w:cs="Arial"/>
        </w:rPr>
        <w:t xml:space="preserve"> </w:t>
      </w:r>
    </w:p>
    <w:p w14:paraId="222FEC13" w14:textId="6733DECC" w:rsidR="00C66F7A" w:rsidRPr="00FC45E9" w:rsidRDefault="00C66F7A" w:rsidP="00C66F7A">
      <w:pPr>
        <w:pStyle w:val="ListParagraph"/>
        <w:numPr>
          <w:ilvl w:val="0"/>
          <w:numId w:val="0"/>
        </w:numPr>
        <w:spacing w:line="264" w:lineRule="auto"/>
        <w:ind w:left="360"/>
        <w:rPr>
          <w:rFonts w:cs="Arial"/>
        </w:rPr>
      </w:pPr>
      <w:r w:rsidRPr="000C19EF">
        <w:rPr>
          <w:rFonts w:cs="Arial"/>
        </w:rPr>
        <w:t xml:space="preserve">The Office will continue to </w:t>
      </w:r>
      <w:r>
        <w:rPr>
          <w:rFonts w:cs="Arial"/>
        </w:rPr>
        <w:t>receive</w:t>
      </w:r>
      <w:r w:rsidRPr="000C19EF">
        <w:rPr>
          <w:rFonts w:cs="Arial"/>
        </w:rPr>
        <w:t xml:space="preserve"> complaints, with supporting evidence, from community members regarding </w:t>
      </w:r>
      <w:r w:rsidR="00801FAA">
        <w:rPr>
          <w:rFonts w:cs="Arial"/>
        </w:rPr>
        <w:t xml:space="preserve">the </w:t>
      </w:r>
      <w:r w:rsidRPr="000C19EF">
        <w:rPr>
          <w:rFonts w:cs="Arial"/>
        </w:rPr>
        <w:t xml:space="preserve">potential health effects from operating wind farms. Since the Office commenced, </w:t>
      </w:r>
      <w:r>
        <w:rPr>
          <w:rFonts w:cs="Arial"/>
        </w:rPr>
        <w:t>9</w:t>
      </w:r>
      <w:r w:rsidR="0048759C">
        <w:rPr>
          <w:rFonts w:cs="Arial"/>
        </w:rPr>
        <w:t>7</w:t>
      </w:r>
      <w:r w:rsidRPr="000C19EF">
        <w:rPr>
          <w:rFonts w:cs="Arial"/>
        </w:rPr>
        <w:t> c</w:t>
      </w:r>
      <w:r w:rsidR="00F54ADE">
        <w:rPr>
          <w:rFonts w:cs="Arial"/>
        </w:rPr>
        <w:t>ases</w:t>
      </w:r>
      <w:r w:rsidRPr="000C19EF">
        <w:rPr>
          <w:rFonts w:cs="Arial"/>
        </w:rPr>
        <w:t xml:space="preserve"> about operating wind farms have been received. These c</w:t>
      </w:r>
      <w:r w:rsidR="00BD45C4">
        <w:rPr>
          <w:rFonts w:cs="Arial"/>
        </w:rPr>
        <w:t>ases r</w:t>
      </w:r>
      <w:r w:rsidRPr="000C19EF">
        <w:rPr>
          <w:rFonts w:cs="Arial"/>
        </w:rPr>
        <w:t xml:space="preserve">elate to </w:t>
      </w:r>
      <w:r>
        <w:rPr>
          <w:rFonts w:cs="Arial"/>
        </w:rPr>
        <w:t>2</w:t>
      </w:r>
      <w:r w:rsidR="00CD5DE3">
        <w:rPr>
          <w:rFonts w:cs="Arial"/>
        </w:rPr>
        <w:t>3</w:t>
      </w:r>
      <w:r w:rsidRPr="000C19EF">
        <w:rPr>
          <w:rFonts w:cs="Arial"/>
        </w:rPr>
        <w:t xml:space="preserve"> operating wind farms out of a total of </w:t>
      </w:r>
      <w:r w:rsidR="00904B54">
        <w:rPr>
          <w:rFonts w:cs="Arial"/>
        </w:rPr>
        <w:t>appr</w:t>
      </w:r>
      <w:r w:rsidR="001A772F">
        <w:rPr>
          <w:rFonts w:cs="Arial"/>
        </w:rPr>
        <w:t xml:space="preserve">oximately </w:t>
      </w:r>
      <w:r w:rsidRPr="000C19EF">
        <w:rPr>
          <w:rFonts w:cs="Arial"/>
        </w:rPr>
        <w:t xml:space="preserve">100 operating wind farms across Australia. Of these </w:t>
      </w:r>
      <w:r>
        <w:rPr>
          <w:rFonts w:cs="Arial"/>
        </w:rPr>
        <w:t>9</w:t>
      </w:r>
      <w:r w:rsidR="001A772F">
        <w:rPr>
          <w:rFonts w:cs="Arial"/>
        </w:rPr>
        <w:t>7</w:t>
      </w:r>
      <w:r w:rsidRPr="000C19EF">
        <w:rPr>
          <w:rFonts w:cs="Arial"/>
        </w:rPr>
        <w:t xml:space="preserve"> c</w:t>
      </w:r>
      <w:r w:rsidR="00BD45C4">
        <w:rPr>
          <w:rFonts w:cs="Arial"/>
        </w:rPr>
        <w:t>ases</w:t>
      </w:r>
      <w:r w:rsidR="001A772F">
        <w:rPr>
          <w:rFonts w:cs="Arial"/>
        </w:rPr>
        <w:t xml:space="preserve"> about operating wind farms</w:t>
      </w:r>
      <w:r w:rsidRPr="000C19EF">
        <w:rPr>
          <w:rFonts w:cs="Arial"/>
        </w:rPr>
        <w:t xml:space="preserve">, </w:t>
      </w:r>
      <w:r w:rsidRPr="00FD7F99">
        <w:rPr>
          <w:rFonts w:cs="Arial"/>
        </w:rPr>
        <w:t>approximately half of the complainants cited concerns about health impacts from operating wind farms</w:t>
      </w:r>
      <w:r w:rsidRPr="008A240A">
        <w:rPr>
          <w:rFonts w:cs="Arial"/>
        </w:rPr>
        <w:t>. Of th</w:t>
      </w:r>
      <w:r w:rsidR="000C6FB1">
        <w:rPr>
          <w:rFonts w:cs="Arial"/>
        </w:rPr>
        <w:t xml:space="preserve">is cohort, </w:t>
      </w:r>
      <w:r w:rsidR="006C6763">
        <w:rPr>
          <w:rFonts w:cs="Arial"/>
        </w:rPr>
        <w:t xml:space="preserve">only </w:t>
      </w:r>
      <w:r w:rsidRPr="008A240A">
        <w:rPr>
          <w:rFonts w:cs="Arial"/>
        </w:rPr>
        <w:t>a very small number of complainants agreed to work with the Office and provide evidence of the stated health issues. In all of these cases, the root cause of the stated health issue was not attributable to the wind farm.</w:t>
      </w:r>
    </w:p>
    <w:p w14:paraId="23804888" w14:textId="4BF72EDF" w:rsidR="00C66F7A" w:rsidRDefault="00C66F7A" w:rsidP="00C66F7A">
      <w:pPr>
        <w:pStyle w:val="ListParagraph"/>
        <w:numPr>
          <w:ilvl w:val="0"/>
          <w:numId w:val="0"/>
        </w:numPr>
        <w:spacing w:line="264" w:lineRule="auto"/>
        <w:ind w:left="360"/>
        <w:rPr>
          <w:rFonts w:cs="Arial"/>
        </w:rPr>
      </w:pPr>
      <w:r w:rsidRPr="00FC45E9">
        <w:rPr>
          <w:rFonts w:cs="Arial"/>
        </w:rPr>
        <w:t xml:space="preserve">Further, in </w:t>
      </w:r>
      <w:r w:rsidRPr="00814CF3">
        <w:rPr>
          <w:rFonts w:cs="Arial"/>
        </w:rPr>
        <w:t>20</w:t>
      </w:r>
      <w:r>
        <w:rPr>
          <w:rFonts w:cs="Arial"/>
        </w:rPr>
        <w:t>2</w:t>
      </w:r>
      <w:r w:rsidR="00F54ADE">
        <w:rPr>
          <w:rFonts w:cs="Arial"/>
        </w:rPr>
        <w:t>2</w:t>
      </w:r>
      <w:r w:rsidRPr="00FC45E9">
        <w:rPr>
          <w:rFonts w:cs="Arial"/>
        </w:rPr>
        <w:t xml:space="preserve">, </w:t>
      </w:r>
      <w:r w:rsidR="00F54ADE">
        <w:rPr>
          <w:rFonts w:cs="Arial"/>
        </w:rPr>
        <w:t xml:space="preserve">there were just </w:t>
      </w:r>
      <w:r w:rsidR="000159C6">
        <w:rPr>
          <w:rFonts w:cs="Arial"/>
        </w:rPr>
        <w:t xml:space="preserve">five cases </w:t>
      </w:r>
      <w:r w:rsidRPr="00FC45E9">
        <w:rPr>
          <w:rFonts w:cs="Arial"/>
        </w:rPr>
        <w:t xml:space="preserve">about </w:t>
      </w:r>
      <w:r w:rsidR="006656D9">
        <w:rPr>
          <w:rFonts w:cs="Arial"/>
        </w:rPr>
        <w:t xml:space="preserve">four </w:t>
      </w:r>
      <w:r w:rsidRPr="00FC45E9">
        <w:rPr>
          <w:rFonts w:cs="Arial"/>
        </w:rPr>
        <w:t>operating wind farms</w:t>
      </w:r>
      <w:r w:rsidR="00EA26C0">
        <w:rPr>
          <w:rFonts w:cs="Arial"/>
        </w:rPr>
        <w:t xml:space="preserve">, </w:t>
      </w:r>
      <w:r>
        <w:rPr>
          <w:rFonts w:cs="Arial"/>
        </w:rPr>
        <w:t>whilst t</w:t>
      </w:r>
      <w:r w:rsidRPr="00FC45E9">
        <w:rPr>
          <w:rFonts w:cs="Arial"/>
        </w:rPr>
        <w:t>he clear majority of c</w:t>
      </w:r>
      <w:r w:rsidR="00EA26C0">
        <w:rPr>
          <w:rFonts w:cs="Arial"/>
        </w:rPr>
        <w:t>ases</w:t>
      </w:r>
      <w:r w:rsidRPr="00FC45E9">
        <w:rPr>
          <w:rFonts w:cs="Arial"/>
        </w:rPr>
        <w:t xml:space="preserve"> received </w:t>
      </w:r>
      <w:r>
        <w:rPr>
          <w:rFonts w:cs="Arial"/>
        </w:rPr>
        <w:t>were</w:t>
      </w:r>
      <w:r w:rsidRPr="00FC45E9">
        <w:rPr>
          <w:rFonts w:cs="Arial"/>
        </w:rPr>
        <w:t xml:space="preserve"> about proposed wind farms. On the basis that a wind farm has to be built and operating before it could possibly cause a physiological health effect, the potential cohort of potential physiological health complaints is </w:t>
      </w:r>
      <w:r w:rsidR="00381B4A">
        <w:rPr>
          <w:rFonts w:cs="Arial"/>
        </w:rPr>
        <w:t xml:space="preserve">now </w:t>
      </w:r>
      <w:r w:rsidRPr="00FC45E9">
        <w:rPr>
          <w:rFonts w:cs="Arial"/>
        </w:rPr>
        <w:t>very small.</w:t>
      </w:r>
      <w:r w:rsidR="001D605F">
        <w:rPr>
          <w:rFonts w:cs="Arial"/>
        </w:rPr>
        <w:t xml:space="preserve"> To illustrate this</w:t>
      </w:r>
      <w:r w:rsidR="000F4DE7">
        <w:rPr>
          <w:rFonts w:cs="Arial"/>
        </w:rPr>
        <w:t xml:space="preserve"> conclusion, in 2022, of the 29 c</w:t>
      </w:r>
      <w:r w:rsidR="001621C4">
        <w:rPr>
          <w:rFonts w:cs="Arial"/>
        </w:rPr>
        <w:t>ase</w:t>
      </w:r>
      <w:r w:rsidR="000F4DE7">
        <w:rPr>
          <w:rFonts w:cs="Arial"/>
        </w:rPr>
        <w:t>s received about wind</w:t>
      </w:r>
      <w:r w:rsidR="001621C4">
        <w:rPr>
          <w:rFonts w:cs="Arial"/>
        </w:rPr>
        <w:t xml:space="preserve"> </w:t>
      </w:r>
      <w:r w:rsidR="005C1B59">
        <w:rPr>
          <w:rFonts w:cs="Arial"/>
        </w:rPr>
        <w:t>farms</w:t>
      </w:r>
      <w:r w:rsidR="001621C4">
        <w:rPr>
          <w:rFonts w:cs="Arial"/>
        </w:rPr>
        <w:t xml:space="preserve">, only one </w:t>
      </w:r>
      <w:r w:rsidR="006833DF">
        <w:rPr>
          <w:rFonts w:cs="Arial"/>
        </w:rPr>
        <w:t xml:space="preserve">case </w:t>
      </w:r>
      <w:r w:rsidR="001621C4">
        <w:rPr>
          <w:rFonts w:cs="Arial"/>
        </w:rPr>
        <w:t>cited health</w:t>
      </w:r>
      <w:r w:rsidR="006833DF">
        <w:rPr>
          <w:rFonts w:cs="Arial"/>
        </w:rPr>
        <w:t xml:space="preserve"> concerns in their complaint.</w:t>
      </w:r>
      <w:r w:rsidR="001621C4">
        <w:rPr>
          <w:rFonts w:cs="Arial"/>
        </w:rPr>
        <w:t xml:space="preserve"> </w:t>
      </w:r>
    </w:p>
    <w:p w14:paraId="0B6B4E28" w14:textId="394C8872" w:rsidR="00C66F7A" w:rsidRPr="00FC45E9" w:rsidRDefault="00C66F7A" w:rsidP="00C66F7A">
      <w:pPr>
        <w:pStyle w:val="ListParagraph"/>
        <w:numPr>
          <w:ilvl w:val="0"/>
          <w:numId w:val="0"/>
        </w:numPr>
        <w:spacing w:line="264" w:lineRule="auto"/>
        <w:ind w:left="360"/>
        <w:rPr>
          <w:rFonts w:cs="Arial"/>
        </w:rPr>
      </w:pPr>
      <w:r>
        <w:rPr>
          <w:rFonts w:cs="Arial"/>
        </w:rPr>
        <w:t>It should also be noted that, for the last f</w:t>
      </w:r>
      <w:r w:rsidR="0003315A">
        <w:rPr>
          <w:rFonts w:cs="Arial"/>
        </w:rPr>
        <w:t>ive</w:t>
      </w:r>
      <w:r>
        <w:rPr>
          <w:rFonts w:cs="Arial"/>
        </w:rPr>
        <w:t xml:space="preserve"> years, the Office has not received any complaints regarding allegations of vibration sensations being caused by a wind turbine’s operation. The Office’s findings could not confirm any actual evidence of vibrations at a residence with causality from a turbine – findings which are consistent with </w:t>
      </w:r>
      <w:r w:rsidR="005C1B59">
        <w:rPr>
          <w:rFonts w:cs="Arial"/>
        </w:rPr>
        <w:t xml:space="preserve">the </w:t>
      </w:r>
      <w:r>
        <w:rPr>
          <w:rFonts w:cs="Arial"/>
        </w:rPr>
        <w:t xml:space="preserve">advice received on this topic from Flinders University (see page </w:t>
      </w:r>
      <w:r w:rsidR="00E527C3">
        <w:rPr>
          <w:rFonts w:cs="Arial"/>
        </w:rPr>
        <w:t>6</w:t>
      </w:r>
      <w:r w:rsidR="00CA1BF4">
        <w:rPr>
          <w:rFonts w:cs="Arial"/>
        </w:rPr>
        <w:t>3 in Section 5 of this report</w:t>
      </w:r>
      <w:r>
        <w:rPr>
          <w:rFonts w:cs="Arial"/>
        </w:rPr>
        <w:t>).</w:t>
      </w:r>
      <w:r w:rsidRPr="00FC45E9">
        <w:rPr>
          <w:rFonts w:cs="Arial"/>
        </w:rPr>
        <w:t xml:space="preserve"> </w:t>
      </w:r>
      <w:r>
        <w:rPr>
          <w:rFonts w:cs="Arial"/>
        </w:rPr>
        <w:t>The Office’s complaint data further substantiates these findings.</w:t>
      </w:r>
    </w:p>
    <w:p w14:paraId="2EA20DF7" w14:textId="4C8AB576"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It is possible that </w:t>
      </w:r>
      <w:r w:rsidR="005C1B59">
        <w:rPr>
          <w:rFonts w:cs="Arial"/>
        </w:rPr>
        <w:t xml:space="preserve">the </w:t>
      </w:r>
      <w:r w:rsidRPr="00FC45E9">
        <w:rPr>
          <w:rFonts w:cs="Arial"/>
        </w:rPr>
        <w:t xml:space="preserve">stated health conditions that exist may be a result of other known causes not related to the wind farm’s operations. Of material concern is the potential situation whereby a resident may fail to seek and obtain appropriate medical advice and treatment for a treatable health condition due to the possibly incorrect assumption that an operating wind farm is the perceived cause of the condition. For example, if a resident is experiencing sleep difficulties, they may be advised by their general practitioner (GP) to </w:t>
      </w:r>
      <w:r>
        <w:rPr>
          <w:rFonts w:cs="Arial"/>
        </w:rPr>
        <w:t>consult</w:t>
      </w:r>
      <w:r w:rsidRPr="00FC45E9">
        <w:rPr>
          <w:rFonts w:cs="Arial"/>
        </w:rPr>
        <w:t xml:space="preserve"> a sleep specialist for a proper diagnosis of the root cause and advice on treatment to remedy the condition. If the GP’s advice is not followed, the cause of the condition may persist unnecessarily.</w:t>
      </w:r>
    </w:p>
    <w:p w14:paraId="19FE8C1F" w14:textId="77777777" w:rsidR="00C66F7A" w:rsidRPr="00FC45E9" w:rsidRDefault="00C66F7A" w:rsidP="00C66F7A">
      <w:pPr>
        <w:pStyle w:val="ListParagraph"/>
        <w:numPr>
          <w:ilvl w:val="0"/>
          <w:numId w:val="0"/>
        </w:numPr>
        <w:spacing w:line="264" w:lineRule="auto"/>
        <w:ind w:left="360"/>
        <w:rPr>
          <w:rFonts w:cs="Arial"/>
        </w:rPr>
      </w:pPr>
      <w:r w:rsidRPr="00FC45E9">
        <w:rPr>
          <w:rFonts w:cs="Arial"/>
        </w:rPr>
        <w:t xml:space="preserve">Health conditions may also arise as a result of stress, annoyance or anxiety related to the presence of an operating wind farm or concerns about the </w:t>
      </w:r>
      <w:r>
        <w:rPr>
          <w:rFonts w:cs="Arial"/>
        </w:rPr>
        <w:t xml:space="preserve">potential </w:t>
      </w:r>
      <w:r w:rsidRPr="00FC45E9">
        <w:rPr>
          <w:rFonts w:cs="Arial"/>
        </w:rPr>
        <w:t>effects of a proposed wind farm. Further, uncertainties in relation to whether a proposed wind farm will actually proceed (a period which may extend for several years) may also contribute to stress and anxiety. Again, affected residents may need to seek appropriate medical treatment for these ancillary health conditions as well as seek ways to resolve their concerns.</w:t>
      </w:r>
    </w:p>
    <w:p w14:paraId="555232C0" w14:textId="77777777" w:rsidR="00C66F7A" w:rsidRDefault="00C66F7A" w:rsidP="00C66F7A">
      <w:pPr>
        <w:pStyle w:val="ListParagraph"/>
        <w:numPr>
          <w:ilvl w:val="0"/>
          <w:numId w:val="0"/>
        </w:numPr>
        <w:spacing w:line="264" w:lineRule="auto"/>
        <w:ind w:left="360"/>
        <w:rPr>
          <w:rFonts w:cs="Arial"/>
        </w:rPr>
      </w:pPr>
      <w:r>
        <w:rPr>
          <w:rFonts w:cs="Arial"/>
        </w:rPr>
        <w:t>In November 2019, the South Australia Supreme Court handed down its decision in relation to the proposed Palmer Wind Farm. The Court concluded that claims that the turbines would cause sickness and health issues for residents were unsubstantiated. Of note, the objectors did not provide sufficient evidence of causality from any expert medical witness. The Court’s finding has been consistent with the Commissioner’s observations and recommendations based on actual complaint experience.</w:t>
      </w:r>
    </w:p>
    <w:p w14:paraId="4D71DBC2" w14:textId="65979E93" w:rsidR="00C66F7A" w:rsidRDefault="00C66F7A" w:rsidP="00C66F7A">
      <w:pPr>
        <w:pStyle w:val="ListParagraph"/>
        <w:numPr>
          <w:ilvl w:val="0"/>
          <w:numId w:val="0"/>
        </w:numPr>
        <w:spacing w:line="264" w:lineRule="auto"/>
        <w:ind w:left="360"/>
        <w:rPr>
          <w:rFonts w:cs="Arial"/>
        </w:rPr>
      </w:pPr>
      <w:r w:rsidRPr="00FC45E9">
        <w:rPr>
          <w:rFonts w:cs="Arial"/>
        </w:rPr>
        <w:t xml:space="preserve">The Office will continue to monitor relevant </w:t>
      </w:r>
      <w:r w:rsidR="00D4147C">
        <w:rPr>
          <w:rFonts w:cs="Arial"/>
        </w:rPr>
        <w:t xml:space="preserve">court </w:t>
      </w:r>
      <w:r w:rsidRPr="00FC45E9">
        <w:rPr>
          <w:rFonts w:cs="Arial"/>
        </w:rPr>
        <w:t>decisions that explore evidence about wind farms and health</w:t>
      </w:r>
      <w:r w:rsidR="00A812A8">
        <w:rPr>
          <w:rFonts w:cs="Arial"/>
        </w:rPr>
        <w:t xml:space="preserve"> along with updates to relevant</w:t>
      </w:r>
      <w:r w:rsidR="00572A3F">
        <w:rPr>
          <w:rFonts w:cs="Arial"/>
        </w:rPr>
        <w:t xml:space="preserve"> guidelines</w:t>
      </w:r>
      <w:r w:rsidRPr="00FC45E9">
        <w:rPr>
          <w:rFonts w:cs="Arial"/>
        </w:rPr>
        <w:t>, such as the guidelines issued by the World Health Organi</w:t>
      </w:r>
      <w:r w:rsidR="00170B37">
        <w:rPr>
          <w:rFonts w:cs="Arial"/>
        </w:rPr>
        <w:t>s</w:t>
      </w:r>
      <w:r w:rsidRPr="00FC45E9">
        <w:rPr>
          <w:rFonts w:cs="Arial"/>
        </w:rPr>
        <w:t>ation</w:t>
      </w:r>
      <w:r>
        <w:rPr>
          <w:rFonts w:cs="Arial"/>
        </w:rPr>
        <w:t xml:space="preserve"> in 2018. We will continue to </w:t>
      </w:r>
      <w:r w:rsidRPr="00FC45E9">
        <w:rPr>
          <w:rFonts w:cs="Arial"/>
        </w:rPr>
        <w:t>assess</w:t>
      </w:r>
      <w:r>
        <w:rPr>
          <w:rFonts w:cs="Arial"/>
        </w:rPr>
        <w:t xml:space="preserve"> </w:t>
      </w:r>
      <w:r w:rsidRPr="00FC45E9">
        <w:rPr>
          <w:rFonts w:cs="Arial"/>
        </w:rPr>
        <w:t xml:space="preserve">any further </w:t>
      </w:r>
      <w:r w:rsidR="00162ECD">
        <w:rPr>
          <w:rFonts w:cs="Arial"/>
        </w:rPr>
        <w:t xml:space="preserve">health related </w:t>
      </w:r>
      <w:r w:rsidRPr="00FC45E9">
        <w:rPr>
          <w:rFonts w:cs="Arial"/>
        </w:rPr>
        <w:t xml:space="preserve">evidence gathered through </w:t>
      </w:r>
      <w:r w:rsidR="00162ECD">
        <w:rPr>
          <w:rFonts w:cs="Arial"/>
        </w:rPr>
        <w:t xml:space="preserve">our </w:t>
      </w:r>
      <w:r w:rsidRPr="00FC45E9">
        <w:rPr>
          <w:rFonts w:cs="Arial"/>
        </w:rPr>
        <w:t>complaint handling activities.</w:t>
      </w:r>
    </w:p>
    <w:p w14:paraId="24088821" w14:textId="6652F32E" w:rsidR="00C66F7A" w:rsidRDefault="00C66F7A" w:rsidP="00C66F7A">
      <w:pPr>
        <w:pStyle w:val="ListParagraph"/>
        <w:numPr>
          <w:ilvl w:val="0"/>
          <w:numId w:val="0"/>
        </w:numPr>
        <w:spacing w:line="264" w:lineRule="auto"/>
        <w:ind w:left="360"/>
        <w:rPr>
          <w:rFonts w:cs="Arial"/>
        </w:rPr>
      </w:pPr>
      <w:r>
        <w:rPr>
          <w:rFonts w:cs="Arial"/>
        </w:rPr>
        <w:t xml:space="preserve">The Office has also observed the need for clearer, streamlined legislation that provides a balance of protecting the community while also providing a degree of certainty for the proponent. In Victoria, complaints made under the </w:t>
      </w:r>
      <w:r w:rsidRPr="00960024">
        <w:rPr>
          <w:rFonts w:cs="Arial"/>
          <w:i/>
        </w:rPr>
        <w:t>Public Health and Wellbeing Act</w:t>
      </w:r>
      <w:r>
        <w:rPr>
          <w:rFonts w:cs="Arial"/>
          <w:i/>
        </w:rPr>
        <w:t xml:space="preserve"> 2008</w:t>
      </w:r>
      <w:r w:rsidRPr="00960024">
        <w:rPr>
          <w:rFonts w:cs="Arial"/>
          <w:i/>
        </w:rPr>
        <w:t xml:space="preserve"> </w:t>
      </w:r>
      <w:r w:rsidRPr="00494ED6">
        <w:rPr>
          <w:rFonts w:cs="Arial"/>
          <w:iCs/>
        </w:rPr>
        <w:t>(Victoria)</w:t>
      </w:r>
      <w:r>
        <w:rPr>
          <w:rFonts w:cs="Arial"/>
        </w:rPr>
        <w:t xml:space="preserve"> have utilised the nuisance provisions under the Act to allege that wind farms are creating a ‘noise nuisance’, even when a wind </w:t>
      </w:r>
      <w:r>
        <w:rPr>
          <w:rFonts w:cs="Arial"/>
        </w:rPr>
        <w:lastRenderedPageBreak/>
        <w:t>farm has been deemed compliant with its permit conditions. Councils should have in place clear procedures for investigating and determining whether or not a wind farm is causing a noise nuisance under the Act. The Act was amended in 2021 to remove wind farms from the nuisance provisions of the Act</w:t>
      </w:r>
      <w:r w:rsidR="004334C7">
        <w:rPr>
          <w:rFonts w:cs="Arial"/>
        </w:rPr>
        <w:t>, with the Victoria</w:t>
      </w:r>
      <w:r w:rsidR="00B60F6E">
        <w:rPr>
          <w:rFonts w:cs="Arial"/>
        </w:rPr>
        <w:t>n EPA now regulating wind farm noise matters</w:t>
      </w:r>
      <w:r w:rsidR="0008172B">
        <w:rPr>
          <w:rFonts w:cs="Arial"/>
        </w:rPr>
        <w:t xml:space="preserve"> across the state</w:t>
      </w:r>
      <w:r>
        <w:rPr>
          <w:rFonts w:cs="Arial"/>
        </w:rPr>
        <w:t xml:space="preserve">. </w:t>
      </w:r>
    </w:p>
    <w:p w14:paraId="765B2DFB" w14:textId="77777777" w:rsidR="00C66F7A" w:rsidRPr="00861E58" w:rsidRDefault="00C66F7A" w:rsidP="00F25864">
      <w:pPr>
        <w:pStyle w:val="Heading3"/>
        <w:ind w:firstLine="360"/>
      </w:pPr>
      <w:bookmarkStart w:id="246" w:name="_Toc135390666"/>
      <w:r w:rsidRPr="00861E58">
        <w:t>Safety</w:t>
      </w:r>
      <w:bookmarkEnd w:id="246"/>
    </w:p>
    <w:p w14:paraId="22FFE7C7" w14:textId="77777777" w:rsidR="00C66F7A" w:rsidRDefault="00C66F7A" w:rsidP="00C66F7A">
      <w:pPr>
        <w:pStyle w:val="Default"/>
        <w:spacing w:after="200" w:line="264" w:lineRule="auto"/>
        <w:ind w:left="360"/>
        <w:rPr>
          <w:rFonts w:ascii="Arial" w:hAnsi="Arial" w:cs="Arial"/>
          <w:color w:val="auto"/>
          <w:sz w:val="22"/>
          <w:szCs w:val="22"/>
        </w:rPr>
      </w:pPr>
      <w:r>
        <w:rPr>
          <w:rFonts w:ascii="Arial" w:hAnsi="Arial" w:cs="Arial"/>
          <w:color w:val="auto"/>
          <w:sz w:val="22"/>
          <w:szCs w:val="22"/>
        </w:rPr>
        <w:t xml:space="preserve">There have been an increasing number of safety related incidents occurring in relation to large-scale renewable projects.  </w:t>
      </w:r>
    </w:p>
    <w:p w14:paraId="4E6B7EDB" w14:textId="5D9F9889" w:rsidR="00C66F7A" w:rsidRDefault="00C66F7A" w:rsidP="00C66F7A">
      <w:pPr>
        <w:pStyle w:val="Default"/>
        <w:spacing w:after="200" w:line="264" w:lineRule="auto"/>
        <w:ind w:left="360"/>
        <w:rPr>
          <w:rFonts w:ascii="Arial" w:hAnsi="Arial" w:cs="Arial"/>
          <w:color w:val="auto"/>
          <w:sz w:val="22"/>
          <w:szCs w:val="22"/>
        </w:rPr>
      </w:pPr>
      <w:r>
        <w:rPr>
          <w:rFonts w:ascii="Arial" w:hAnsi="Arial" w:cs="Arial"/>
          <w:color w:val="auto"/>
          <w:sz w:val="22"/>
          <w:szCs w:val="22"/>
        </w:rPr>
        <w:t xml:space="preserve">Some of these incidents have resulted in serious injuries to project workers, while others had the potential to inflict severe impacts on personnel and asset safety. </w:t>
      </w:r>
      <w:r w:rsidR="00B2349C">
        <w:rPr>
          <w:rFonts w:ascii="Arial" w:hAnsi="Arial" w:cs="Arial"/>
          <w:color w:val="auto"/>
          <w:sz w:val="22"/>
          <w:szCs w:val="22"/>
        </w:rPr>
        <w:t>Some, b</w:t>
      </w:r>
      <w:r>
        <w:rPr>
          <w:rFonts w:ascii="Arial" w:hAnsi="Arial" w:cs="Arial"/>
          <w:color w:val="auto"/>
          <w:sz w:val="22"/>
          <w:szCs w:val="22"/>
        </w:rPr>
        <w:t>ut not all</w:t>
      </w:r>
      <w:r w:rsidR="00D23935">
        <w:rPr>
          <w:rFonts w:ascii="Arial" w:hAnsi="Arial" w:cs="Arial"/>
          <w:color w:val="auto"/>
          <w:sz w:val="22"/>
          <w:szCs w:val="22"/>
        </w:rPr>
        <w:t>,</w:t>
      </w:r>
      <w:r>
        <w:rPr>
          <w:rFonts w:ascii="Arial" w:hAnsi="Arial" w:cs="Arial"/>
          <w:color w:val="auto"/>
          <w:sz w:val="22"/>
          <w:szCs w:val="22"/>
        </w:rPr>
        <w:t xml:space="preserve"> incidents have been reported to the relevant workplace safety regulator.  </w:t>
      </w:r>
    </w:p>
    <w:p w14:paraId="0CEE6EEE" w14:textId="00605B9E" w:rsidR="00C66F7A" w:rsidRDefault="00C66F7A" w:rsidP="00C66F7A">
      <w:pPr>
        <w:pStyle w:val="Default"/>
        <w:spacing w:after="200" w:line="264" w:lineRule="auto"/>
        <w:ind w:left="360"/>
        <w:rPr>
          <w:rFonts w:ascii="Arial" w:hAnsi="Arial" w:cs="Arial"/>
          <w:color w:val="auto"/>
          <w:sz w:val="22"/>
          <w:szCs w:val="22"/>
        </w:rPr>
      </w:pPr>
      <w:r>
        <w:rPr>
          <w:rFonts w:ascii="Arial" w:hAnsi="Arial" w:cs="Arial"/>
          <w:color w:val="auto"/>
          <w:sz w:val="22"/>
          <w:szCs w:val="22"/>
        </w:rPr>
        <w:t>Further, while some incidents remain under investigation to determine the root cause analysis, other incidents may not</w:t>
      </w:r>
      <w:r w:rsidR="005C1B59">
        <w:rPr>
          <w:rFonts w:ascii="Arial" w:hAnsi="Arial" w:cs="Arial"/>
          <w:color w:val="auto"/>
          <w:sz w:val="22"/>
          <w:szCs w:val="22"/>
        </w:rPr>
        <w:t xml:space="preserve"> have</w:t>
      </w:r>
      <w:r>
        <w:rPr>
          <w:rFonts w:ascii="Arial" w:hAnsi="Arial" w:cs="Arial"/>
          <w:color w:val="auto"/>
          <w:sz w:val="22"/>
          <w:szCs w:val="22"/>
        </w:rPr>
        <w:t xml:space="preserve"> been subject</w:t>
      </w:r>
      <w:r w:rsidR="00D874C0">
        <w:rPr>
          <w:rFonts w:ascii="Arial" w:hAnsi="Arial" w:cs="Arial"/>
          <w:color w:val="auto"/>
          <w:sz w:val="22"/>
          <w:szCs w:val="22"/>
        </w:rPr>
        <w:t>ed</w:t>
      </w:r>
      <w:r>
        <w:rPr>
          <w:rFonts w:ascii="Arial" w:hAnsi="Arial" w:cs="Arial"/>
          <w:color w:val="auto"/>
          <w:sz w:val="22"/>
          <w:szCs w:val="22"/>
        </w:rPr>
        <w:t xml:space="preserve"> to the same rigour of process.</w:t>
      </w:r>
    </w:p>
    <w:p w14:paraId="32224BFF" w14:textId="0F8A2D4F" w:rsidR="00C66F7A" w:rsidRDefault="00C66F7A" w:rsidP="00C66F7A">
      <w:pPr>
        <w:pStyle w:val="Default"/>
        <w:spacing w:after="200" w:line="264" w:lineRule="auto"/>
        <w:ind w:firstLine="360"/>
        <w:rPr>
          <w:rFonts w:ascii="Arial" w:hAnsi="Arial" w:cs="Arial"/>
          <w:color w:val="auto"/>
          <w:sz w:val="22"/>
          <w:szCs w:val="22"/>
        </w:rPr>
      </w:pPr>
      <w:r>
        <w:rPr>
          <w:rFonts w:ascii="Arial" w:hAnsi="Arial" w:cs="Arial"/>
          <w:color w:val="auto"/>
          <w:sz w:val="22"/>
          <w:szCs w:val="22"/>
        </w:rPr>
        <w:t xml:space="preserve">Examples of </w:t>
      </w:r>
      <w:r w:rsidR="00535088">
        <w:rPr>
          <w:rFonts w:ascii="Arial" w:hAnsi="Arial" w:cs="Arial"/>
          <w:color w:val="auto"/>
          <w:sz w:val="22"/>
          <w:szCs w:val="22"/>
        </w:rPr>
        <w:t xml:space="preserve">serious </w:t>
      </w:r>
      <w:r>
        <w:rPr>
          <w:rFonts w:ascii="Arial" w:hAnsi="Arial" w:cs="Arial"/>
          <w:color w:val="auto"/>
          <w:sz w:val="22"/>
          <w:szCs w:val="22"/>
        </w:rPr>
        <w:t>incidents that the Office is aware of include:</w:t>
      </w:r>
    </w:p>
    <w:p w14:paraId="68CA3D91"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Turbine blades falling to the ground during operations (three incidents in Victoria, one in NSW and one in WA)</w:t>
      </w:r>
    </w:p>
    <w:p w14:paraId="6871C4BA" w14:textId="235EDD0A" w:rsidR="00250DD9" w:rsidRDefault="00454853"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An operating turbine tower</w:t>
      </w:r>
      <w:r w:rsidR="00560C43">
        <w:rPr>
          <w:rFonts w:ascii="Arial" w:hAnsi="Arial" w:cs="Arial"/>
          <w:color w:val="auto"/>
          <w:sz w:val="22"/>
          <w:szCs w:val="22"/>
        </w:rPr>
        <w:t xml:space="preserve"> collapsing at the mid-tower height level,</w:t>
      </w:r>
      <w:r w:rsidR="00D61045">
        <w:rPr>
          <w:rFonts w:ascii="Arial" w:hAnsi="Arial" w:cs="Arial"/>
          <w:color w:val="auto"/>
          <w:sz w:val="22"/>
          <w:szCs w:val="22"/>
        </w:rPr>
        <w:t xml:space="preserve"> </w:t>
      </w:r>
      <w:r w:rsidR="00560C43">
        <w:rPr>
          <w:rFonts w:ascii="Arial" w:hAnsi="Arial" w:cs="Arial"/>
          <w:color w:val="auto"/>
          <w:sz w:val="22"/>
          <w:szCs w:val="22"/>
        </w:rPr>
        <w:t>with the</w:t>
      </w:r>
      <w:r w:rsidR="00D61045">
        <w:rPr>
          <w:rFonts w:ascii="Arial" w:hAnsi="Arial" w:cs="Arial"/>
          <w:color w:val="auto"/>
          <w:sz w:val="22"/>
          <w:szCs w:val="22"/>
        </w:rPr>
        <w:t xml:space="preserve"> top half of tower essential</w:t>
      </w:r>
      <w:r w:rsidR="00F9315A">
        <w:rPr>
          <w:rFonts w:ascii="Arial" w:hAnsi="Arial" w:cs="Arial"/>
          <w:color w:val="auto"/>
          <w:sz w:val="22"/>
          <w:szCs w:val="22"/>
        </w:rPr>
        <w:t xml:space="preserve">ly </w:t>
      </w:r>
      <w:r w:rsidR="009710A8">
        <w:rPr>
          <w:rFonts w:ascii="Arial" w:hAnsi="Arial" w:cs="Arial"/>
          <w:color w:val="auto"/>
          <w:sz w:val="22"/>
          <w:szCs w:val="22"/>
        </w:rPr>
        <w:t>‘b</w:t>
      </w:r>
      <w:r w:rsidR="00F9315A">
        <w:rPr>
          <w:rFonts w:ascii="Arial" w:hAnsi="Arial" w:cs="Arial"/>
          <w:color w:val="auto"/>
          <w:sz w:val="22"/>
          <w:szCs w:val="22"/>
        </w:rPr>
        <w:t>ent over</w:t>
      </w:r>
      <w:r w:rsidR="009710A8">
        <w:rPr>
          <w:rFonts w:ascii="Arial" w:hAnsi="Arial" w:cs="Arial"/>
          <w:color w:val="auto"/>
          <w:sz w:val="22"/>
          <w:szCs w:val="22"/>
        </w:rPr>
        <w:t>’</w:t>
      </w:r>
      <w:r w:rsidR="00F9315A">
        <w:rPr>
          <w:rFonts w:ascii="Arial" w:hAnsi="Arial" w:cs="Arial"/>
          <w:color w:val="auto"/>
          <w:sz w:val="22"/>
          <w:szCs w:val="22"/>
        </w:rPr>
        <w:t xml:space="preserve"> itself</w:t>
      </w:r>
      <w:r w:rsidR="006C2DEA">
        <w:rPr>
          <w:rFonts w:ascii="Arial" w:hAnsi="Arial" w:cs="Arial"/>
          <w:color w:val="auto"/>
          <w:sz w:val="22"/>
          <w:szCs w:val="22"/>
        </w:rPr>
        <w:t>, reaching the g</w:t>
      </w:r>
      <w:r w:rsidR="00250DD9">
        <w:rPr>
          <w:rFonts w:ascii="Arial" w:hAnsi="Arial" w:cs="Arial"/>
          <w:color w:val="auto"/>
          <w:sz w:val="22"/>
          <w:szCs w:val="22"/>
        </w:rPr>
        <w:t>r</w:t>
      </w:r>
      <w:r w:rsidR="006C2DEA">
        <w:rPr>
          <w:rFonts w:ascii="Arial" w:hAnsi="Arial" w:cs="Arial"/>
          <w:color w:val="auto"/>
          <w:sz w:val="22"/>
          <w:szCs w:val="22"/>
        </w:rPr>
        <w:t>ound (WA)</w:t>
      </w:r>
    </w:p>
    <w:p w14:paraId="2B18DC91" w14:textId="283E969D" w:rsidR="00D874C0" w:rsidRDefault="00250DD9"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 xml:space="preserve">A blade fire </w:t>
      </w:r>
      <w:r w:rsidR="002518BA">
        <w:rPr>
          <w:rFonts w:ascii="Arial" w:hAnsi="Arial" w:cs="Arial"/>
          <w:color w:val="auto"/>
          <w:sz w:val="22"/>
          <w:szCs w:val="22"/>
        </w:rPr>
        <w:t>that destroyed the blade</w:t>
      </w:r>
      <w:r w:rsidR="001B36B5">
        <w:rPr>
          <w:rFonts w:ascii="Arial" w:hAnsi="Arial" w:cs="Arial"/>
          <w:color w:val="auto"/>
          <w:sz w:val="22"/>
          <w:szCs w:val="22"/>
        </w:rPr>
        <w:t xml:space="preserve">, burning </w:t>
      </w:r>
      <w:r w:rsidR="00CC369A">
        <w:rPr>
          <w:rFonts w:ascii="Arial" w:hAnsi="Arial" w:cs="Arial"/>
          <w:color w:val="auto"/>
          <w:sz w:val="22"/>
          <w:szCs w:val="22"/>
        </w:rPr>
        <w:t xml:space="preserve">the blade </w:t>
      </w:r>
      <w:r w:rsidR="00076F49">
        <w:rPr>
          <w:rFonts w:ascii="Arial" w:hAnsi="Arial" w:cs="Arial"/>
          <w:color w:val="auto"/>
          <w:sz w:val="22"/>
          <w:szCs w:val="22"/>
        </w:rPr>
        <w:t>down to the hub (NSW)</w:t>
      </w:r>
      <w:r w:rsidR="00560C43">
        <w:rPr>
          <w:rFonts w:ascii="Arial" w:hAnsi="Arial" w:cs="Arial"/>
          <w:color w:val="auto"/>
          <w:sz w:val="22"/>
          <w:szCs w:val="22"/>
        </w:rPr>
        <w:t xml:space="preserve"> </w:t>
      </w:r>
    </w:p>
    <w:p w14:paraId="31A8CBE7"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A construction worker’s hand being severed while cleaning a concrete pump at a wind farm site (NSW)</w:t>
      </w:r>
    </w:p>
    <w:p w14:paraId="33A329CC" w14:textId="4A890086"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Rollover of blade transportation vehicles on public roads (Tasmania and Victoria)</w:t>
      </w:r>
    </w:p>
    <w:p w14:paraId="15873886"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Blade transportation vehicles colliding with power lines or other infrastructure (Victoria)</w:t>
      </w:r>
    </w:p>
    <w:p w14:paraId="7F90361B" w14:textId="77777777" w:rsidR="00C66F7A" w:rsidRDefault="00C66F7A" w:rsidP="00C66F7A">
      <w:pPr>
        <w:pStyle w:val="Default"/>
        <w:numPr>
          <w:ilvl w:val="0"/>
          <w:numId w:val="23"/>
        </w:numPr>
        <w:spacing w:after="200" w:line="264" w:lineRule="auto"/>
        <w:rPr>
          <w:rFonts w:ascii="Arial" w:hAnsi="Arial" w:cs="Arial"/>
          <w:color w:val="auto"/>
          <w:sz w:val="22"/>
          <w:szCs w:val="22"/>
        </w:rPr>
      </w:pPr>
      <w:r w:rsidRPr="00053E56">
        <w:rPr>
          <w:rFonts w:ascii="Arial" w:hAnsi="Arial" w:cs="Arial"/>
          <w:color w:val="auto"/>
          <w:sz w:val="22"/>
          <w:szCs w:val="22"/>
        </w:rPr>
        <w:t>Blade transportation vehicles colliding with other moving vehicles (NSW)</w:t>
      </w:r>
    </w:p>
    <w:p w14:paraId="5A78AA4F" w14:textId="58DA5202" w:rsidR="00C66F7A" w:rsidRDefault="00C66F7A" w:rsidP="00C66F7A">
      <w:pPr>
        <w:pStyle w:val="Default"/>
        <w:numPr>
          <w:ilvl w:val="0"/>
          <w:numId w:val="23"/>
        </w:numPr>
        <w:spacing w:after="200" w:line="264" w:lineRule="auto"/>
        <w:rPr>
          <w:rFonts w:ascii="Arial" w:hAnsi="Arial" w:cs="Arial"/>
          <w:color w:val="auto"/>
          <w:sz w:val="22"/>
          <w:szCs w:val="22"/>
        </w:rPr>
      </w:pPr>
      <w:r w:rsidRPr="00053E56">
        <w:rPr>
          <w:rFonts w:ascii="Arial" w:hAnsi="Arial" w:cs="Arial"/>
          <w:color w:val="auto"/>
          <w:sz w:val="22"/>
          <w:szCs w:val="22"/>
        </w:rPr>
        <w:t>Roll</w:t>
      </w:r>
      <w:r>
        <w:rPr>
          <w:rFonts w:ascii="Arial" w:hAnsi="Arial" w:cs="Arial"/>
          <w:color w:val="auto"/>
          <w:sz w:val="22"/>
          <w:szCs w:val="22"/>
        </w:rPr>
        <w:t>over of onsite cranes (three incidents in Victoria)</w:t>
      </w:r>
    </w:p>
    <w:p w14:paraId="622A8651"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Workers falling from significant heights inside wind turbine towers (NSW and Tasmania)</w:t>
      </w:r>
    </w:p>
    <w:p w14:paraId="146FC7AA"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Inability for emergency responders to quickly locate injured worker on site (Tasmania)</w:t>
      </w:r>
    </w:p>
    <w:p w14:paraId="1F4B905D" w14:textId="77777777"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Workers involved in vehicle accidents to or from the project site (Tasmania)</w:t>
      </w:r>
    </w:p>
    <w:p w14:paraId="30EDFDD4" w14:textId="02D7E372" w:rsidR="00C66F7A"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 xml:space="preserve">Fires allegedly caused by </w:t>
      </w:r>
      <w:r w:rsidR="00CB371A">
        <w:rPr>
          <w:rFonts w:ascii="Arial" w:hAnsi="Arial" w:cs="Arial"/>
          <w:color w:val="auto"/>
          <w:sz w:val="22"/>
          <w:szCs w:val="22"/>
        </w:rPr>
        <w:t>private power lines installed to connect renewable generation assets to the grid</w:t>
      </w:r>
      <w:r>
        <w:rPr>
          <w:rFonts w:ascii="Arial" w:hAnsi="Arial" w:cs="Arial"/>
          <w:color w:val="auto"/>
          <w:sz w:val="22"/>
          <w:szCs w:val="22"/>
        </w:rPr>
        <w:t xml:space="preserve"> (NSW)</w:t>
      </w:r>
    </w:p>
    <w:p w14:paraId="6CA3C4F5" w14:textId="0875390C" w:rsidR="00C60EF0" w:rsidRDefault="00C60EF0"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Fire</w:t>
      </w:r>
      <w:r w:rsidR="00822F46">
        <w:rPr>
          <w:rFonts w:ascii="Arial" w:hAnsi="Arial" w:cs="Arial"/>
          <w:color w:val="auto"/>
          <w:sz w:val="22"/>
          <w:szCs w:val="22"/>
        </w:rPr>
        <w:t>s allegedly caused by solar farm control equipment (V</w:t>
      </w:r>
      <w:r w:rsidR="0074115F">
        <w:rPr>
          <w:rFonts w:ascii="Arial" w:hAnsi="Arial" w:cs="Arial"/>
          <w:color w:val="auto"/>
          <w:sz w:val="22"/>
          <w:szCs w:val="22"/>
        </w:rPr>
        <w:t>ictoria)</w:t>
      </w:r>
    </w:p>
    <w:p w14:paraId="352F70C7" w14:textId="77777777" w:rsidR="00C66F7A" w:rsidRPr="00053E56" w:rsidRDefault="00C66F7A" w:rsidP="00C66F7A">
      <w:pPr>
        <w:pStyle w:val="Default"/>
        <w:numPr>
          <w:ilvl w:val="0"/>
          <w:numId w:val="23"/>
        </w:numPr>
        <w:spacing w:after="200" w:line="264" w:lineRule="auto"/>
        <w:rPr>
          <w:rFonts w:ascii="Arial" w:hAnsi="Arial" w:cs="Arial"/>
          <w:color w:val="auto"/>
          <w:sz w:val="22"/>
          <w:szCs w:val="22"/>
        </w:rPr>
      </w:pPr>
      <w:r>
        <w:rPr>
          <w:rFonts w:ascii="Arial" w:hAnsi="Arial" w:cs="Arial"/>
          <w:color w:val="auto"/>
          <w:sz w:val="22"/>
          <w:szCs w:val="22"/>
        </w:rPr>
        <w:t>Inappropriate or illegal use of firearms causing damage to transmission lines and turbines (Victoria).</w:t>
      </w:r>
    </w:p>
    <w:p w14:paraId="21FD53BF" w14:textId="77777777" w:rsidR="002A1DE1" w:rsidRDefault="002A1DE1" w:rsidP="00C66F7A">
      <w:pPr>
        <w:pStyle w:val="Default"/>
        <w:spacing w:after="200" w:line="264" w:lineRule="auto"/>
        <w:ind w:left="360"/>
        <w:rPr>
          <w:rFonts w:ascii="Arial" w:hAnsi="Arial" w:cs="Arial"/>
          <w:color w:val="auto"/>
          <w:sz w:val="22"/>
          <w:szCs w:val="22"/>
        </w:rPr>
      </w:pPr>
    </w:p>
    <w:p w14:paraId="43246FEF" w14:textId="77777777" w:rsidR="002A1DE1" w:rsidRDefault="002A1DE1" w:rsidP="00C66F7A">
      <w:pPr>
        <w:pStyle w:val="Default"/>
        <w:spacing w:after="200" w:line="264" w:lineRule="auto"/>
        <w:ind w:left="360"/>
        <w:rPr>
          <w:rFonts w:ascii="Arial" w:hAnsi="Arial" w:cs="Arial"/>
          <w:color w:val="auto"/>
          <w:sz w:val="22"/>
          <w:szCs w:val="22"/>
        </w:rPr>
      </w:pPr>
    </w:p>
    <w:p w14:paraId="234DB80E" w14:textId="77777777" w:rsidR="002A1DE1" w:rsidRDefault="002A1DE1" w:rsidP="00C66F7A">
      <w:pPr>
        <w:pStyle w:val="Default"/>
        <w:spacing w:after="200" w:line="264" w:lineRule="auto"/>
        <w:ind w:left="360"/>
        <w:rPr>
          <w:rFonts w:ascii="Arial" w:hAnsi="Arial" w:cs="Arial"/>
          <w:color w:val="auto"/>
          <w:sz w:val="22"/>
          <w:szCs w:val="22"/>
        </w:rPr>
      </w:pPr>
    </w:p>
    <w:p w14:paraId="02A23A3F" w14:textId="77777777" w:rsidR="002A1DE1" w:rsidRDefault="002A1DE1" w:rsidP="00C66F7A">
      <w:pPr>
        <w:pStyle w:val="Default"/>
        <w:spacing w:after="200" w:line="264" w:lineRule="auto"/>
        <w:ind w:left="360"/>
        <w:rPr>
          <w:rFonts w:ascii="Arial" w:hAnsi="Arial" w:cs="Arial"/>
          <w:color w:val="auto"/>
          <w:sz w:val="22"/>
          <w:szCs w:val="22"/>
        </w:rPr>
      </w:pPr>
    </w:p>
    <w:p w14:paraId="7806560F" w14:textId="779AA469" w:rsidR="00C66F7A" w:rsidRDefault="00C66F7A" w:rsidP="00C66F7A">
      <w:pPr>
        <w:pStyle w:val="Default"/>
        <w:spacing w:after="200" w:line="264" w:lineRule="auto"/>
        <w:ind w:left="360"/>
        <w:rPr>
          <w:rFonts w:ascii="Arial" w:hAnsi="Arial" w:cs="Arial"/>
          <w:color w:val="auto"/>
          <w:sz w:val="22"/>
          <w:szCs w:val="22"/>
        </w:rPr>
      </w:pPr>
      <w:r>
        <w:rPr>
          <w:rFonts w:ascii="Arial" w:hAnsi="Arial" w:cs="Arial"/>
          <w:color w:val="auto"/>
          <w:sz w:val="22"/>
          <w:szCs w:val="22"/>
        </w:rPr>
        <w:lastRenderedPageBreak/>
        <w:t>Given the seriousness of these incidents and the potential increase in new incidents as the industry grows</w:t>
      </w:r>
      <w:r w:rsidR="006675CB">
        <w:rPr>
          <w:rFonts w:ascii="Arial" w:hAnsi="Arial" w:cs="Arial"/>
          <w:color w:val="auto"/>
          <w:sz w:val="22"/>
          <w:szCs w:val="22"/>
        </w:rPr>
        <w:t xml:space="preserve"> rapidly</w:t>
      </w:r>
      <w:r>
        <w:rPr>
          <w:rFonts w:ascii="Arial" w:hAnsi="Arial" w:cs="Arial"/>
          <w:color w:val="auto"/>
          <w:sz w:val="22"/>
          <w:szCs w:val="22"/>
        </w:rPr>
        <w:t>, along with the growth in scale and size of equipment, the industry and the broader community would benefit greatly from an industry convention and forum that encourages:</w:t>
      </w:r>
    </w:p>
    <w:p w14:paraId="26208080" w14:textId="7F7E007D" w:rsidR="00C66F7A"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Full transparency of material safety incidents to the industry body</w:t>
      </w:r>
      <w:r w:rsidR="00E3172E">
        <w:rPr>
          <w:rFonts w:ascii="Arial" w:hAnsi="Arial" w:cs="Arial"/>
          <w:color w:val="auto"/>
          <w:sz w:val="22"/>
          <w:szCs w:val="22"/>
        </w:rPr>
        <w:t>, or regulator,</w:t>
      </w:r>
      <w:r>
        <w:rPr>
          <w:rFonts w:ascii="Arial" w:hAnsi="Arial" w:cs="Arial"/>
          <w:color w:val="auto"/>
          <w:sz w:val="22"/>
          <w:szCs w:val="22"/>
        </w:rPr>
        <w:t xml:space="preserve"> as soon as they occur</w:t>
      </w:r>
    </w:p>
    <w:p w14:paraId="47EE7C80" w14:textId="77777777" w:rsidR="00C66F7A"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Reporting of the incident to the relevant workplace safety regulator (even if no injuries occur)</w:t>
      </w:r>
    </w:p>
    <w:p w14:paraId="02D5704E" w14:textId="29C95A0E" w:rsidR="00020C41" w:rsidRDefault="00020C41"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Reporting of the incident</w:t>
      </w:r>
      <w:r w:rsidR="001B05E8">
        <w:rPr>
          <w:rFonts w:ascii="Arial" w:hAnsi="Arial" w:cs="Arial"/>
          <w:color w:val="auto"/>
          <w:sz w:val="22"/>
          <w:szCs w:val="22"/>
        </w:rPr>
        <w:t xml:space="preserve"> to the industry across Australia, in particular</w:t>
      </w:r>
      <w:r w:rsidR="005C1B59">
        <w:rPr>
          <w:rFonts w:ascii="Arial" w:hAnsi="Arial" w:cs="Arial"/>
          <w:color w:val="auto"/>
          <w:sz w:val="22"/>
          <w:szCs w:val="22"/>
        </w:rPr>
        <w:t>,</w:t>
      </w:r>
      <w:r w:rsidR="001B05E8">
        <w:rPr>
          <w:rFonts w:ascii="Arial" w:hAnsi="Arial" w:cs="Arial"/>
          <w:color w:val="auto"/>
          <w:sz w:val="22"/>
          <w:szCs w:val="22"/>
        </w:rPr>
        <w:t xml:space="preserve"> where</w:t>
      </w:r>
      <w:r w:rsidR="00932C37">
        <w:rPr>
          <w:rFonts w:ascii="Arial" w:hAnsi="Arial" w:cs="Arial"/>
          <w:color w:val="auto"/>
          <w:sz w:val="22"/>
          <w:szCs w:val="22"/>
        </w:rPr>
        <w:t>, for example,</w:t>
      </w:r>
      <w:r w:rsidR="001B05E8">
        <w:rPr>
          <w:rFonts w:ascii="Arial" w:hAnsi="Arial" w:cs="Arial"/>
          <w:color w:val="auto"/>
          <w:sz w:val="22"/>
          <w:szCs w:val="22"/>
        </w:rPr>
        <w:t xml:space="preserve"> the</w:t>
      </w:r>
      <w:r w:rsidR="00932C37">
        <w:rPr>
          <w:rFonts w:ascii="Arial" w:hAnsi="Arial" w:cs="Arial"/>
          <w:color w:val="auto"/>
          <w:sz w:val="22"/>
          <w:szCs w:val="22"/>
        </w:rPr>
        <w:t xml:space="preserve"> </w:t>
      </w:r>
      <w:r w:rsidR="00160624">
        <w:rPr>
          <w:rFonts w:ascii="Arial" w:hAnsi="Arial" w:cs="Arial"/>
          <w:color w:val="auto"/>
          <w:sz w:val="22"/>
          <w:szCs w:val="22"/>
        </w:rPr>
        <w:t xml:space="preserve">affected </w:t>
      </w:r>
      <w:r w:rsidR="00932C37">
        <w:rPr>
          <w:rFonts w:ascii="Arial" w:hAnsi="Arial" w:cs="Arial"/>
          <w:color w:val="auto"/>
          <w:sz w:val="22"/>
          <w:szCs w:val="22"/>
        </w:rPr>
        <w:t>wind turbine make</w:t>
      </w:r>
      <w:r w:rsidR="005C1B59">
        <w:rPr>
          <w:rFonts w:ascii="Arial" w:hAnsi="Arial" w:cs="Arial"/>
          <w:color w:val="auto"/>
          <w:sz w:val="22"/>
          <w:szCs w:val="22"/>
        </w:rPr>
        <w:t>,</w:t>
      </w:r>
      <w:r w:rsidR="00932C37">
        <w:rPr>
          <w:rFonts w:ascii="Arial" w:hAnsi="Arial" w:cs="Arial"/>
          <w:color w:val="auto"/>
          <w:sz w:val="22"/>
          <w:szCs w:val="22"/>
        </w:rPr>
        <w:t xml:space="preserve"> and model</w:t>
      </w:r>
      <w:r w:rsidR="00160624">
        <w:rPr>
          <w:rFonts w:ascii="Arial" w:hAnsi="Arial" w:cs="Arial"/>
          <w:color w:val="auto"/>
          <w:sz w:val="22"/>
          <w:szCs w:val="22"/>
        </w:rPr>
        <w:t xml:space="preserve"> is in use elsewhere in the Australian fleet</w:t>
      </w:r>
    </w:p>
    <w:p w14:paraId="676A332E" w14:textId="798B1678" w:rsidR="00A602E1" w:rsidRDefault="00C66F7A" w:rsidP="006B41DC">
      <w:pPr>
        <w:pStyle w:val="Default"/>
        <w:numPr>
          <w:ilvl w:val="0"/>
          <w:numId w:val="24"/>
        </w:numPr>
        <w:spacing w:after="200" w:line="264" w:lineRule="auto"/>
        <w:rPr>
          <w:rFonts w:ascii="Arial" w:hAnsi="Arial" w:cs="Arial"/>
          <w:color w:val="auto"/>
          <w:sz w:val="22"/>
          <w:szCs w:val="22"/>
        </w:rPr>
      </w:pPr>
      <w:r w:rsidRPr="00A602E1">
        <w:rPr>
          <w:rFonts w:ascii="Arial" w:hAnsi="Arial" w:cs="Arial"/>
          <w:color w:val="auto"/>
          <w:sz w:val="22"/>
          <w:szCs w:val="22"/>
        </w:rPr>
        <w:t>Ensuring that a proper investigation is conducted that determines the actual root causes of the incident</w:t>
      </w:r>
      <w:r w:rsidR="005C1B59">
        <w:rPr>
          <w:rFonts w:ascii="Arial" w:hAnsi="Arial" w:cs="Arial"/>
          <w:color w:val="auto"/>
          <w:sz w:val="22"/>
          <w:szCs w:val="22"/>
        </w:rPr>
        <w:t>,</w:t>
      </w:r>
      <w:r w:rsidR="004F72F9" w:rsidRPr="00A602E1">
        <w:rPr>
          <w:rFonts w:ascii="Arial" w:hAnsi="Arial" w:cs="Arial"/>
          <w:color w:val="auto"/>
          <w:sz w:val="22"/>
          <w:szCs w:val="22"/>
        </w:rPr>
        <w:t xml:space="preserve"> along with any </w:t>
      </w:r>
      <w:r w:rsidR="00A602E1" w:rsidRPr="00A602E1">
        <w:rPr>
          <w:rFonts w:ascii="Arial" w:hAnsi="Arial" w:cs="Arial"/>
          <w:color w:val="auto"/>
          <w:sz w:val="22"/>
          <w:szCs w:val="22"/>
        </w:rPr>
        <w:t xml:space="preserve">recommended </w:t>
      </w:r>
      <w:r w:rsidR="004F72F9" w:rsidRPr="00A602E1">
        <w:rPr>
          <w:rFonts w:ascii="Arial" w:hAnsi="Arial" w:cs="Arial"/>
          <w:color w:val="auto"/>
          <w:sz w:val="22"/>
          <w:szCs w:val="22"/>
        </w:rPr>
        <w:t>corrective</w:t>
      </w:r>
      <w:r w:rsidR="00C9129C" w:rsidRPr="00A602E1">
        <w:rPr>
          <w:rFonts w:ascii="Arial" w:hAnsi="Arial" w:cs="Arial"/>
          <w:color w:val="auto"/>
          <w:sz w:val="22"/>
          <w:szCs w:val="22"/>
        </w:rPr>
        <w:t xml:space="preserve"> actions</w:t>
      </w:r>
    </w:p>
    <w:p w14:paraId="47397975" w14:textId="00235B17" w:rsidR="00C66F7A" w:rsidRPr="00A602E1" w:rsidRDefault="00C66F7A" w:rsidP="006B41DC">
      <w:pPr>
        <w:pStyle w:val="Default"/>
        <w:numPr>
          <w:ilvl w:val="0"/>
          <w:numId w:val="24"/>
        </w:numPr>
        <w:spacing w:after="200" w:line="264" w:lineRule="auto"/>
        <w:rPr>
          <w:rFonts w:ascii="Arial" w:hAnsi="Arial" w:cs="Arial"/>
          <w:color w:val="auto"/>
          <w:sz w:val="22"/>
          <w:szCs w:val="22"/>
        </w:rPr>
      </w:pPr>
      <w:r w:rsidRPr="00A602E1">
        <w:rPr>
          <w:rFonts w:ascii="Arial" w:hAnsi="Arial" w:cs="Arial"/>
          <w:color w:val="auto"/>
          <w:sz w:val="22"/>
          <w:szCs w:val="22"/>
        </w:rPr>
        <w:t>Sharing the results of investigations so that other industry participants and regulators can learn from the experience and assess their own exposures and risks to a similar incident</w:t>
      </w:r>
    </w:p>
    <w:p w14:paraId="02F55D44" w14:textId="0BA77785" w:rsidR="00C66F7A"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In the event of systemic or mechanical</w:t>
      </w:r>
      <w:r w:rsidR="005C1B59">
        <w:rPr>
          <w:rFonts w:ascii="Arial" w:hAnsi="Arial" w:cs="Arial"/>
          <w:color w:val="auto"/>
          <w:sz w:val="22"/>
          <w:szCs w:val="22"/>
        </w:rPr>
        <w:t xml:space="preserve">, </w:t>
      </w:r>
      <w:r>
        <w:rPr>
          <w:rFonts w:ascii="Arial" w:hAnsi="Arial" w:cs="Arial"/>
          <w:color w:val="auto"/>
          <w:sz w:val="22"/>
          <w:szCs w:val="22"/>
        </w:rPr>
        <w:t>or operational failure, ensuring that other affected operators are aware and can take specific corrective actions on their fleet</w:t>
      </w:r>
    </w:p>
    <w:p w14:paraId="1A07B26D" w14:textId="77777777" w:rsidR="00C66F7A"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More broadly, implementing corrective actions as necessary across industry that arise from recommendations as a result of incident investigations</w:t>
      </w:r>
    </w:p>
    <w:p w14:paraId="3454C655" w14:textId="58DE6C42" w:rsidR="00C66F7A"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 xml:space="preserve">Facilitate a culture of continuous improvement and zero harm across the industry through transparency </w:t>
      </w:r>
      <w:r w:rsidR="00625A0A">
        <w:rPr>
          <w:rFonts w:ascii="Arial" w:hAnsi="Arial" w:cs="Arial"/>
          <w:color w:val="auto"/>
          <w:sz w:val="22"/>
          <w:szCs w:val="22"/>
        </w:rPr>
        <w:t xml:space="preserve">of incidents </w:t>
      </w:r>
      <w:r>
        <w:rPr>
          <w:rFonts w:ascii="Arial" w:hAnsi="Arial" w:cs="Arial"/>
          <w:color w:val="auto"/>
          <w:sz w:val="22"/>
          <w:szCs w:val="22"/>
        </w:rPr>
        <w:t xml:space="preserve">and </w:t>
      </w:r>
      <w:r w:rsidR="00902850">
        <w:rPr>
          <w:rFonts w:ascii="Arial" w:hAnsi="Arial" w:cs="Arial"/>
          <w:color w:val="auto"/>
          <w:sz w:val="22"/>
          <w:szCs w:val="22"/>
        </w:rPr>
        <w:t xml:space="preserve">resulting </w:t>
      </w:r>
      <w:r>
        <w:rPr>
          <w:rFonts w:ascii="Arial" w:hAnsi="Arial" w:cs="Arial"/>
          <w:color w:val="auto"/>
          <w:sz w:val="22"/>
          <w:szCs w:val="22"/>
        </w:rPr>
        <w:t>actions</w:t>
      </w:r>
    </w:p>
    <w:p w14:paraId="33498757" w14:textId="77777777" w:rsidR="00C66F7A" w:rsidRPr="004A235F" w:rsidRDefault="00C66F7A" w:rsidP="00C66F7A">
      <w:pPr>
        <w:pStyle w:val="Default"/>
        <w:numPr>
          <w:ilvl w:val="0"/>
          <w:numId w:val="24"/>
        </w:numPr>
        <w:spacing w:after="200" w:line="264" w:lineRule="auto"/>
        <w:rPr>
          <w:rFonts w:ascii="Arial" w:hAnsi="Arial" w:cs="Arial"/>
          <w:color w:val="auto"/>
          <w:sz w:val="22"/>
          <w:szCs w:val="22"/>
        </w:rPr>
      </w:pPr>
      <w:r>
        <w:rPr>
          <w:rFonts w:ascii="Arial" w:hAnsi="Arial" w:cs="Arial"/>
          <w:color w:val="auto"/>
          <w:sz w:val="22"/>
          <w:szCs w:val="22"/>
        </w:rPr>
        <w:t>Updating and/or developing appropriate guidelines regarding safety aspects of wind, solar, storage and transmission projects.</w:t>
      </w:r>
    </w:p>
    <w:p w14:paraId="26D9F3FE" w14:textId="32A0E8DC" w:rsidR="00C66F7A" w:rsidRDefault="00C66F7A" w:rsidP="00C66F7A">
      <w:pPr>
        <w:pStyle w:val="ListParagraph"/>
        <w:numPr>
          <w:ilvl w:val="0"/>
          <w:numId w:val="0"/>
        </w:numPr>
        <w:spacing w:line="264" w:lineRule="auto"/>
        <w:ind w:left="360"/>
        <w:rPr>
          <w:rFonts w:cs="Arial"/>
        </w:rPr>
      </w:pPr>
      <w:r>
        <w:rPr>
          <w:rFonts w:cs="Arial"/>
        </w:rPr>
        <w:t>These important matters have been raised and discussed with the leaders of the industry</w:t>
      </w:r>
      <w:r w:rsidR="007F2D2C">
        <w:rPr>
          <w:rFonts w:cs="Arial"/>
        </w:rPr>
        <w:t>. O</w:t>
      </w:r>
      <w:r>
        <w:rPr>
          <w:rFonts w:cs="Arial"/>
        </w:rPr>
        <w:t>ur Office looks forward to improvements in both transparency of incident information along with an improved safety record for the industry as a result.</w:t>
      </w:r>
    </w:p>
    <w:p w14:paraId="12721385" w14:textId="39268E01" w:rsidR="00C66F7A" w:rsidRDefault="00C66F7A" w:rsidP="00C66F7A">
      <w:pPr>
        <w:pStyle w:val="ListParagraph"/>
        <w:numPr>
          <w:ilvl w:val="0"/>
          <w:numId w:val="0"/>
        </w:numPr>
        <w:spacing w:line="264" w:lineRule="auto"/>
        <w:ind w:left="360"/>
        <w:rPr>
          <w:rFonts w:cs="Arial"/>
        </w:rPr>
      </w:pPr>
      <w:r>
        <w:rPr>
          <w:rFonts w:cs="Arial"/>
        </w:rPr>
        <w:t>Finally, large-scale renewable projects do not currently require a building permit as the structures do not correlate to the existing National Construction Code. Therefore, the regular checks and balances provided for by a building permit</w:t>
      </w:r>
      <w:r w:rsidR="005C1B59">
        <w:rPr>
          <w:rFonts w:cs="Arial"/>
        </w:rPr>
        <w:t xml:space="preserve"> </w:t>
      </w:r>
      <w:r>
        <w:rPr>
          <w:rFonts w:cs="Arial"/>
        </w:rPr>
        <w:t xml:space="preserve">that </w:t>
      </w:r>
      <w:r w:rsidR="005C1B59">
        <w:rPr>
          <w:rFonts w:cs="Arial"/>
        </w:rPr>
        <w:t xml:space="preserve">is </w:t>
      </w:r>
      <w:r>
        <w:rPr>
          <w:rFonts w:cs="Arial"/>
        </w:rPr>
        <w:t>in place when building</w:t>
      </w:r>
      <w:r w:rsidR="005C1B59">
        <w:rPr>
          <w:rFonts w:cs="Arial"/>
        </w:rPr>
        <w:t>,</w:t>
      </w:r>
      <w:r>
        <w:rPr>
          <w:rFonts w:cs="Arial"/>
        </w:rPr>
        <w:t xml:space="preserve"> say</w:t>
      </w:r>
      <w:r w:rsidR="005C1B59">
        <w:rPr>
          <w:rFonts w:cs="Arial"/>
        </w:rPr>
        <w:t>,</w:t>
      </w:r>
      <w:r>
        <w:rPr>
          <w:rFonts w:cs="Arial"/>
        </w:rPr>
        <w:t xml:space="preserve"> a 50-storey building, are currently not present when constructing a fleet of</w:t>
      </w:r>
      <w:r w:rsidR="00FD5CAA">
        <w:rPr>
          <w:rFonts w:cs="Arial"/>
        </w:rPr>
        <w:t>, say</w:t>
      </w:r>
      <w:r w:rsidR="008C5E54">
        <w:rPr>
          <w:rFonts w:cs="Arial"/>
        </w:rPr>
        <w:t>,</w:t>
      </w:r>
      <w:r>
        <w:rPr>
          <w:rFonts w:cs="Arial"/>
        </w:rPr>
        <w:t xml:space="preserve"> 280 metre tip-height wind turbines. The rationale for excluding large-scale renewable power stations from requiring a building permit should be re-assessed to determine whether a revision is appropriate.</w:t>
      </w:r>
    </w:p>
    <w:p w14:paraId="094863B3" w14:textId="2E5367D1" w:rsidR="008C5E54" w:rsidRDefault="008C5E54" w:rsidP="00C66F7A">
      <w:pPr>
        <w:pStyle w:val="ListParagraph"/>
        <w:numPr>
          <w:ilvl w:val="0"/>
          <w:numId w:val="0"/>
        </w:numPr>
        <w:spacing w:line="264" w:lineRule="auto"/>
        <w:ind w:left="360"/>
        <w:rPr>
          <w:rFonts w:cs="Arial"/>
        </w:rPr>
      </w:pPr>
      <w:r>
        <w:rPr>
          <w:rFonts w:cs="Arial"/>
        </w:rPr>
        <w:t>The emerging offshore wind industry</w:t>
      </w:r>
      <w:r w:rsidR="00FB3C41">
        <w:rPr>
          <w:rFonts w:cs="Arial"/>
        </w:rPr>
        <w:t xml:space="preserve"> will bring </w:t>
      </w:r>
      <w:r w:rsidR="005C1B59">
        <w:rPr>
          <w:rFonts w:cs="Arial"/>
        </w:rPr>
        <w:t xml:space="preserve">a </w:t>
      </w:r>
      <w:r w:rsidR="00FB3C41">
        <w:rPr>
          <w:rFonts w:cs="Arial"/>
        </w:rPr>
        <w:t>new dimension to safety</w:t>
      </w:r>
      <w:r w:rsidR="00A436ED">
        <w:rPr>
          <w:rFonts w:cs="Arial"/>
        </w:rPr>
        <w:t xml:space="preserve"> and</w:t>
      </w:r>
      <w:r w:rsidR="000604EB">
        <w:rPr>
          <w:rFonts w:cs="Arial"/>
        </w:rPr>
        <w:t xml:space="preserve"> risks posed by the nature of the operating environment</w:t>
      </w:r>
      <w:r w:rsidR="00986C78">
        <w:rPr>
          <w:rFonts w:cs="Arial"/>
        </w:rPr>
        <w:t xml:space="preserve">. There may be a pragmatic </w:t>
      </w:r>
      <w:r w:rsidR="0071560F">
        <w:rPr>
          <w:rFonts w:cs="Arial"/>
        </w:rPr>
        <w:t xml:space="preserve">approach here to establish an overall safety regulator for </w:t>
      </w:r>
      <w:r w:rsidR="00E85CB2">
        <w:rPr>
          <w:rFonts w:cs="Arial"/>
        </w:rPr>
        <w:t>onshore and offshore wind farms and provide</w:t>
      </w:r>
      <w:r w:rsidR="009E4BD4">
        <w:rPr>
          <w:rFonts w:cs="Arial"/>
        </w:rPr>
        <w:t xml:space="preserve"> the leadership and resources to properly tackle th</w:t>
      </w:r>
      <w:r w:rsidR="00E059E1">
        <w:rPr>
          <w:rFonts w:cs="Arial"/>
        </w:rPr>
        <w:t>e tasks and issues raised above.</w:t>
      </w:r>
      <w:r w:rsidR="009E4BD4">
        <w:rPr>
          <w:rFonts w:cs="Arial"/>
        </w:rPr>
        <w:t xml:space="preserve"> </w:t>
      </w:r>
    </w:p>
    <w:p w14:paraId="3D638A4B" w14:textId="77777777" w:rsidR="00C66F7A" w:rsidRPr="00FC45E9" w:rsidRDefault="00C66F7A" w:rsidP="00C66F7A">
      <w:pPr>
        <w:pStyle w:val="ListParagraph"/>
        <w:numPr>
          <w:ilvl w:val="1"/>
          <w:numId w:val="8"/>
        </w:numPr>
        <w:spacing w:line="264" w:lineRule="auto"/>
        <w:rPr>
          <w:rFonts w:cs="Arial"/>
          <w:b/>
        </w:rPr>
      </w:pPr>
      <w:r w:rsidRPr="00FC45E9">
        <w:rPr>
          <w:rFonts w:cs="Arial"/>
          <w:b/>
        </w:rPr>
        <w:t>Recommendations</w:t>
      </w:r>
    </w:p>
    <w:p w14:paraId="2EBD22D5"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 xml:space="preserve">Federal and state governments should continue to assess the outcomes of research into wind farms and health, including outcomes of the two NHMRC funded wind farm health studies and </w:t>
      </w:r>
      <w:r>
        <w:rPr>
          <w:rFonts w:cs="Arial"/>
        </w:rPr>
        <w:t>findings</w:t>
      </w:r>
      <w:r w:rsidRPr="00FC45E9">
        <w:rPr>
          <w:rFonts w:cs="Arial"/>
        </w:rPr>
        <w:t xml:space="preserve"> of the </w:t>
      </w:r>
      <w:r>
        <w:rPr>
          <w:rFonts w:cs="Arial"/>
        </w:rPr>
        <w:t>Independent Scientific Committee on Wind Turbines</w:t>
      </w:r>
      <w:r w:rsidRPr="00FC45E9">
        <w:rPr>
          <w:rFonts w:cs="Arial"/>
        </w:rPr>
        <w:t>. Environmental standards, such as noise standards, should be monitored and reviewed in line with any recommendations arising from these programs.</w:t>
      </w:r>
    </w:p>
    <w:p w14:paraId="28EE1913" w14:textId="66786CE9"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Residents living in the vicinity of an operating or proposed wind farm that are experiencing health conditions should be encouraged to seek appropriate medical advice to properly diagnose and treat any health</w:t>
      </w:r>
      <w:r w:rsidRPr="00FC45E9">
        <w:rPr>
          <w:rFonts w:cs="Arial"/>
        </w:rPr>
        <w:noBreakHyphen/>
        <w:t xml:space="preserve">related conditions accordingly. </w:t>
      </w:r>
      <w:r>
        <w:rPr>
          <w:rFonts w:cs="Arial"/>
        </w:rPr>
        <w:t>G</w:t>
      </w:r>
      <w:r w:rsidR="00D37918">
        <w:rPr>
          <w:rFonts w:cs="Arial"/>
        </w:rPr>
        <w:t xml:space="preserve">eneral </w:t>
      </w:r>
      <w:r>
        <w:rPr>
          <w:rFonts w:cs="Arial"/>
        </w:rPr>
        <w:t>P</w:t>
      </w:r>
      <w:r w:rsidR="00D37918">
        <w:rPr>
          <w:rFonts w:cs="Arial"/>
        </w:rPr>
        <w:t>racti</w:t>
      </w:r>
      <w:r w:rsidR="00E42CB6">
        <w:rPr>
          <w:rFonts w:cs="Arial"/>
        </w:rPr>
        <w:t>tioners</w:t>
      </w:r>
      <w:r w:rsidRPr="00FC45E9">
        <w:rPr>
          <w:rFonts w:cs="Arial"/>
        </w:rPr>
        <w:t xml:space="preserve"> receiving </w:t>
      </w:r>
      <w:r w:rsidRPr="00FC45E9">
        <w:rPr>
          <w:rFonts w:cs="Arial"/>
        </w:rPr>
        <w:lastRenderedPageBreak/>
        <w:t xml:space="preserve">patients from wind farm locations should maintain an awareness of wind farm and health matters through bodies such as the Australian Medical Association and assist patients in understanding the need for </w:t>
      </w:r>
      <w:r w:rsidR="003A22BB">
        <w:rPr>
          <w:rFonts w:cs="Arial"/>
        </w:rPr>
        <w:t xml:space="preserve">the patient to undergo </w:t>
      </w:r>
      <w:r w:rsidRPr="00FC45E9">
        <w:rPr>
          <w:rFonts w:cs="Arial"/>
        </w:rPr>
        <w:t xml:space="preserve">appropriate testing, diagnosis and remedies for the presented health conditions or concerns. </w:t>
      </w:r>
    </w:p>
    <w:p w14:paraId="5144C39F" w14:textId="77777777" w:rsidR="00C66F7A" w:rsidRPr="00FC45E9" w:rsidRDefault="00C66F7A" w:rsidP="00C66F7A">
      <w:pPr>
        <w:pStyle w:val="ListParagraph"/>
        <w:numPr>
          <w:ilvl w:val="2"/>
          <w:numId w:val="8"/>
        </w:numPr>
        <w:spacing w:line="264" w:lineRule="auto"/>
        <w:ind w:left="1400" w:hanging="680"/>
        <w:rPr>
          <w:rFonts w:cs="Arial"/>
        </w:rPr>
      </w:pPr>
      <w:r w:rsidRPr="00FC45E9">
        <w:rPr>
          <w:rFonts w:cs="Arial"/>
        </w:rPr>
        <w:t>Medical practitioners who identify potential causational links between a patient’s health condition and their proximity to the operation of a wind farm should report such incidences in an appropriate way to the relevant professional body, association and/or government agency.</w:t>
      </w:r>
    </w:p>
    <w:p w14:paraId="56117CCF" w14:textId="45210642" w:rsidR="00C66F7A" w:rsidRDefault="00C66F7A" w:rsidP="00C66F7A">
      <w:pPr>
        <w:pStyle w:val="ListParagraph"/>
        <w:numPr>
          <w:ilvl w:val="2"/>
          <w:numId w:val="8"/>
        </w:numPr>
        <w:spacing w:line="264" w:lineRule="auto"/>
        <w:ind w:left="1400" w:hanging="680"/>
        <w:rPr>
          <w:rFonts w:cs="Arial"/>
        </w:rPr>
      </w:pPr>
      <w:r w:rsidRPr="00FC45E9">
        <w:rPr>
          <w:rFonts w:cs="Arial"/>
        </w:rPr>
        <w:t>Residents who are experiencing unacceptable noise levels from a wind farm should be encouraged to report such incidents to the wind farm operator, the compliance authority and/or the appropriate regulator to initiate investigation and resolution of the noise incidents.</w:t>
      </w:r>
    </w:p>
    <w:p w14:paraId="77EDE710" w14:textId="1D72900E" w:rsidR="00C66F7A" w:rsidRDefault="00C66F7A" w:rsidP="00C66F7A">
      <w:pPr>
        <w:pStyle w:val="ListParagraph"/>
        <w:numPr>
          <w:ilvl w:val="2"/>
          <w:numId w:val="8"/>
        </w:numPr>
        <w:spacing w:line="264" w:lineRule="auto"/>
        <w:ind w:left="1400" w:hanging="680"/>
        <w:rPr>
          <w:rFonts w:cs="Arial"/>
        </w:rPr>
      </w:pPr>
      <w:r>
        <w:rPr>
          <w:rFonts w:cs="Arial"/>
        </w:rPr>
        <w:t>Residents lodging health-related c</w:t>
      </w:r>
      <w:r w:rsidR="00070176">
        <w:rPr>
          <w:rFonts w:cs="Arial"/>
        </w:rPr>
        <w:t>ases</w:t>
      </w:r>
      <w:r>
        <w:rPr>
          <w:rFonts w:cs="Arial"/>
        </w:rPr>
        <w:t xml:space="preserve"> with </w:t>
      </w:r>
      <w:r w:rsidR="00070176">
        <w:rPr>
          <w:rFonts w:cs="Arial"/>
        </w:rPr>
        <w:t>our</w:t>
      </w:r>
      <w:r>
        <w:rPr>
          <w:rFonts w:cs="Arial"/>
        </w:rPr>
        <w:t xml:space="preserve"> Office should assist with providing and sharing any evidence regarding their stated health conditions and any medical assessments that identif</w:t>
      </w:r>
      <w:r w:rsidR="001F7065">
        <w:rPr>
          <w:rFonts w:cs="Arial"/>
        </w:rPr>
        <w:t>ies</w:t>
      </w:r>
      <w:r>
        <w:rPr>
          <w:rFonts w:cs="Arial"/>
        </w:rPr>
        <w:t xml:space="preserve"> possible causality of the wind farm as a contributor to the health conditions.</w:t>
      </w:r>
    </w:p>
    <w:p w14:paraId="7CC65728" w14:textId="77777777" w:rsidR="00C66F7A" w:rsidRDefault="00C66F7A" w:rsidP="00C66F7A">
      <w:pPr>
        <w:pStyle w:val="ListParagraph"/>
        <w:numPr>
          <w:ilvl w:val="2"/>
          <w:numId w:val="8"/>
        </w:numPr>
        <w:spacing w:line="264" w:lineRule="auto"/>
        <w:ind w:left="1400" w:hanging="680"/>
        <w:rPr>
          <w:rFonts w:cs="Arial"/>
        </w:rPr>
      </w:pPr>
      <w:r>
        <w:rPr>
          <w:rFonts w:cs="Arial"/>
        </w:rPr>
        <w:t>State governments may need to identify and address potential overlapping regulations and/or legislation with regard to noise emissions from a wind farm and ensure clear procedures are in place to handle, investigate and resolve such complaints raised under the various avenues.</w:t>
      </w:r>
    </w:p>
    <w:p w14:paraId="600A8D98" w14:textId="710F8526" w:rsidR="00C66F7A" w:rsidRDefault="00252AEC" w:rsidP="00C66F7A">
      <w:pPr>
        <w:pStyle w:val="ListParagraph"/>
        <w:numPr>
          <w:ilvl w:val="2"/>
          <w:numId w:val="8"/>
        </w:numPr>
        <w:spacing w:line="264" w:lineRule="auto"/>
        <w:ind w:left="1400" w:hanging="680"/>
        <w:rPr>
          <w:rFonts w:cs="Arial"/>
        </w:rPr>
      </w:pPr>
      <w:r>
        <w:rPr>
          <w:rFonts w:cs="Arial"/>
        </w:rPr>
        <w:t>Australia’s</w:t>
      </w:r>
      <w:r w:rsidR="00411839">
        <w:rPr>
          <w:rFonts w:cs="Arial"/>
        </w:rPr>
        <w:t xml:space="preserve"> </w:t>
      </w:r>
      <w:r w:rsidR="00C66F7A">
        <w:rPr>
          <w:rFonts w:cs="Arial"/>
        </w:rPr>
        <w:t xml:space="preserve">large-scale wind and solar industry </w:t>
      </w:r>
      <w:r w:rsidR="00411839">
        <w:rPr>
          <w:rFonts w:cs="Arial"/>
        </w:rPr>
        <w:t xml:space="preserve">should </w:t>
      </w:r>
      <w:r w:rsidR="00C66F7A">
        <w:rPr>
          <w:rFonts w:cs="Arial"/>
        </w:rPr>
        <w:t>commit to being a leader in workplace safety and share and be fully transparent about safety incidents, incident root causes and corrective actions. The CEC can play a major role in ensuring and facilitating such information sharing with industry participants and safety regulators.</w:t>
      </w:r>
    </w:p>
    <w:p w14:paraId="0FE6E7FF" w14:textId="45DE2885" w:rsidR="00C66F7A" w:rsidRDefault="00C66F7A" w:rsidP="00C66F7A">
      <w:pPr>
        <w:pStyle w:val="ListParagraph"/>
        <w:numPr>
          <w:ilvl w:val="2"/>
          <w:numId w:val="8"/>
        </w:numPr>
        <w:spacing w:line="264" w:lineRule="auto"/>
        <w:ind w:left="1400" w:hanging="680"/>
        <w:rPr>
          <w:rFonts w:cs="Arial"/>
        </w:rPr>
      </w:pPr>
      <w:r>
        <w:rPr>
          <w:rFonts w:cs="Arial"/>
        </w:rPr>
        <w:t xml:space="preserve">In light of the risks involved in constructing and maintaining large-scale renewable infrastructure, state and federal governments should give due consideration to introduce a requirement for such projects to obtain </w:t>
      </w:r>
      <w:r w:rsidR="00461D3D">
        <w:rPr>
          <w:rFonts w:cs="Arial"/>
        </w:rPr>
        <w:t xml:space="preserve">and comply with </w:t>
      </w:r>
      <w:r>
        <w:rPr>
          <w:rFonts w:cs="Arial"/>
        </w:rPr>
        <w:t>a building permit.</w:t>
      </w:r>
    </w:p>
    <w:p w14:paraId="2C9CC774" w14:textId="46E2A455" w:rsidR="0074115F" w:rsidRDefault="00C66F7A" w:rsidP="00C66F7A">
      <w:pPr>
        <w:pStyle w:val="ListParagraph"/>
        <w:numPr>
          <w:ilvl w:val="2"/>
          <w:numId w:val="8"/>
        </w:numPr>
        <w:spacing w:line="264" w:lineRule="auto"/>
        <w:ind w:left="1400" w:hanging="680"/>
        <w:rPr>
          <w:rFonts w:cs="Arial"/>
        </w:rPr>
      </w:pPr>
      <w:r>
        <w:rPr>
          <w:rFonts w:cs="Arial"/>
        </w:rPr>
        <w:t>Updated guidelines and/or fact sheets need to be urgently developed for a range of matters related to generation, storage and large-scale transmission projects. High priorities include safely working and living around high voltage transmission lines and bushfire/fire-fighting procedures and protocols. These documents should be developed/updated by appropriate industry regulators or bodies, such as Energy Safe Victoria, Energy Networks Australia, AFAC, National Farmers Federation</w:t>
      </w:r>
      <w:r w:rsidR="00BC5D70">
        <w:rPr>
          <w:rFonts w:cs="Arial"/>
        </w:rPr>
        <w:t xml:space="preserve"> and state</w:t>
      </w:r>
      <w:r w:rsidR="00B06297">
        <w:rPr>
          <w:rFonts w:cs="Arial"/>
        </w:rPr>
        <w:t>-</w:t>
      </w:r>
      <w:r w:rsidR="00BC5D70">
        <w:rPr>
          <w:rFonts w:cs="Arial"/>
        </w:rPr>
        <w:t xml:space="preserve">based emergency </w:t>
      </w:r>
      <w:r w:rsidR="00C748A3">
        <w:rPr>
          <w:rFonts w:cs="Arial"/>
        </w:rPr>
        <w:t xml:space="preserve">responders, such as the Country </w:t>
      </w:r>
      <w:r w:rsidR="008842BE">
        <w:rPr>
          <w:rFonts w:cs="Arial"/>
        </w:rPr>
        <w:t xml:space="preserve">Fire Authority (VIC) </w:t>
      </w:r>
      <w:r w:rsidR="00C748A3">
        <w:rPr>
          <w:rFonts w:cs="Arial"/>
        </w:rPr>
        <w:t>and R</w:t>
      </w:r>
      <w:r w:rsidR="008842BE">
        <w:rPr>
          <w:rFonts w:cs="Arial"/>
        </w:rPr>
        <w:t xml:space="preserve">ural </w:t>
      </w:r>
      <w:r w:rsidR="00C748A3">
        <w:rPr>
          <w:rFonts w:cs="Arial"/>
        </w:rPr>
        <w:t>F</w:t>
      </w:r>
      <w:r w:rsidR="008842BE">
        <w:rPr>
          <w:rFonts w:cs="Arial"/>
        </w:rPr>
        <w:t xml:space="preserve">ire </w:t>
      </w:r>
      <w:r w:rsidR="00C748A3">
        <w:rPr>
          <w:rFonts w:cs="Arial"/>
        </w:rPr>
        <w:t>S</w:t>
      </w:r>
      <w:r w:rsidR="008842BE">
        <w:rPr>
          <w:rFonts w:cs="Arial"/>
        </w:rPr>
        <w:t>ervice (NSW)</w:t>
      </w:r>
      <w:r>
        <w:rPr>
          <w:rFonts w:cs="Arial"/>
        </w:rPr>
        <w:t xml:space="preserve">. </w:t>
      </w:r>
      <w:bookmarkStart w:id="247" w:name="_Toc84430838"/>
      <w:bookmarkEnd w:id="236"/>
      <w:bookmarkEnd w:id="237"/>
    </w:p>
    <w:p w14:paraId="5C7FB8AC" w14:textId="172289EB" w:rsidR="008842BE" w:rsidRDefault="00E33C0F" w:rsidP="00C66F7A">
      <w:pPr>
        <w:pStyle w:val="ListParagraph"/>
        <w:numPr>
          <w:ilvl w:val="2"/>
          <w:numId w:val="8"/>
        </w:numPr>
        <w:spacing w:line="264" w:lineRule="auto"/>
        <w:ind w:left="1400" w:hanging="680"/>
        <w:rPr>
          <w:rFonts w:cs="Arial"/>
        </w:rPr>
      </w:pPr>
      <w:r>
        <w:rPr>
          <w:rFonts w:cs="Arial"/>
        </w:rPr>
        <w:t>Consideration</w:t>
      </w:r>
      <w:r w:rsidR="003A5D23">
        <w:rPr>
          <w:rFonts w:cs="Arial"/>
        </w:rPr>
        <w:t xml:space="preserve"> should be given to establishing a National Safety Regulator for renewable energy </w:t>
      </w:r>
      <w:r w:rsidR="00892232">
        <w:rPr>
          <w:rFonts w:cs="Arial"/>
        </w:rPr>
        <w:t>generation, one that woul</w:t>
      </w:r>
      <w:r w:rsidR="00F50A1C">
        <w:rPr>
          <w:rFonts w:cs="Arial"/>
        </w:rPr>
        <w:t xml:space="preserve">d encompass offshore wind, onshore wind, solar farms, pumped </w:t>
      </w:r>
      <w:r w:rsidR="00B06297">
        <w:rPr>
          <w:rFonts w:cs="Arial"/>
        </w:rPr>
        <w:t>hydro and large-scale batteries.</w:t>
      </w:r>
      <w:r w:rsidR="00D05367">
        <w:rPr>
          <w:rFonts w:cs="Arial"/>
        </w:rPr>
        <w:t xml:space="preserve"> The proposed regulator role could be fulfilled by an existing regulator</w:t>
      </w:r>
      <w:r w:rsidR="00F1427F">
        <w:rPr>
          <w:rFonts w:cs="Arial"/>
        </w:rPr>
        <w:t>.</w:t>
      </w:r>
    </w:p>
    <w:p w14:paraId="553D2BC7" w14:textId="50C27725" w:rsidR="00F1427F" w:rsidRPr="00BA55B1" w:rsidRDefault="00F1427F" w:rsidP="00C66F7A">
      <w:pPr>
        <w:pStyle w:val="ListParagraph"/>
        <w:numPr>
          <w:ilvl w:val="2"/>
          <w:numId w:val="8"/>
        </w:numPr>
        <w:spacing w:line="264" w:lineRule="auto"/>
        <w:ind w:left="1400" w:hanging="680"/>
        <w:rPr>
          <w:rFonts w:cs="Arial"/>
        </w:rPr>
      </w:pPr>
      <w:r>
        <w:rPr>
          <w:rFonts w:cs="Arial"/>
        </w:rPr>
        <w:t>While it is important to share</w:t>
      </w:r>
      <w:r w:rsidR="00FE0F71">
        <w:rPr>
          <w:rFonts w:cs="Arial"/>
        </w:rPr>
        <w:t xml:space="preserve"> safety information across Australia, </w:t>
      </w:r>
      <w:r w:rsidR="00A02BA5">
        <w:rPr>
          <w:rFonts w:cs="Arial"/>
        </w:rPr>
        <w:t>i</w:t>
      </w:r>
      <w:r w:rsidR="00FE0F71">
        <w:rPr>
          <w:rFonts w:cs="Arial"/>
        </w:rPr>
        <w:t>t is especi</w:t>
      </w:r>
      <w:r w:rsidR="00A02BA5">
        <w:rPr>
          <w:rFonts w:cs="Arial"/>
        </w:rPr>
        <w:t>ally important that Australia is connected to</w:t>
      </w:r>
      <w:r w:rsidR="0018160E">
        <w:rPr>
          <w:rFonts w:cs="Arial"/>
        </w:rPr>
        <w:t xml:space="preserve"> overseas</w:t>
      </w:r>
      <w:r w:rsidR="006D2E1B">
        <w:rPr>
          <w:rFonts w:cs="Arial"/>
        </w:rPr>
        <w:t xml:space="preserve"> safety regulators</w:t>
      </w:r>
      <w:r w:rsidR="00827AB6">
        <w:rPr>
          <w:rFonts w:cs="Arial"/>
        </w:rPr>
        <w:t>. A safety incident in</w:t>
      </w:r>
      <w:r w:rsidR="00C812EC">
        <w:rPr>
          <w:rFonts w:cs="Arial"/>
        </w:rPr>
        <w:t>, say,</w:t>
      </w:r>
      <w:r w:rsidR="00827AB6">
        <w:rPr>
          <w:rFonts w:cs="Arial"/>
        </w:rPr>
        <w:t xml:space="preserve"> Europe could have direct applicability </w:t>
      </w:r>
      <w:r w:rsidR="008E5201">
        <w:rPr>
          <w:rFonts w:cs="Arial"/>
        </w:rPr>
        <w:t>to an asset or fleet here in Australia</w:t>
      </w:r>
      <w:r w:rsidR="00C812EC">
        <w:rPr>
          <w:rFonts w:cs="Arial"/>
        </w:rPr>
        <w:t xml:space="preserve"> and</w:t>
      </w:r>
      <w:r w:rsidR="00731F26">
        <w:rPr>
          <w:rFonts w:cs="Arial"/>
        </w:rPr>
        <w:t xml:space="preserve"> may require immediate actions to occur locally</w:t>
      </w:r>
      <w:r w:rsidR="00937966">
        <w:rPr>
          <w:rFonts w:cs="Arial"/>
        </w:rPr>
        <w:t xml:space="preserve"> to prevent an unnecessary reoccurrence.</w:t>
      </w:r>
      <w:r w:rsidR="00887C8A">
        <w:rPr>
          <w:rFonts w:cs="Arial"/>
        </w:rPr>
        <w:t xml:space="preserve"> This would also be a key role of the regulator proposed in 9.2.10</w:t>
      </w:r>
      <w:r w:rsidR="006675CB">
        <w:rPr>
          <w:rFonts w:cs="Arial"/>
        </w:rPr>
        <w:t>.</w:t>
      </w:r>
    </w:p>
    <w:p w14:paraId="66BE64B5" w14:textId="312A6FFC" w:rsidR="009937C7" w:rsidRDefault="00BA55B1" w:rsidP="00CE4A08">
      <w:r>
        <w:br w:type="page"/>
      </w:r>
      <w:bookmarkEnd w:id="247"/>
      <w:bookmarkEnd w:id="1"/>
    </w:p>
    <w:p w14:paraId="7317752B" w14:textId="77777777" w:rsidR="00722AE4" w:rsidRDefault="00722AE4" w:rsidP="00CE4A08">
      <w:pPr>
        <w:sectPr w:rsidR="00722AE4" w:rsidSect="00CE4A08">
          <w:headerReference w:type="even" r:id="rId72"/>
          <w:headerReference w:type="default" r:id="rId73"/>
          <w:footerReference w:type="even" r:id="rId74"/>
          <w:headerReference w:type="first" r:id="rId75"/>
          <w:pgSz w:w="11906" w:h="16838" w:code="9"/>
          <w:pgMar w:top="720" w:right="720" w:bottom="720" w:left="720" w:header="425" w:footer="425" w:gutter="0"/>
          <w:cols w:space="708"/>
          <w:docGrid w:linePitch="360"/>
        </w:sectPr>
      </w:pPr>
    </w:p>
    <w:p w14:paraId="65BCA1D4" w14:textId="77777777" w:rsidR="00BA55B1" w:rsidRPr="00BA55B1" w:rsidRDefault="00BA55B1" w:rsidP="00BA55B1">
      <w:pPr>
        <w:pStyle w:val="Heading1"/>
      </w:pPr>
      <w:bookmarkStart w:id="248" w:name="_Toc100168893"/>
      <w:bookmarkStart w:id="249" w:name="_Toc135390667"/>
      <w:r w:rsidRPr="00BA55B1">
        <w:lastRenderedPageBreak/>
        <w:t>Appendix B – TERMS OF REFERENCE 2021-25</w:t>
      </w:r>
      <w:bookmarkEnd w:id="248"/>
      <w:bookmarkEnd w:id="249"/>
    </w:p>
    <w:p w14:paraId="10992812" w14:textId="77777777" w:rsidR="00BA55B1" w:rsidRPr="004726FB" w:rsidRDefault="00BA55B1" w:rsidP="00BA55B1">
      <w:pPr>
        <w:pStyle w:val="Heading2"/>
        <w:rPr>
          <w:lang w:val="en" w:eastAsia="en-AU"/>
        </w:rPr>
      </w:pPr>
      <w:bookmarkStart w:id="250" w:name="_Toc131502790"/>
      <w:bookmarkStart w:id="251" w:name="_Toc131505228"/>
      <w:bookmarkStart w:id="252" w:name="_Toc131505392"/>
      <w:bookmarkStart w:id="253" w:name="_Toc132641522"/>
      <w:bookmarkStart w:id="254" w:name="_Toc135390668"/>
      <w:r w:rsidRPr="00556DD3">
        <w:t xml:space="preserve">Australian Energy Infrastructure Commissioner </w:t>
      </w:r>
      <w:r w:rsidRPr="00556DD3">
        <w:rPr>
          <w:lang w:val="en" w:eastAsia="en-AU"/>
        </w:rPr>
        <w:t>Terms of Reference 2021-25</w:t>
      </w:r>
      <w:bookmarkEnd w:id="250"/>
      <w:bookmarkEnd w:id="251"/>
      <w:bookmarkEnd w:id="252"/>
      <w:bookmarkEnd w:id="253"/>
      <w:bookmarkEnd w:id="254"/>
    </w:p>
    <w:p w14:paraId="5EA2FD26" w14:textId="77777777" w:rsidR="00BA55B1" w:rsidRPr="00556DD3" w:rsidRDefault="00BA55B1" w:rsidP="00BA55B1">
      <w:pPr>
        <w:pStyle w:val="NormalWeb"/>
        <w:spacing w:before="168" w:beforeAutospacing="0" w:after="168" w:afterAutospacing="0"/>
        <w:rPr>
          <w:rFonts w:ascii="Arial" w:eastAsiaTheme="minorHAnsi" w:hAnsi="Arial" w:cs="Arial"/>
          <w:color w:val="000000"/>
          <w:sz w:val="22"/>
          <w:szCs w:val="20"/>
        </w:rPr>
      </w:pPr>
      <w:r w:rsidRPr="00556DD3">
        <w:rPr>
          <w:rFonts w:ascii="Arial" w:hAnsi="Arial" w:cs="Arial"/>
          <w:color w:val="000000"/>
          <w:sz w:val="22"/>
          <w:szCs w:val="20"/>
        </w:rPr>
        <w:t>The role of the Australian Energy Infrastructure Commissioner was announced by the Australian Government on 26 March 2021 expanding the role of the existing National Wind Farm Commissioner.</w:t>
      </w:r>
    </w:p>
    <w:p w14:paraId="2DD68701" w14:textId="77777777" w:rsidR="00BA55B1" w:rsidRPr="00556DD3" w:rsidRDefault="00BA55B1" w:rsidP="00BA55B1">
      <w:pPr>
        <w:pStyle w:val="NormalWeb"/>
        <w:spacing w:before="168" w:beforeAutospacing="0" w:after="168" w:afterAutospacing="0"/>
        <w:rPr>
          <w:rFonts w:ascii="Arial" w:hAnsi="Arial" w:cs="Arial"/>
          <w:color w:val="000000"/>
          <w:sz w:val="22"/>
          <w:szCs w:val="20"/>
        </w:rPr>
      </w:pPr>
      <w:r w:rsidRPr="00556DD3">
        <w:rPr>
          <w:rFonts w:ascii="Arial" w:hAnsi="Arial" w:cs="Arial"/>
          <w:color w:val="000000"/>
          <w:sz w:val="22"/>
          <w:szCs w:val="20"/>
        </w:rPr>
        <w:t>The Commissioner will work collaboratively with all levels of government, scientists, experts, industry and the community to resolve complaints from community members about proposed and operational wind farms, large scale solar farms (5 MW or more), energy storage facilities, such as large</w:t>
      </w:r>
      <w:r>
        <w:rPr>
          <w:rFonts w:ascii="Arial" w:hAnsi="Arial" w:cs="Arial"/>
          <w:color w:val="000000"/>
          <w:sz w:val="22"/>
          <w:szCs w:val="20"/>
        </w:rPr>
        <w:t>-</w:t>
      </w:r>
      <w:r w:rsidRPr="00556DD3">
        <w:rPr>
          <w:rFonts w:ascii="Arial" w:hAnsi="Arial" w:cs="Arial"/>
          <w:color w:val="000000"/>
          <w:sz w:val="22"/>
          <w:szCs w:val="20"/>
        </w:rPr>
        <w:t>scale batteries (1 MW or more) and new major transmission projects.</w:t>
      </w:r>
    </w:p>
    <w:p w14:paraId="1A05EFEE" w14:textId="77777777" w:rsidR="00BA55B1" w:rsidRPr="00556DD3" w:rsidRDefault="00BA55B1" w:rsidP="00BA55B1">
      <w:pPr>
        <w:pStyle w:val="NormalWeb"/>
        <w:spacing w:before="168" w:beforeAutospacing="0" w:after="168" w:afterAutospacing="0"/>
        <w:rPr>
          <w:rFonts w:ascii="Arial" w:hAnsi="Arial" w:cs="Arial"/>
          <w:color w:val="000000"/>
          <w:sz w:val="22"/>
          <w:szCs w:val="20"/>
        </w:rPr>
      </w:pPr>
      <w:r w:rsidRPr="00556DD3">
        <w:rPr>
          <w:rFonts w:ascii="Arial" w:hAnsi="Arial" w:cs="Arial"/>
          <w:color w:val="000000"/>
          <w:sz w:val="22"/>
          <w:szCs w:val="20"/>
        </w:rPr>
        <w:t>The Commissioner will refer complaints about wind farms, large scale solar farms, storage facilities and new major transmission projects to relevant authorities and help ensure that they are properly addressed.</w:t>
      </w:r>
    </w:p>
    <w:p w14:paraId="70D24AA2" w14:textId="77777777" w:rsidR="00BA55B1" w:rsidRPr="00556DD3" w:rsidRDefault="00BA55B1" w:rsidP="00BA55B1">
      <w:pPr>
        <w:pStyle w:val="NormalWeb"/>
        <w:spacing w:before="168" w:beforeAutospacing="0" w:after="168" w:afterAutospacing="0"/>
        <w:rPr>
          <w:rFonts w:ascii="Arial" w:hAnsi="Arial" w:cs="Arial"/>
          <w:color w:val="000000"/>
          <w:sz w:val="22"/>
          <w:szCs w:val="20"/>
        </w:rPr>
      </w:pPr>
      <w:r w:rsidRPr="00556DD3">
        <w:rPr>
          <w:rFonts w:ascii="Arial" w:hAnsi="Arial" w:cs="Arial"/>
          <w:color w:val="000000"/>
          <w:sz w:val="22"/>
          <w:szCs w:val="20"/>
        </w:rPr>
        <w:t>The Commissioner will lead efforts to promote best practices, information availability, and provide a central, trusted source for dissemination of information.</w:t>
      </w:r>
    </w:p>
    <w:p w14:paraId="0C6609E3" w14:textId="6241D71B" w:rsidR="00BA55B1" w:rsidRPr="00556DD3" w:rsidRDefault="00497BF8" w:rsidP="00BA55B1">
      <w:pPr>
        <w:pStyle w:val="NormalWeb"/>
        <w:spacing w:before="168" w:beforeAutospacing="0" w:after="168" w:afterAutospacing="0"/>
        <w:rPr>
          <w:rFonts w:ascii="Arial" w:hAnsi="Arial" w:cs="Arial"/>
          <w:color w:val="000000"/>
          <w:sz w:val="22"/>
          <w:szCs w:val="20"/>
        </w:rPr>
      </w:pPr>
      <w:r w:rsidRPr="00497BF8">
        <w:rPr>
          <w:rFonts w:ascii="Arial" w:hAnsi="Arial" w:cs="Arial"/>
          <w:color w:val="000000"/>
          <w:sz w:val="22"/>
          <w:szCs w:val="20"/>
        </w:rPr>
        <w:t xml:space="preserve">The Commissioner, supported by the Australian Government Department of Climate Change, Energy, the Environment and Water will report to the Minister for Climate Change and Energy and provide an Annual Report to the Australian Parliament on delivering against these Terms of </w:t>
      </w:r>
      <w:r w:rsidR="00737F39" w:rsidRPr="00497BF8">
        <w:rPr>
          <w:rFonts w:ascii="Arial" w:hAnsi="Arial" w:cs="Arial"/>
          <w:color w:val="000000"/>
          <w:sz w:val="22"/>
          <w:szCs w:val="20"/>
        </w:rPr>
        <w:t>Reference.</w:t>
      </w:r>
      <w:r w:rsidR="00737F39" w:rsidRPr="00556DD3">
        <w:rPr>
          <w:rFonts w:ascii="Arial" w:hAnsi="Arial" w:cs="Arial"/>
          <w:color w:val="000000"/>
          <w:sz w:val="22"/>
          <w:szCs w:val="20"/>
        </w:rPr>
        <w:t xml:space="preserve"> The</w:t>
      </w:r>
      <w:r w:rsidR="00BA55B1" w:rsidRPr="00556DD3">
        <w:rPr>
          <w:rFonts w:ascii="Arial" w:hAnsi="Arial" w:cs="Arial"/>
          <w:color w:val="000000"/>
          <w:sz w:val="22"/>
          <w:szCs w:val="20"/>
        </w:rPr>
        <w:t xml:space="preserve"> Commissioner’s role will not duplicate or override the important statutory responsibilities of other jurisdictions, such as those relating to the planning and approval of wind farms, large scale solar farms, storage facilities and new major transmission projects.</w:t>
      </w:r>
    </w:p>
    <w:p w14:paraId="419605B5" w14:textId="77777777" w:rsidR="00BA55B1" w:rsidRPr="00556DD3" w:rsidRDefault="00BA55B1" w:rsidP="00BA55B1">
      <w:pPr>
        <w:pStyle w:val="NormalWeb"/>
        <w:spacing w:before="168" w:beforeAutospacing="0" w:after="168" w:afterAutospacing="0"/>
        <w:rPr>
          <w:rFonts w:ascii="Arial" w:hAnsi="Arial" w:cs="Arial"/>
          <w:color w:val="000000"/>
          <w:sz w:val="22"/>
          <w:szCs w:val="20"/>
        </w:rPr>
      </w:pPr>
      <w:r w:rsidRPr="00556DD3">
        <w:rPr>
          <w:rFonts w:ascii="Arial" w:hAnsi="Arial" w:cs="Arial"/>
          <w:color w:val="000000"/>
          <w:sz w:val="22"/>
          <w:szCs w:val="20"/>
        </w:rPr>
        <w:t>The Commissioner is to draw on the work of the Independent Scientific Committee on Wind Turbines.</w:t>
      </w:r>
    </w:p>
    <w:p w14:paraId="3365CC18" w14:textId="77777777" w:rsidR="00BA55B1" w:rsidRDefault="00BA55B1" w:rsidP="00BA55B1">
      <w:pPr>
        <w:pStyle w:val="NormalWeb"/>
        <w:spacing w:before="168" w:beforeAutospacing="0" w:after="168" w:afterAutospacing="0"/>
        <w:rPr>
          <w:rFonts w:ascii="Arial" w:hAnsi="Arial" w:cs="Arial"/>
          <w:color w:val="000000"/>
          <w:sz w:val="22"/>
          <w:szCs w:val="20"/>
        </w:rPr>
      </w:pPr>
      <w:r w:rsidRPr="00556DD3">
        <w:rPr>
          <w:rFonts w:ascii="Arial" w:hAnsi="Arial" w:cs="Arial"/>
          <w:color w:val="000000"/>
          <w:sz w:val="22"/>
          <w:szCs w:val="20"/>
        </w:rPr>
        <w:t>The role of the Commissioner has been extended until 31 October 2025. The role will be re-evaluated by the Australian Government prior to that date.</w:t>
      </w:r>
    </w:p>
    <w:p w14:paraId="0F17C334" w14:textId="77777777" w:rsidR="003A5AC5" w:rsidRPr="00556DD3" w:rsidRDefault="003A5AC5" w:rsidP="00BA55B1">
      <w:pPr>
        <w:pStyle w:val="NormalWeb"/>
        <w:spacing w:before="168" w:beforeAutospacing="0" w:after="168" w:afterAutospacing="0"/>
        <w:rPr>
          <w:rFonts w:ascii="Arial" w:hAnsi="Arial" w:cs="Arial"/>
          <w:color w:val="000000"/>
          <w:sz w:val="22"/>
          <w:szCs w:val="20"/>
        </w:rPr>
      </w:pPr>
    </w:p>
    <w:p w14:paraId="0074DF7B" w14:textId="77777777" w:rsidR="00722AE4" w:rsidRDefault="00722AE4" w:rsidP="00CE4A08">
      <w:pPr>
        <w:sectPr w:rsidR="00722AE4" w:rsidSect="00722AE4">
          <w:headerReference w:type="even" r:id="rId76"/>
          <w:type w:val="evenPage"/>
          <w:pgSz w:w="11906" w:h="16838" w:code="9"/>
          <w:pgMar w:top="720" w:right="720" w:bottom="720" w:left="720" w:header="425" w:footer="425" w:gutter="0"/>
          <w:cols w:space="708"/>
          <w:docGrid w:linePitch="360"/>
        </w:sectPr>
      </w:pPr>
    </w:p>
    <w:p w14:paraId="5E69D418" w14:textId="77777777" w:rsidR="00BA55B1" w:rsidRPr="00BA55B1" w:rsidRDefault="00BA55B1" w:rsidP="00BA55B1">
      <w:pPr>
        <w:pStyle w:val="Heading1"/>
      </w:pPr>
      <w:bookmarkStart w:id="255" w:name="_Toc100168894"/>
      <w:bookmarkStart w:id="256" w:name="_Toc135390669"/>
      <w:r w:rsidRPr="00BA55B1">
        <w:lastRenderedPageBreak/>
        <w:t>appendix c: Submission to AEMO’s draft 2022 integrated system plan</w:t>
      </w:r>
      <w:bookmarkEnd w:id="255"/>
      <w:bookmarkEnd w:id="256"/>
    </w:p>
    <w:p w14:paraId="1CFA85C5" w14:textId="77777777" w:rsidR="00BA55B1" w:rsidRDefault="00BA55B1" w:rsidP="00BA55B1">
      <w:pPr>
        <w:shd w:val="clear" w:color="auto" w:fill="FFFFFF"/>
        <w:spacing w:before="60" w:after="0"/>
        <w:rPr>
          <w:rFonts w:cs="Arial"/>
        </w:rPr>
      </w:pPr>
    </w:p>
    <w:p w14:paraId="51EAA35E" w14:textId="77777777" w:rsidR="00BA55B1" w:rsidRPr="000C775F" w:rsidRDefault="00BA55B1" w:rsidP="00BA55B1">
      <w:pPr>
        <w:shd w:val="clear" w:color="auto" w:fill="FFFFFF"/>
        <w:spacing w:before="60"/>
        <w:rPr>
          <w:rFonts w:cs="Arial"/>
        </w:rPr>
      </w:pPr>
      <w:r w:rsidRPr="000C775F">
        <w:rPr>
          <w:rFonts w:cs="Arial"/>
        </w:rPr>
        <w:t>21 February 2022</w:t>
      </w:r>
    </w:p>
    <w:p w14:paraId="318A2DF5" w14:textId="77777777" w:rsidR="00BA55B1" w:rsidRPr="000C775F" w:rsidRDefault="00BA55B1" w:rsidP="00BA55B1">
      <w:pPr>
        <w:shd w:val="clear" w:color="auto" w:fill="FFFFFF"/>
        <w:spacing w:after="0" w:line="264" w:lineRule="auto"/>
        <w:rPr>
          <w:rFonts w:cs="Arial"/>
          <w:lang w:eastAsia="en-AU"/>
        </w:rPr>
      </w:pPr>
      <w:r w:rsidRPr="000C775F">
        <w:rPr>
          <w:rFonts w:cs="Arial"/>
          <w:lang w:eastAsia="en-AU"/>
        </w:rPr>
        <w:t>Daniel Westerman</w:t>
      </w:r>
    </w:p>
    <w:p w14:paraId="1D11DD8F" w14:textId="77777777" w:rsidR="00BA55B1" w:rsidRPr="000C775F" w:rsidRDefault="00BA55B1" w:rsidP="00BA55B1">
      <w:pPr>
        <w:shd w:val="clear" w:color="auto" w:fill="FFFFFF"/>
        <w:spacing w:after="0" w:line="264" w:lineRule="auto"/>
        <w:rPr>
          <w:rFonts w:cs="Arial"/>
          <w:lang w:val="en-US"/>
        </w:rPr>
      </w:pPr>
      <w:r w:rsidRPr="000C775F">
        <w:rPr>
          <w:rFonts w:cs="Arial"/>
          <w:lang w:val="en-US"/>
        </w:rPr>
        <w:t>Chief Executive Officer</w:t>
      </w:r>
    </w:p>
    <w:p w14:paraId="516D6A59" w14:textId="77777777" w:rsidR="00BA55B1" w:rsidRPr="000C775F" w:rsidRDefault="00BA55B1" w:rsidP="00BA55B1">
      <w:pPr>
        <w:shd w:val="clear" w:color="auto" w:fill="FFFFFF"/>
        <w:spacing w:after="0" w:line="264" w:lineRule="auto"/>
        <w:rPr>
          <w:rFonts w:cs="Arial"/>
          <w:lang w:val="en-US"/>
        </w:rPr>
      </w:pPr>
      <w:r w:rsidRPr="000C775F">
        <w:rPr>
          <w:rFonts w:cs="Arial"/>
          <w:lang w:val="en-US"/>
        </w:rPr>
        <w:t>Australian Energy Market Operator</w:t>
      </w:r>
    </w:p>
    <w:p w14:paraId="6D95C965" w14:textId="77777777" w:rsidR="00BA55B1" w:rsidRPr="000C775F" w:rsidRDefault="00BA55B1" w:rsidP="00BA55B1">
      <w:pPr>
        <w:shd w:val="clear" w:color="auto" w:fill="FFFFFF"/>
        <w:spacing w:after="0" w:line="264" w:lineRule="auto"/>
        <w:rPr>
          <w:rFonts w:cs="Arial"/>
          <w:lang w:val="en-US"/>
        </w:rPr>
      </w:pPr>
      <w:r w:rsidRPr="000C775F">
        <w:rPr>
          <w:rFonts w:cs="Arial"/>
          <w:lang w:val="en-US"/>
        </w:rPr>
        <w:t>GPO Box 2008</w:t>
      </w:r>
    </w:p>
    <w:p w14:paraId="265C2B91" w14:textId="77777777" w:rsidR="00BA55B1" w:rsidRPr="000C775F" w:rsidRDefault="00BA55B1" w:rsidP="00BA55B1">
      <w:pPr>
        <w:shd w:val="clear" w:color="auto" w:fill="FFFFFF"/>
        <w:spacing w:after="0" w:line="264" w:lineRule="auto"/>
        <w:rPr>
          <w:rFonts w:cs="Arial"/>
          <w:lang w:eastAsia="en-AU"/>
        </w:rPr>
      </w:pPr>
      <w:r w:rsidRPr="000C775F">
        <w:rPr>
          <w:rFonts w:cs="Arial"/>
          <w:lang w:val="en-US"/>
        </w:rPr>
        <w:t>MELBOURNE  VIC  3001</w:t>
      </w:r>
    </w:p>
    <w:p w14:paraId="39002787" w14:textId="77777777" w:rsidR="00BA55B1" w:rsidRPr="000C775F" w:rsidRDefault="00BA55B1" w:rsidP="00BA55B1">
      <w:pPr>
        <w:shd w:val="clear" w:color="auto" w:fill="FFFFFF"/>
        <w:rPr>
          <w:rFonts w:cs="Arial"/>
        </w:rPr>
      </w:pPr>
      <w:r w:rsidRPr="000C775F">
        <w:rPr>
          <w:rFonts w:cs="Arial"/>
        </w:rPr>
        <w:t xml:space="preserve">via email: </w:t>
      </w:r>
      <w:r w:rsidRPr="000C775F">
        <w:rPr>
          <w:rStyle w:val="Hyperlink"/>
          <w:rFonts w:cs="Arial"/>
          <w:lang w:val="en-US"/>
        </w:rPr>
        <w:t>isp</w:t>
      </w:r>
      <w:hyperlink r:id="rId77" w:history="1">
        <w:r w:rsidRPr="000C775F">
          <w:rPr>
            <w:rStyle w:val="Hyperlink"/>
            <w:rFonts w:cs="Arial"/>
            <w:lang w:val="en-US"/>
          </w:rPr>
          <w:t>@aemo.com.au</w:t>
        </w:r>
      </w:hyperlink>
    </w:p>
    <w:p w14:paraId="55F93551" w14:textId="77777777" w:rsidR="00BA55B1" w:rsidRPr="000C775F" w:rsidRDefault="00BA55B1" w:rsidP="00BA55B1">
      <w:pPr>
        <w:shd w:val="clear" w:color="auto" w:fill="FFFFFF"/>
        <w:spacing w:after="60"/>
        <w:rPr>
          <w:rFonts w:cs="Arial"/>
        </w:rPr>
      </w:pPr>
    </w:p>
    <w:p w14:paraId="547F4502" w14:textId="77777777" w:rsidR="00BA55B1" w:rsidRPr="000C775F" w:rsidRDefault="00BA55B1" w:rsidP="00BA55B1">
      <w:pPr>
        <w:pStyle w:val="PlainText"/>
        <w:rPr>
          <w:rFonts w:ascii="Arial" w:hAnsi="Arial" w:cs="Arial"/>
          <w:sz w:val="22"/>
          <w:szCs w:val="22"/>
        </w:rPr>
      </w:pPr>
      <w:r w:rsidRPr="000C775F">
        <w:rPr>
          <w:rFonts w:ascii="Arial" w:hAnsi="Arial" w:cs="Arial"/>
          <w:sz w:val="22"/>
          <w:szCs w:val="22"/>
        </w:rPr>
        <w:t>Dear Mr Westerman</w:t>
      </w:r>
    </w:p>
    <w:p w14:paraId="31873CBD" w14:textId="77777777" w:rsidR="00BA55B1" w:rsidRPr="000C775F" w:rsidRDefault="00BA55B1" w:rsidP="00BA55B1">
      <w:pPr>
        <w:pStyle w:val="PlainText"/>
        <w:rPr>
          <w:rFonts w:ascii="Arial" w:hAnsi="Arial" w:cs="Arial"/>
          <w:b/>
          <w:sz w:val="22"/>
          <w:szCs w:val="22"/>
          <w:lang w:val="en-US"/>
        </w:rPr>
      </w:pPr>
    </w:p>
    <w:p w14:paraId="2C31DE6D" w14:textId="77777777" w:rsidR="00BA55B1" w:rsidRPr="000C775F" w:rsidRDefault="00BA55B1" w:rsidP="00BA55B1">
      <w:pPr>
        <w:shd w:val="clear" w:color="auto" w:fill="FFFFFF"/>
        <w:spacing w:line="264" w:lineRule="auto"/>
        <w:rPr>
          <w:rFonts w:cs="Arial"/>
          <w:lang w:val="en-US"/>
        </w:rPr>
      </w:pPr>
      <w:r w:rsidRPr="000C775F">
        <w:rPr>
          <w:rFonts w:cs="Arial"/>
          <w:b/>
          <w:lang w:val="en-US"/>
        </w:rPr>
        <w:t>Re: Australian Energy Market Operator –</w:t>
      </w:r>
      <w:r w:rsidRPr="000C775F">
        <w:rPr>
          <w:rFonts w:cs="Arial"/>
          <w:lang w:val="en-US"/>
        </w:rPr>
        <w:t xml:space="preserve"> </w:t>
      </w:r>
      <w:r w:rsidRPr="000C775F">
        <w:rPr>
          <w:rFonts w:cs="Arial"/>
          <w:b/>
          <w:i/>
        </w:rPr>
        <w:t>Draft 2022 Integrated System Plan</w:t>
      </w:r>
    </w:p>
    <w:p w14:paraId="102EC52E" w14:textId="77777777" w:rsidR="00BA55B1" w:rsidRPr="000C775F" w:rsidRDefault="00BA55B1" w:rsidP="00BA55B1">
      <w:pPr>
        <w:pStyle w:val="PlainText"/>
        <w:spacing w:after="200" w:line="264" w:lineRule="auto"/>
        <w:rPr>
          <w:rFonts w:ascii="Arial" w:hAnsi="Arial" w:cs="Arial"/>
          <w:b/>
          <w:sz w:val="22"/>
          <w:szCs w:val="22"/>
        </w:rPr>
      </w:pPr>
      <w:r w:rsidRPr="000C775F">
        <w:rPr>
          <w:rFonts w:ascii="Arial" w:hAnsi="Arial" w:cs="Arial"/>
          <w:sz w:val="22"/>
          <w:szCs w:val="22"/>
        </w:rPr>
        <w:t>The Office of the Australian Energy Infrastructure Commissioner welcomes the opportunity to provide feedback on AEMO’s Draft 2022 Integrated System Plan</w:t>
      </w:r>
      <w:r w:rsidRPr="000C775F">
        <w:rPr>
          <w:rFonts w:ascii="Arial" w:hAnsi="Arial" w:cs="Arial"/>
          <w:i/>
          <w:sz w:val="22"/>
          <w:szCs w:val="22"/>
        </w:rPr>
        <w:t>.</w:t>
      </w:r>
    </w:p>
    <w:p w14:paraId="6D4F376C" w14:textId="77777777" w:rsidR="00BA55B1" w:rsidRPr="000C775F" w:rsidRDefault="00BA55B1" w:rsidP="00BA55B1">
      <w:pPr>
        <w:pStyle w:val="Default"/>
        <w:spacing w:after="200" w:line="264" w:lineRule="auto"/>
        <w:rPr>
          <w:rFonts w:ascii="Arial" w:hAnsi="Arial" w:cs="Arial"/>
          <w:color w:val="auto"/>
          <w:sz w:val="22"/>
          <w:szCs w:val="22"/>
        </w:rPr>
      </w:pPr>
      <w:r w:rsidRPr="000C775F">
        <w:rPr>
          <w:rFonts w:ascii="Arial" w:hAnsi="Arial" w:cs="Arial"/>
          <w:color w:val="auto"/>
          <w:sz w:val="22"/>
          <w:szCs w:val="22"/>
        </w:rPr>
        <w:t xml:space="preserve">The </w:t>
      </w:r>
      <w:r w:rsidRPr="000C775F">
        <w:rPr>
          <w:rFonts w:ascii="Arial" w:hAnsi="Arial" w:cs="Arial"/>
          <w:sz w:val="22"/>
          <w:szCs w:val="22"/>
        </w:rPr>
        <w:t>Australian Energy Infrastructure</w:t>
      </w:r>
      <w:r w:rsidRPr="000C775F">
        <w:rPr>
          <w:rFonts w:ascii="Arial" w:hAnsi="Arial" w:cs="Arial"/>
          <w:color w:val="auto"/>
          <w:sz w:val="22"/>
          <w:szCs w:val="22"/>
        </w:rPr>
        <w:t xml:space="preserve"> Commissioner fulfils a national, independent role in Australia’s energy sector and responsibilities include:</w:t>
      </w:r>
    </w:p>
    <w:p w14:paraId="130E0F8A" w14:textId="77777777" w:rsidR="00BA55B1" w:rsidRPr="000C775F" w:rsidRDefault="00BA55B1" w:rsidP="00BA55B1">
      <w:pPr>
        <w:pStyle w:val="Default"/>
        <w:numPr>
          <w:ilvl w:val="0"/>
          <w:numId w:val="36"/>
        </w:numPr>
        <w:adjustRightInd/>
        <w:spacing w:after="200" w:line="264" w:lineRule="auto"/>
        <w:rPr>
          <w:rFonts w:ascii="Arial" w:hAnsi="Arial" w:cs="Arial"/>
          <w:color w:val="auto"/>
          <w:sz w:val="22"/>
          <w:szCs w:val="22"/>
        </w:rPr>
      </w:pPr>
      <w:r w:rsidRPr="000C775F">
        <w:rPr>
          <w:rFonts w:ascii="Arial" w:hAnsi="Arial" w:cs="Arial"/>
          <w:color w:val="auto"/>
          <w:sz w:val="22"/>
          <w:szCs w:val="22"/>
        </w:rPr>
        <w:t>facilitating the handling of complaints from concerned community residents about planned and operating wind farms, solar farms (5 MW or more), energy storage facilities (1 MW or more) and new large-scale transmission projects</w:t>
      </w:r>
    </w:p>
    <w:p w14:paraId="1D76EACA" w14:textId="77777777" w:rsidR="00BA55B1" w:rsidRPr="000C775F" w:rsidRDefault="00BA55B1" w:rsidP="00BA55B1">
      <w:pPr>
        <w:pStyle w:val="Default"/>
        <w:numPr>
          <w:ilvl w:val="0"/>
          <w:numId w:val="36"/>
        </w:numPr>
        <w:adjustRightInd/>
        <w:spacing w:after="200" w:line="264" w:lineRule="auto"/>
        <w:rPr>
          <w:rFonts w:ascii="Arial" w:hAnsi="Arial" w:cs="Arial"/>
          <w:color w:val="auto"/>
          <w:sz w:val="22"/>
          <w:szCs w:val="22"/>
        </w:rPr>
      </w:pPr>
      <w:r w:rsidRPr="000C775F">
        <w:rPr>
          <w:rFonts w:ascii="Arial" w:hAnsi="Arial" w:cs="Arial"/>
          <w:color w:val="auto"/>
          <w:sz w:val="22"/>
          <w:szCs w:val="22"/>
        </w:rPr>
        <w:t>identifying and promoting best practices for industry, government and related agencies to adopt with regard to the planning, operation and governance of such projects, and</w:t>
      </w:r>
    </w:p>
    <w:p w14:paraId="761A100F" w14:textId="77777777" w:rsidR="00BA55B1" w:rsidRPr="000C775F" w:rsidRDefault="00BA55B1" w:rsidP="00BA55B1">
      <w:pPr>
        <w:pStyle w:val="Default"/>
        <w:numPr>
          <w:ilvl w:val="0"/>
          <w:numId w:val="36"/>
        </w:numPr>
        <w:adjustRightInd/>
        <w:spacing w:after="200" w:line="264" w:lineRule="auto"/>
        <w:rPr>
          <w:rFonts w:ascii="Arial" w:hAnsi="Arial" w:cs="Arial"/>
          <w:color w:val="auto"/>
          <w:sz w:val="22"/>
          <w:szCs w:val="22"/>
        </w:rPr>
      </w:pPr>
      <w:r w:rsidRPr="000C775F">
        <w:rPr>
          <w:rFonts w:ascii="Arial" w:hAnsi="Arial" w:cs="Arial"/>
          <w:color w:val="auto"/>
          <w:sz w:val="22"/>
          <w:szCs w:val="22"/>
        </w:rPr>
        <w:t>improving information access and transparency about proposed and operating projects, and relevant government and industry information more broadly.</w:t>
      </w:r>
    </w:p>
    <w:p w14:paraId="60E716FE" w14:textId="77777777" w:rsidR="00BA55B1" w:rsidRPr="000C775F" w:rsidRDefault="00BA55B1" w:rsidP="00BA55B1">
      <w:pPr>
        <w:spacing w:line="264" w:lineRule="auto"/>
        <w:rPr>
          <w:rFonts w:cs="Arial"/>
        </w:rPr>
      </w:pPr>
      <w:r w:rsidRPr="000C775F">
        <w:rPr>
          <w:rFonts w:cs="Arial"/>
          <w:color w:val="000000"/>
        </w:rPr>
        <w:t xml:space="preserve">Our Office understands the importance of </w:t>
      </w:r>
      <w:r w:rsidRPr="000C775F">
        <w:rPr>
          <w:rFonts w:cs="Arial"/>
        </w:rPr>
        <w:t xml:space="preserve">a ‘whole of system plan’ that provides a pathway for the timely and efficient development of the electricity system in eastern Australia. We recognise that the Integrated System Plan will play a crucial role in managing the various challenges in the planning and management of the energy grid in the coming transitional period. </w:t>
      </w:r>
    </w:p>
    <w:p w14:paraId="1C69FEBE" w14:textId="77777777" w:rsidR="00BA55B1" w:rsidRPr="000C775F" w:rsidRDefault="00BA55B1" w:rsidP="00BA55B1">
      <w:pPr>
        <w:spacing w:line="264" w:lineRule="auto"/>
        <w:rPr>
          <w:rFonts w:cs="Arial"/>
        </w:rPr>
      </w:pPr>
      <w:r w:rsidRPr="000C775F">
        <w:rPr>
          <w:rFonts w:cs="Arial"/>
          <w:color w:val="000000"/>
        </w:rPr>
        <w:t xml:space="preserve">We are pleased that you have released this draft document for consultation. </w:t>
      </w:r>
      <w:r w:rsidRPr="000C775F">
        <w:rPr>
          <w:rFonts w:cs="Arial"/>
        </w:rPr>
        <w:t xml:space="preserve">In particular, </w:t>
      </w:r>
      <w:r w:rsidRPr="000C775F">
        <w:rPr>
          <w:rFonts w:cs="Arial"/>
          <w:color w:val="000000"/>
        </w:rPr>
        <w:t>our Office strongly encourages the development of</w:t>
      </w:r>
      <w:r w:rsidRPr="000C775F">
        <w:rPr>
          <w:rFonts w:cs="Arial"/>
        </w:rPr>
        <w:t xml:space="preserve"> a clear roadmap for</w:t>
      </w:r>
      <w:r w:rsidRPr="000C775F">
        <w:rPr>
          <w:rFonts w:cs="Arial"/>
          <w:color w:val="000000"/>
        </w:rPr>
        <w:t xml:space="preserve"> </w:t>
      </w:r>
      <w:r w:rsidRPr="000C775F">
        <w:rPr>
          <w:rFonts w:cs="Arial"/>
        </w:rPr>
        <w:t>the transformation of the energy grid – one that recognises the importance of a long-term vision for grid architecture, planning and deployment – whilst also considering the potential direct and indirect impacts to regional communities and landowners are appropriately managed and mitigated.</w:t>
      </w:r>
    </w:p>
    <w:p w14:paraId="295E8B27" w14:textId="77777777" w:rsidR="00BA55B1" w:rsidRPr="000C775F" w:rsidRDefault="00BA55B1" w:rsidP="00BA55B1">
      <w:pPr>
        <w:spacing w:line="264" w:lineRule="auto"/>
        <w:rPr>
          <w:rFonts w:cs="Arial"/>
          <w:color w:val="000000"/>
        </w:rPr>
      </w:pPr>
      <w:r w:rsidRPr="000C775F">
        <w:rPr>
          <w:rFonts w:cs="Arial"/>
          <w:color w:val="000000"/>
        </w:rPr>
        <w:t>Further, our view is that it is essential to integrate long term grid planning and deployment with electricity generation planning to ensure availability of transmission to connect and transmit appropriate supply-side assets while ensuring that the utilisation of the grid represents an appropriate return on investment over the longer term.</w:t>
      </w:r>
    </w:p>
    <w:p w14:paraId="2B0D1FA0" w14:textId="77777777" w:rsidR="00BA55B1" w:rsidRPr="000C775F" w:rsidRDefault="00BA55B1" w:rsidP="00BA55B1">
      <w:pPr>
        <w:spacing w:line="264" w:lineRule="auto"/>
        <w:rPr>
          <w:rFonts w:cs="Arial"/>
        </w:rPr>
      </w:pPr>
      <w:r w:rsidRPr="000C775F">
        <w:rPr>
          <w:rFonts w:cs="Arial"/>
        </w:rPr>
        <w:t>Our Office offers the following information and comments below for your consideration.</w:t>
      </w:r>
    </w:p>
    <w:p w14:paraId="31830967" w14:textId="77777777" w:rsidR="00BA55B1" w:rsidRPr="000C775F" w:rsidRDefault="00BA55B1" w:rsidP="00BA55B1">
      <w:pPr>
        <w:spacing w:line="264" w:lineRule="auto"/>
        <w:rPr>
          <w:rFonts w:cs="Arial"/>
          <w:b/>
          <w:i/>
        </w:rPr>
      </w:pPr>
      <w:r w:rsidRPr="000C775F">
        <w:rPr>
          <w:rFonts w:cs="Arial"/>
          <w:b/>
          <w:i/>
        </w:rPr>
        <w:t>Initial observations on the development of proposed large-scale transmission projects</w:t>
      </w:r>
    </w:p>
    <w:p w14:paraId="0B0C8AD0" w14:textId="77777777" w:rsidR="00BA55B1" w:rsidRPr="000C775F" w:rsidRDefault="00BA55B1" w:rsidP="00BA55B1">
      <w:pPr>
        <w:spacing w:line="264" w:lineRule="auto"/>
        <w:rPr>
          <w:rFonts w:cs="Arial"/>
        </w:rPr>
      </w:pPr>
      <w:r w:rsidRPr="000C775F">
        <w:rPr>
          <w:rFonts w:cs="Arial"/>
        </w:rPr>
        <w:t>For the draft ISP to become a reality, a significant number of new transmission projects need to be designed, developed, built, operated and maintained.</w:t>
      </w:r>
    </w:p>
    <w:p w14:paraId="7B361198" w14:textId="77777777" w:rsidR="00BA55B1" w:rsidRPr="000C775F" w:rsidRDefault="00BA55B1" w:rsidP="00BA55B1">
      <w:pPr>
        <w:spacing w:line="264" w:lineRule="auto"/>
        <w:rPr>
          <w:rFonts w:cs="Arial"/>
        </w:rPr>
      </w:pPr>
      <w:r w:rsidRPr="000C775F">
        <w:rPr>
          <w:rFonts w:cs="Arial"/>
        </w:rPr>
        <w:lastRenderedPageBreak/>
        <w:t xml:space="preserve">In anticipation of this significant transmission activity, in March 2021, the role of our Office was expanded to include new large-scale transmission projects. </w:t>
      </w:r>
    </w:p>
    <w:p w14:paraId="644DF1B9" w14:textId="77777777" w:rsidR="00BA55B1" w:rsidRPr="000C775F" w:rsidRDefault="00BA55B1" w:rsidP="00BA55B1">
      <w:pPr>
        <w:spacing w:line="264" w:lineRule="auto"/>
        <w:rPr>
          <w:rFonts w:cs="Arial"/>
          <w:lang w:eastAsia="en-AU"/>
        </w:rPr>
      </w:pPr>
      <w:r w:rsidRPr="000C775F">
        <w:rPr>
          <w:rFonts w:cs="Arial"/>
        </w:rPr>
        <w:t xml:space="preserve">Since taking on the expanded role, we have made a number of initial observations in relation to potential systemic issues and challenges regarding the design, development and deployment of large-scale transmission lines. Some of these </w:t>
      </w:r>
      <w:r w:rsidRPr="000C775F">
        <w:rPr>
          <w:rFonts w:cs="Arial"/>
          <w:lang w:eastAsia="en-AU"/>
        </w:rPr>
        <w:t>observations include:</w:t>
      </w:r>
    </w:p>
    <w:p w14:paraId="1D3F29A4" w14:textId="77777777" w:rsidR="00BA55B1" w:rsidRPr="000C775F" w:rsidRDefault="00BA55B1" w:rsidP="00BA55B1">
      <w:pPr>
        <w:pStyle w:val="ListParagraph"/>
        <w:numPr>
          <w:ilvl w:val="0"/>
          <w:numId w:val="27"/>
        </w:numPr>
        <w:spacing w:line="264" w:lineRule="auto"/>
        <w:ind w:left="714" w:right="357" w:hanging="357"/>
        <w:textAlignment w:val="baseline"/>
        <w:rPr>
          <w:rFonts w:eastAsia="Arial" w:cs="Arial"/>
          <w:color w:val="000000"/>
        </w:rPr>
      </w:pPr>
      <w:r w:rsidRPr="000C775F">
        <w:rPr>
          <w:rFonts w:eastAsia="Arial" w:cs="Arial"/>
          <w:color w:val="000000"/>
        </w:rPr>
        <w:t xml:space="preserve">It has been several decades since new, long-distance, large-scale transmission projects have been planned and deployed. Industry (and regulators) will likely have a steep learning curve as well as challenges in regaining and retaining the appropriate skills and expertise, including skills related to community and landholder </w:t>
      </w:r>
      <w:r w:rsidRPr="000C775F">
        <w:rPr>
          <w:rFonts w:eastAsia="Arial" w:cs="Arial"/>
          <w:color w:val="000000"/>
          <w:spacing w:val="-2"/>
        </w:rPr>
        <w:t xml:space="preserve">engagement. </w:t>
      </w:r>
    </w:p>
    <w:p w14:paraId="1B2D2D7B" w14:textId="77777777" w:rsidR="00BA55B1" w:rsidRPr="000C775F" w:rsidRDefault="00BA55B1" w:rsidP="00BA55B1">
      <w:pPr>
        <w:numPr>
          <w:ilvl w:val="0"/>
          <w:numId w:val="27"/>
        </w:numPr>
        <w:tabs>
          <w:tab w:val="left" w:pos="792"/>
        </w:tabs>
        <w:spacing w:line="264" w:lineRule="auto"/>
        <w:ind w:left="714" w:right="792" w:hanging="357"/>
        <w:textAlignment w:val="baseline"/>
        <w:rPr>
          <w:rFonts w:eastAsia="Arial" w:cs="Arial"/>
          <w:color w:val="000000"/>
        </w:rPr>
      </w:pPr>
      <w:r w:rsidRPr="000C775F">
        <w:rPr>
          <w:rFonts w:eastAsia="Arial" w:cs="Arial"/>
          <w:color w:val="000000"/>
        </w:rPr>
        <w:t>There will be a need for clearly visible leadership and ownership of these major projects to enable achieving agreed project outcomes, delivering on the business case and ensuring ongoing clarity about the problem(s) to be solved by the project.</w:t>
      </w:r>
    </w:p>
    <w:p w14:paraId="2F36844D" w14:textId="77777777" w:rsidR="00BA55B1" w:rsidRPr="000C775F" w:rsidRDefault="00BA55B1" w:rsidP="00BA55B1">
      <w:pPr>
        <w:numPr>
          <w:ilvl w:val="0"/>
          <w:numId w:val="27"/>
        </w:numPr>
        <w:tabs>
          <w:tab w:val="left" w:pos="792"/>
        </w:tabs>
        <w:spacing w:line="264" w:lineRule="auto"/>
        <w:ind w:left="714" w:hanging="357"/>
        <w:textAlignment w:val="baseline"/>
        <w:rPr>
          <w:rFonts w:eastAsia="Arial" w:cs="Arial"/>
          <w:color w:val="000000"/>
        </w:rPr>
      </w:pPr>
      <w:r w:rsidRPr="000C775F">
        <w:rPr>
          <w:rFonts w:eastAsia="Arial" w:cs="Arial"/>
          <w:color w:val="000000"/>
        </w:rPr>
        <w:t>In addition, there will need to be an appropriate, effective executive level governance of projects, including representation from major stakeholders, with material project decisions elevated to the executive.</w:t>
      </w:r>
    </w:p>
    <w:p w14:paraId="597E55CA" w14:textId="77777777" w:rsidR="00BA55B1" w:rsidRPr="000C775F" w:rsidRDefault="00BA55B1" w:rsidP="00BA55B1">
      <w:pPr>
        <w:numPr>
          <w:ilvl w:val="0"/>
          <w:numId w:val="27"/>
        </w:numPr>
        <w:tabs>
          <w:tab w:val="left" w:pos="792"/>
        </w:tabs>
        <w:spacing w:line="264" w:lineRule="auto"/>
        <w:ind w:left="714" w:hanging="357"/>
        <w:textAlignment w:val="baseline"/>
        <w:rPr>
          <w:rFonts w:eastAsia="Arial" w:cs="Arial"/>
          <w:color w:val="000000"/>
        </w:rPr>
      </w:pPr>
      <w:r w:rsidRPr="000C775F">
        <w:rPr>
          <w:rFonts w:eastAsia="Arial" w:cs="Arial"/>
          <w:color w:val="000000"/>
        </w:rPr>
        <w:t xml:space="preserve">There should be careful consideration of design and route implications resulting from technology choices to deliver the project. Emerging and maturing technologies, such as underground cable options and large-scale storage solutions, may have a material impact and benefit in reducing the impact of the overall project on landholders and community. </w:t>
      </w:r>
    </w:p>
    <w:p w14:paraId="5EADFBB9" w14:textId="711AB7C2" w:rsidR="00BA55B1" w:rsidRPr="000C775F" w:rsidRDefault="00BA55B1" w:rsidP="00BA55B1">
      <w:pPr>
        <w:numPr>
          <w:ilvl w:val="0"/>
          <w:numId w:val="27"/>
        </w:numPr>
        <w:tabs>
          <w:tab w:val="left" w:pos="792"/>
        </w:tabs>
        <w:spacing w:line="264" w:lineRule="auto"/>
        <w:ind w:left="714" w:right="-1" w:hanging="357"/>
        <w:textAlignment w:val="baseline"/>
        <w:rPr>
          <w:rFonts w:eastAsia="Arial" w:cs="Arial"/>
          <w:color w:val="000000"/>
          <w:spacing w:val="-1"/>
        </w:rPr>
      </w:pPr>
      <w:r w:rsidRPr="000C775F">
        <w:rPr>
          <w:rFonts w:eastAsia="Arial" w:cs="Arial"/>
          <w:color w:val="000000"/>
          <w:spacing w:val="-1"/>
        </w:rPr>
        <w:t xml:space="preserve">There is a need for </w:t>
      </w:r>
      <w:r w:rsidR="00737F39" w:rsidRPr="000C775F">
        <w:rPr>
          <w:rFonts w:eastAsia="Arial" w:cs="Arial"/>
          <w:color w:val="000000"/>
          <w:spacing w:val="-1"/>
        </w:rPr>
        <w:t>updated</w:t>
      </w:r>
      <w:r w:rsidRPr="000C775F">
        <w:rPr>
          <w:rFonts w:eastAsia="Arial" w:cs="Arial"/>
          <w:color w:val="000000"/>
          <w:spacing w:val="-1"/>
        </w:rPr>
        <w:t xml:space="preserve"> contemporary planning processes and guidelines to assist with the design and assessment of projects. Guidelines need to consider a range of parameters – as an example, minimum setback distances for above ground transmission lines and towers from residences, property boundaries, public facilities, state and national parks, airfields and runways, and public roads.</w:t>
      </w:r>
    </w:p>
    <w:p w14:paraId="539EE423" w14:textId="4F61A573" w:rsidR="00BA55B1" w:rsidRPr="000C775F" w:rsidRDefault="00BA55B1" w:rsidP="00BA55B1">
      <w:pPr>
        <w:numPr>
          <w:ilvl w:val="0"/>
          <w:numId w:val="27"/>
        </w:numPr>
        <w:tabs>
          <w:tab w:val="left" w:pos="792"/>
        </w:tabs>
        <w:spacing w:line="264" w:lineRule="auto"/>
        <w:ind w:left="714" w:right="-1" w:hanging="357"/>
        <w:textAlignment w:val="baseline"/>
        <w:rPr>
          <w:rFonts w:eastAsia="Arial" w:cs="Arial"/>
          <w:color w:val="000000"/>
          <w:spacing w:val="-2"/>
        </w:rPr>
      </w:pPr>
      <w:r w:rsidRPr="000C775F">
        <w:rPr>
          <w:rFonts w:eastAsia="Arial" w:cs="Arial"/>
          <w:color w:val="000000"/>
        </w:rPr>
        <w:t xml:space="preserve">The effectiveness of community and landholder engagement programs and their ability to adapt to the diversity of community and landholder circumstances </w:t>
      </w:r>
      <w:r w:rsidRPr="000C775F">
        <w:rPr>
          <w:rFonts w:eastAsia="Arial" w:cs="Arial"/>
          <w:color w:val="000000"/>
          <w:spacing w:val="-2"/>
        </w:rPr>
        <w:t>along the length of the proposed transmission line is essential. Affected persons can include suburban home residents, lifestyle property residents, hobby farmers, specialised breeders and primary producers through to broad-acre farming. Such diversity of impacted persons can also lead to a diverse array of community opposition groups to the project that have differing issues and objections to navigate.</w:t>
      </w:r>
    </w:p>
    <w:p w14:paraId="11A2FD31" w14:textId="701512E7" w:rsidR="00BA55B1" w:rsidRPr="000C775F" w:rsidRDefault="00BA55B1" w:rsidP="00BA55B1">
      <w:pPr>
        <w:numPr>
          <w:ilvl w:val="0"/>
          <w:numId w:val="27"/>
        </w:numPr>
        <w:tabs>
          <w:tab w:val="left" w:pos="792"/>
        </w:tabs>
        <w:spacing w:line="264" w:lineRule="auto"/>
        <w:ind w:left="714" w:right="-1" w:hanging="357"/>
        <w:textAlignment w:val="baseline"/>
        <w:rPr>
          <w:rFonts w:eastAsia="Arial" w:cs="Arial"/>
        </w:rPr>
      </w:pPr>
      <w:r w:rsidRPr="000C775F">
        <w:rPr>
          <w:rFonts w:eastAsia="Arial" w:cs="Arial"/>
          <w:color w:val="000000"/>
        </w:rPr>
        <w:t xml:space="preserve">There may be unintended consequences, resulting in widespread project opposition from numerous landholders and communities, due to the current public ‘multi-corridor approach’ to community consultation being used </w:t>
      </w:r>
      <w:r w:rsidRPr="000C775F">
        <w:rPr>
          <w:rFonts w:eastAsia="Arial" w:cs="Arial"/>
        </w:rPr>
        <w:t xml:space="preserve">to select a final proposed transmission line route. An alternative approach may be to internally determine the preferred route corridor and then engage the community and landholders to finalise the actual route with their insights. </w:t>
      </w:r>
    </w:p>
    <w:p w14:paraId="34D7F88C" w14:textId="77777777" w:rsidR="00BA55B1" w:rsidRPr="000C775F" w:rsidRDefault="00BA55B1" w:rsidP="00BA55B1">
      <w:pPr>
        <w:numPr>
          <w:ilvl w:val="0"/>
          <w:numId w:val="27"/>
        </w:numPr>
        <w:tabs>
          <w:tab w:val="left" w:pos="792"/>
        </w:tabs>
        <w:spacing w:line="264" w:lineRule="auto"/>
        <w:ind w:left="714" w:hanging="357"/>
        <w:textAlignment w:val="baseline"/>
        <w:rPr>
          <w:rFonts w:eastAsia="Arial" w:cs="Arial"/>
          <w:color w:val="000000"/>
        </w:rPr>
      </w:pPr>
      <w:r w:rsidRPr="000C775F">
        <w:rPr>
          <w:rFonts w:eastAsia="Arial" w:cs="Arial"/>
          <w:color w:val="000000"/>
        </w:rPr>
        <w:t>Current compensation arrangements for landholders hosting transmission and related infrastructure may be perceived be inequitable when compared with landholder arrangements for hosting wind farms and solar farms, which could affect the success rate of negotiated agreements for hosting transmission lines and harm the ability to engender good will.</w:t>
      </w:r>
    </w:p>
    <w:p w14:paraId="5C66F218" w14:textId="77777777" w:rsidR="00BA55B1" w:rsidRPr="002A1DE1" w:rsidRDefault="00BA55B1" w:rsidP="00BA55B1">
      <w:pPr>
        <w:numPr>
          <w:ilvl w:val="0"/>
          <w:numId w:val="27"/>
        </w:numPr>
        <w:tabs>
          <w:tab w:val="left" w:pos="792"/>
        </w:tabs>
        <w:spacing w:line="264" w:lineRule="auto"/>
        <w:ind w:left="714" w:right="-1" w:hanging="357"/>
        <w:textAlignment w:val="baseline"/>
        <w:rPr>
          <w:rFonts w:eastAsia="Arial" w:cs="Arial"/>
          <w:color w:val="000000"/>
          <w:spacing w:val="-2"/>
        </w:rPr>
      </w:pPr>
      <w:r w:rsidRPr="000C775F">
        <w:rPr>
          <w:rFonts w:eastAsia="Arial" w:cs="Arial"/>
          <w:color w:val="000000"/>
        </w:rPr>
        <w:t>The need for clear and consistent protocols for working with landholders, such as land access protocols that must be followed by proponents when accessing landowner properties for surveys/investigations, the process to negotiate and obtain easements from landholders, through to publishing consistent guidelines that clarify what activities a landholder can and cannot do near or within a transmission line easement.</w:t>
      </w:r>
    </w:p>
    <w:p w14:paraId="329940E3" w14:textId="77777777" w:rsidR="002A1DE1" w:rsidRPr="000C775F" w:rsidRDefault="002A1DE1" w:rsidP="002A1DE1">
      <w:pPr>
        <w:tabs>
          <w:tab w:val="left" w:pos="792"/>
        </w:tabs>
        <w:spacing w:line="264" w:lineRule="auto"/>
        <w:ind w:left="714" w:right="-1"/>
        <w:textAlignment w:val="baseline"/>
        <w:rPr>
          <w:rFonts w:eastAsia="Arial" w:cs="Arial"/>
          <w:color w:val="000000"/>
          <w:spacing w:val="-2"/>
        </w:rPr>
      </w:pPr>
    </w:p>
    <w:p w14:paraId="74625763" w14:textId="77777777" w:rsidR="00BA55B1" w:rsidRPr="000C775F" w:rsidRDefault="00BA55B1" w:rsidP="00BA55B1">
      <w:pPr>
        <w:numPr>
          <w:ilvl w:val="0"/>
          <w:numId w:val="27"/>
        </w:numPr>
        <w:tabs>
          <w:tab w:val="left" w:pos="792"/>
        </w:tabs>
        <w:spacing w:line="264" w:lineRule="auto"/>
        <w:ind w:left="714" w:right="-1" w:hanging="357"/>
        <w:textAlignment w:val="baseline"/>
        <w:rPr>
          <w:rFonts w:eastAsia="Arial" w:cs="Arial"/>
          <w:color w:val="000000"/>
          <w:spacing w:val="-2"/>
        </w:rPr>
      </w:pPr>
      <w:r w:rsidRPr="000C775F">
        <w:rPr>
          <w:rFonts w:eastAsia="Arial" w:cs="Arial"/>
          <w:color w:val="000000"/>
          <w:spacing w:val="-2"/>
        </w:rPr>
        <w:lastRenderedPageBreak/>
        <w:t>Other key issues of concern that have been raised community members and landholders include:</w:t>
      </w:r>
    </w:p>
    <w:p w14:paraId="7BBF548B"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rPr>
      </w:pPr>
      <w:r w:rsidRPr="000C775F">
        <w:rPr>
          <w:rFonts w:eastAsia="Arial" w:cs="Arial"/>
          <w:color w:val="000000"/>
          <w:spacing w:val="-2"/>
        </w:rPr>
        <w:t>effectiveness, or otherwise, of current community/landholder engagement programs, including skills and abilities of landholder liaison personnel</w:t>
      </w:r>
    </w:p>
    <w:p w14:paraId="761B41C4"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rPr>
      </w:pPr>
      <w:r w:rsidRPr="000C775F">
        <w:rPr>
          <w:rFonts w:eastAsia="Arial" w:cs="Arial"/>
          <w:color w:val="000000"/>
        </w:rPr>
        <w:t>perceived potential for increased bushfire risk and decreased fire</w:t>
      </w:r>
      <w:r w:rsidRPr="000C775F">
        <w:rPr>
          <w:rFonts w:eastAsia="Arial" w:cs="Arial"/>
          <w:color w:val="000000"/>
        </w:rPr>
        <w:softHyphen/>
        <w:t>fighting capability due to the presence of above ground transmission assets</w:t>
      </w:r>
    </w:p>
    <w:p w14:paraId="0EB7045A"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spacing w:val="-1"/>
        </w:rPr>
      </w:pPr>
      <w:r w:rsidRPr="000C775F">
        <w:rPr>
          <w:rFonts w:eastAsia="Arial" w:cs="Arial"/>
          <w:color w:val="000000"/>
          <w:spacing w:val="-1"/>
        </w:rPr>
        <w:t>impacts of the transmission lines to visual amenity and the natural environment</w:t>
      </w:r>
    </w:p>
    <w:p w14:paraId="1E2EA5D2"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spacing w:val="-1"/>
        </w:rPr>
      </w:pPr>
      <w:r w:rsidRPr="000C775F">
        <w:rPr>
          <w:rFonts w:eastAsia="Arial" w:cs="Arial"/>
          <w:color w:val="000000"/>
          <w:spacing w:val="-1"/>
        </w:rPr>
        <w:t>the potential for new grid and substations to attract prospectors for new solar and wind farm deployments, which may lead to further concentrations of renewable assets</w:t>
      </w:r>
    </w:p>
    <w:p w14:paraId="7E9C3ACF"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spacing w:val="-2"/>
        </w:rPr>
      </w:pPr>
      <w:r w:rsidRPr="000C775F">
        <w:rPr>
          <w:rFonts w:eastAsia="Arial" w:cs="Arial"/>
          <w:color w:val="000000"/>
          <w:spacing w:val="-2"/>
        </w:rPr>
        <w:t>potential loss of property value, and</w:t>
      </w:r>
    </w:p>
    <w:p w14:paraId="4A890904" w14:textId="77777777" w:rsidR="00BA55B1" w:rsidRPr="000C775F" w:rsidRDefault="00BA55B1" w:rsidP="00BA55B1">
      <w:pPr>
        <w:numPr>
          <w:ilvl w:val="1"/>
          <w:numId w:val="27"/>
        </w:numPr>
        <w:tabs>
          <w:tab w:val="left" w:pos="792"/>
        </w:tabs>
        <w:spacing w:line="264" w:lineRule="auto"/>
        <w:ind w:right="-1"/>
        <w:textAlignment w:val="baseline"/>
        <w:rPr>
          <w:rFonts w:eastAsia="Arial" w:cs="Arial"/>
          <w:color w:val="000000"/>
          <w:spacing w:val="-1"/>
        </w:rPr>
      </w:pPr>
      <w:r w:rsidRPr="000C775F">
        <w:rPr>
          <w:rFonts w:eastAsia="Arial" w:cs="Arial"/>
          <w:color w:val="000000"/>
          <w:spacing w:val="-1"/>
        </w:rPr>
        <w:t>reduction of productive agricultural land and impact on farm and industry economics.</w:t>
      </w:r>
    </w:p>
    <w:p w14:paraId="062BB500" w14:textId="77777777" w:rsidR="00BA55B1" w:rsidRPr="000C775F" w:rsidRDefault="00BA55B1" w:rsidP="00BA55B1">
      <w:pPr>
        <w:spacing w:line="264" w:lineRule="auto"/>
        <w:rPr>
          <w:rFonts w:cs="Arial"/>
        </w:rPr>
      </w:pPr>
      <w:r w:rsidRPr="000C775F">
        <w:rPr>
          <w:rFonts w:cs="Arial"/>
          <w:color w:val="000000"/>
        </w:rPr>
        <w:t xml:space="preserve">These and other observations, together with best practice recommendations for the sector and government, will be provided in our 2021 Annual Report. </w:t>
      </w:r>
    </w:p>
    <w:p w14:paraId="55CB6C9B" w14:textId="77777777" w:rsidR="00BA55B1" w:rsidRPr="000C775F" w:rsidRDefault="00BA55B1" w:rsidP="00BA55B1">
      <w:pPr>
        <w:spacing w:line="264" w:lineRule="auto"/>
        <w:rPr>
          <w:rFonts w:cs="Arial"/>
          <w:b/>
          <w:i/>
        </w:rPr>
      </w:pPr>
      <w:r w:rsidRPr="000C775F">
        <w:rPr>
          <w:rFonts w:cs="Arial"/>
          <w:b/>
          <w:i/>
        </w:rPr>
        <w:t>Planning and governance</w:t>
      </w:r>
    </w:p>
    <w:p w14:paraId="78126B91" w14:textId="77777777" w:rsidR="00BA55B1" w:rsidRPr="000C775F" w:rsidRDefault="00BA55B1" w:rsidP="00BA55B1">
      <w:pPr>
        <w:spacing w:line="264" w:lineRule="auto"/>
        <w:rPr>
          <w:rFonts w:cs="Arial"/>
        </w:rPr>
      </w:pPr>
      <w:r w:rsidRPr="000C775F">
        <w:rPr>
          <w:rFonts w:cs="Arial"/>
        </w:rPr>
        <w:t>The Office considers that it is crucial to have a clearly articulated strategy and governance framework for the planning, deployment and ownership of the large-scale transmission grid. These mechanisms will enable a sustainable approach to generational planning and oversight of the grid’s design, deployment and operation. Key considerations include:</w:t>
      </w:r>
    </w:p>
    <w:p w14:paraId="75B5A424" w14:textId="77777777" w:rsidR="00BA55B1" w:rsidRPr="000C775F" w:rsidRDefault="00BA55B1" w:rsidP="00BA55B1">
      <w:pPr>
        <w:pStyle w:val="ListParagraph"/>
        <w:numPr>
          <w:ilvl w:val="0"/>
          <w:numId w:val="37"/>
        </w:numPr>
        <w:spacing w:line="264" w:lineRule="auto"/>
        <w:rPr>
          <w:rFonts w:cs="Arial"/>
        </w:rPr>
      </w:pPr>
      <w:r w:rsidRPr="000C775F">
        <w:rPr>
          <w:rFonts w:cs="Arial"/>
        </w:rPr>
        <w:t>Clarifying and agreeing on the appropriate authority to approve the long term, large-scale transmission grid plan and ensuring its successful deployment to agreed milestones.</w:t>
      </w:r>
    </w:p>
    <w:p w14:paraId="5466ECB1" w14:textId="77777777" w:rsidR="00BA55B1" w:rsidRPr="000C775F" w:rsidRDefault="00BA55B1" w:rsidP="00BA55B1">
      <w:pPr>
        <w:pStyle w:val="ListParagraph"/>
        <w:numPr>
          <w:ilvl w:val="0"/>
          <w:numId w:val="37"/>
        </w:numPr>
        <w:spacing w:line="264" w:lineRule="auto"/>
        <w:rPr>
          <w:rFonts w:cs="Arial"/>
        </w:rPr>
      </w:pPr>
      <w:r w:rsidRPr="000C775F">
        <w:rPr>
          <w:rFonts w:cs="Arial"/>
        </w:rPr>
        <w:t>Clarifying and agreeing on the respective roles and responsibilities (with regard to the design, development and deployment of the grid and the associated funding mechanisms) of the various Federal and State agencies/organisations, including the AER, AEMO, AEMC, ESB, DISER, TNSPs, VIC Grid, Energy Corp of NSW, Essential Services Commission (VIC), Energy Safe Victoria, DELWP, DPE and other state government equivalents.</w:t>
      </w:r>
    </w:p>
    <w:p w14:paraId="0B9326A2" w14:textId="77777777" w:rsidR="00BA55B1" w:rsidRPr="000C775F" w:rsidRDefault="00BA55B1" w:rsidP="00BA55B1">
      <w:pPr>
        <w:pStyle w:val="ListParagraph"/>
        <w:numPr>
          <w:ilvl w:val="0"/>
          <w:numId w:val="37"/>
        </w:numPr>
        <w:spacing w:line="264" w:lineRule="auto"/>
        <w:rPr>
          <w:rFonts w:cs="Arial"/>
        </w:rPr>
      </w:pPr>
      <w:r w:rsidRPr="000C775F">
        <w:rPr>
          <w:rFonts w:cs="Arial"/>
        </w:rPr>
        <w:t>Given the scarcity of remaining land options in some key corridors, action should be taken sooner rather than later for the relevant bodies to secure and acquire easements likely to be required for future transmission corridors. A new funding mechanism will likely be required to fund this initiative.</w:t>
      </w:r>
    </w:p>
    <w:p w14:paraId="273DD0A5" w14:textId="77777777" w:rsidR="00BA55B1" w:rsidRPr="000C775F" w:rsidRDefault="00BA55B1" w:rsidP="00BA55B1">
      <w:pPr>
        <w:pStyle w:val="ListParagraph"/>
        <w:numPr>
          <w:ilvl w:val="0"/>
          <w:numId w:val="37"/>
        </w:numPr>
        <w:spacing w:line="264" w:lineRule="auto"/>
        <w:rPr>
          <w:rFonts w:cs="Arial"/>
        </w:rPr>
      </w:pPr>
      <w:r w:rsidRPr="000C775F">
        <w:rPr>
          <w:rFonts w:cs="Arial"/>
        </w:rPr>
        <w:t>The agency responsible for the overall planning of the electricity grid should ensure there are regular reviews in place (incorporating impacts of new and emerging technologies) at least every five years to adjust the plan to meet changes in circumstances and technology.</w:t>
      </w:r>
    </w:p>
    <w:p w14:paraId="097A21D6" w14:textId="77777777" w:rsidR="00BA55B1" w:rsidRPr="000C775F" w:rsidRDefault="00BA55B1" w:rsidP="00BA55B1">
      <w:pPr>
        <w:spacing w:line="264" w:lineRule="auto"/>
        <w:rPr>
          <w:rFonts w:cs="Arial"/>
          <w:b/>
          <w:i/>
        </w:rPr>
      </w:pPr>
      <w:r w:rsidRPr="000C775F">
        <w:rPr>
          <w:rFonts w:cs="Arial"/>
          <w:b/>
          <w:i/>
        </w:rPr>
        <w:t>Managing project risks and social licence</w:t>
      </w:r>
    </w:p>
    <w:p w14:paraId="2D70C4B1" w14:textId="77777777" w:rsidR="00BA55B1" w:rsidRPr="000C775F" w:rsidRDefault="00BA55B1" w:rsidP="00BA55B1">
      <w:pPr>
        <w:spacing w:line="264" w:lineRule="auto"/>
        <w:rPr>
          <w:rFonts w:cs="Arial"/>
        </w:rPr>
      </w:pPr>
      <w:r w:rsidRPr="000C775F">
        <w:rPr>
          <w:rFonts w:cs="Arial"/>
        </w:rPr>
        <w:t>One of the more complex issues for new grid deployments will be gaining acceptance of large-scale transmission projects by affected communities and landholders. Further, community expectations as well as the ability to successfully galvanise opposition to projects through social media have increased significantly since the last generation of large-scale transmission projects were deployed.</w:t>
      </w:r>
    </w:p>
    <w:p w14:paraId="5A368BBF" w14:textId="77777777" w:rsidR="00BA55B1" w:rsidRPr="000C775F" w:rsidRDefault="00BA55B1" w:rsidP="00BA55B1">
      <w:pPr>
        <w:spacing w:line="264" w:lineRule="auto"/>
        <w:rPr>
          <w:rFonts w:cs="Arial"/>
        </w:rPr>
      </w:pPr>
      <w:r w:rsidRPr="000C775F">
        <w:rPr>
          <w:rFonts w:cs="Arial"/>
        </w:rPr>
        <w:t>It is vitally important that appropriate investments in building and maintaining effective relationships with landholders and community members are appropriately funded – noting that the costs of being burdened with ineffective relationships are quite severe.</w:t>
      </w:r>
    </w:p>
    <w:p w14:paraId="799C093B" w14:textId="77777777" w:rsidR="00BA55B1" w:rsidRPr="000C775F" w:rsidRDefault="00BA55B1" w:rsidP="00BA55B1">
      <w:pPr>
        <w:spacing w:line="264" w:lineRule="auto"/>
        <w:rPr>
          <w:rFonts w:cs="Arial"/>
        </w:rPr>
      </w:pPr>
      <w:r w:rsidRPr="000C775F">
        <w:rPr>
          <w:rFonts w:cs="Arial"/>
        </w:rPr>
        <w:t>Under the current regulatory framework, our Office understands that recovery of projected costs for public infrastructure is a matter that is of key concern for TNSP’s when it comes to management of social licence and consideration of community benefits and compensation for landowners.</w:t>
      </w:r>
    </w:p>
    <w:p w14:paraId="721B1D62" w14:textId="77777777" w:rsidR="00BA55B1" w:rsidRPr="000C775F" w:rsidRDefault="00BA55B1" w:rsidP="00BA55B1">
      <w:pPr>
        <w:spacing w:line="264" w:lineRule="auto"/>
        <w:rPr>
          <w:rFonts w:cs="Arial"/>
        </w:rPr>
      </w:pPr>
      <w:r w:rsidRPr="000C775F">
        <w:rPr>
          <w:rFonts w:cs="Arial"/>
        </w:rPr>
        <w:lastRenderedPageBreak/>
        <w:t>The current framework appears to be weighted on minimising risks related to ‘overbuilding’ or ‘gold-plating’ of transmission projects at the expense of the electricity consumer. Conversely, the framework does not appear to fully consider the risks of new major transmission projects being seriously delayed or halted as a result of material actions taken by groups opposed to a project (such as legal actions challenging the planning process or planning decisions).</w:t>
      </w:r>
    </w:p>
    <w:p w14:paraId="154329AC" w14:textId="77777777" w:rsidR="00BA55B1" w:rsidRPr="000C775F" w:rsidRDefault="00BA55B1" w:rsidP="00BA55B1">
      <w:pPr>
        <w:spacing w:line="264" w:lineRule="auto"/>
        <w:rPr>
          <w:rFonts w:cs="Arial"/>
        </w:rPr>
      </w:pPr>
      <w:r w:rsidRPr="000C775F">
        <w:rPr>
          <w:rFonts w:cs="Arial"/>
        </w:rPr>
        <w:t>Given the above, it would be beneficial to consider enhancing the regulatory funding framework to include risk assessments that considers factors such as risk of project delays that may result from planning objections/appeals, unsuccessful or inconclusive land acquisition negotiations along with well organised, impactful opposition to the project.</w:t>
      </w:r>
    </w:p>
    <w:p w14:paraId="4CA262B5" w14:textId="77777777" w:rsidR="00BA55B1" w:rsidRPr="000C775F" w:rsidRDefault="00BA55B1" w:rsidP="00BA55B1">
      <w:pPr>
        <w:spacing w:line="264" w:lineRule="auto"/>
        <w:rPr>
          <w:rFonts w:cs="Arial"/>
          <w:b/>
          <w:i/>
        </w:rPr>
      </w:pPr>
      <w:r w:rsidRPr="000C775F">
        <w:rPr>
          <w:rFonts w:cs="Arial"/>
          <w:b/>
          <w:i/>
        </w:rPr>
        <w:t>Funding models</w:t>
      </w:r>
    </w:p>
    <w:p w14:paraId="0CB18E94" w14:textId="77777777" w:rsidR="00BA55B1" w:rsidRPr="000C775F" w:rsidRDefault="00BA55B1" w:rsidP="00BA55B1">
      <w:pPr>
        <w:spacing w:line="264" w:lineRule="auto"/>
        <w:rPr>
          <w:rFonts w:cs="Arial"/>
        </w:rPr>
      </w:pPr>
      <w:r w:rsidRPr="000C775F">
        <w:rPr>
          <w:rFonts w:cs="Arial"/>
        </w:rPr>
        <w:t xml:space="preserve">It may be timely to consider whether the current RIT-T arrangements are appropriate as a mechanism for the efficient and effective delivery of new, large-scale transmission projects that are to be built to transform the grid (as opposed to augmentations to the existing grid). </w:t>
      </w:r>
    </w:p>
    <w:p w14:paraId="12B7688F" w14:textId="77777777" w:rsidR="00BA55B1" w:rsidRPr="000C775F" w:rsidRDefault="00BA55B1" w:rsidP="00BA55B1">
      <w:pPr>
        <w:spacing w:line="264" w:lineRule="auto"/>
        <w:rPr>
          <w:rFonts w:cs="Arial"/>
        </w:rPr>
      </w:pPr>
      <w:r w:rsidRPr="000C775F">
        <w:rPr>
          <w:rFonts w:cs="Arial"/>
        </w:rPr>
        <w:t xml:space="preserve">In particular, the current cost recovery arrangements and expectations of the RIT-T process may impair the ability for TNSP’s to fund and deliver new large-scale transmission projects within the normally expected costs and benefits to the electricity consumer. </w:t>
      </w:r>
    </w:p>
    <w:p w14:paraId="2132F08C" w14:textId="738317DC" w:rsidR="00BA55B1" w:rsidRPr="000C775F" w:rsidRDefault="00BA55B1" w:rsidP="00BA55B1">
      <w:pPr>
        <w:spacing w:line="264" w:lineRule="auto"/>
        <w:rPr>
          <w:rFonts w:cs="Arial"/>
        </w:rPr>
      </w:pPr>
      <w:r w:rsidRPr="000C775F">
        <w:rPr>
          <w:rFonts w:cs="Arial"/>
        </w:rPr>
        <w:t>Major, new transmission projects may, instead, need to be funded by a hybrid of funding sources, e.g. from the RIT-T process (i.e. the consumer) plus additional funding from governments that reflect the transformational nature of such projects – and not place the entire burden of funding these projects on the consumer. Further, insufficient funding may lead to sub-optimal solutions being implemented, which may result in substantial costs later to rectify.</w:t>
      </w:r>
    </w:p>
    <w:p w14:paraId="3A42DFFC" w14:textId="77777777" w:rsidR="00BA55B1" w:rsidRPr="000C775F" w:rsidRDefault="00BA55B1" w:rsidP="00BA55B1">
      <w:pPr>
        <w:shd w:val="clear" w:color="auto" w:fill="FFFFFF"/>
        <w:spacing w:line="264" w:lineRule="auto"/>
        <w:rPr>
          <w:rFonts w:cs="Arial"/>
          <w:b/>
          <w:lang w:eastAsia="en-AU"/>
        </w:rPr>
      </w:pPr>
      <w:r w:rsidRPr="000C775F">
        <w:rPr>
          <w:rFonts w:cs="Arial"/>
          <w:b/>
          <w:lang w:eastAsia="en-AU"/>
        </w:rPr>
        <w:t>Further information</w:t>
      </w:r>
    </w:p>
    <w:p w14:paraId="32979812" w14:textId="77777777" w:rsidR="00BA55B1" w:rsidRPr="000C775F" w:rsidRDefault="00BA55B1" w:rsidP="00BA55B1">
      <w:pPr>
        <w:pStyle w:val="PlainText"/>
        <w:spacing w:after="200" w:line="264" w:lineRule="auto"/>
        <w:rPr>
          <w:rFonts w:ascii="Arial" w:hAnsi="Arial" w:cs="Arial"/>
          <w:sz w:val="22"/>
          <w:szCs w:val="22"/>
        </w:rPr>
      </w:pPr>
      <w:r w:rsidRPr="000C775F">
        <w:rPr>
          <w:rFonts w:ascii="Arial" w:hAnsi="Arial" w:cs="Arial"/>
          <w:sz w:val="22"/>
          <w:szCs w:val="22"/>
        </w:rPr>
        <w:t xml:space="preserve">Thank you again for the opportunity to make a submission on this important draft plan. I would be delighted to discuss these matters with you and your colleagues in further detail and expand on the background to our various observations and suggestions above. </w:t>
      </w:r>
    </w:p>
    <w:p w14:paraId="7CB1B5FD" w14:textId="77777777" w:rsidR="00BA55B1" w:rsidRPr="000C775F" w:rsidRDefault="00BA55B1" w:rsidP="00BA55B1">
      <w:pPr>
        <w:pStyle w:val="PlainText"/>
        <w:spacing w:after="200" w:line="264" w:lineRule="auto"/>
        <w:rPr>
          <w:rFonts w:ascii="Arial" w:hAnsi="Arial" w:cs="Arial"/>
          <w:sz w:val="22"/>
          <w:szCs w:val="22"/>
        </w:rPr>
      </w:pPr>
      <w:r w:rsidRPr="000C775F">
        <w:rPr>
          <w:rFonts w:ascii="Arial" w:hAnsi="Arial" w:cs="Arial"/>
          <w:sz w:val="22"/>
          <w:szCs w:val="22"/>
        </w:rPr>
        <w:t xml:space="preserve">In the meantime, if you have any questions about this submission or require additional information, please contact us via email at </w:t>
      </w:r>
      <w:hyperlink r:id="rId78" w:history="1">
        <w:r w:rsidRPr="000C775F">
          <w:rPr>
            <w:rStyle w:val="Hyperlink"/>
            <w:rFonts w:ascii="Arial" w:eastAsia="Calibri" w:hAnsi="Arial" w:cs="Arial"/>
            <w:sz w:val="22"/>
            <w:szCs w:val="22"/>
          </w:rPr>
          <w:t>aeic@aeic.gov.au</w:t>
        </w:r>
      </w:hyperlink>
      <w:r w:rsidRPr="000C775F">
        <w:rPr>
          <w:rFonts w:ascii="Arial" w:hAnsi="Arial" w:cs="Arial"/>
          <w:sz w:val="22"/>
          <w:szCs w:val="22"/>
        </w:rPr>
        <w:t xml:space="preserve"> or on 1800 656 395.</w:t>
      </w:r>
    </w:p>
    <w:p w14:paraId="489FA7BE" w14:textId="77777777" w:rsidR="00BA55B1" w:rsidRPr="000C775F" w:rsidRDefault="00BA55B1" w:rsidP="00BA55B1">
      <w:pPr>
        <w:shd w:val="clear" w:color="auto" w:fill="FFFFFF"/>
        <w:spacing w:line="264" w:lineRule="auto"/>
        <w:rPr>
          <w:rFonts w:cs="Arial"/>
        </w:rPr>
      </w:pPr>
      <w:r w:rsidRPr="000C775F">
        <w:rPr>
          <w:rFonts w:cs="Arial"/>
        </w:rPr>
        <w:t>Sincerely</w:t>
      </w:r>
    </w:p>
    <w:p w14:paraId="2FF2EF2E" w14:textId="77777777" w:rsidR="00BA55B1" w:rsidRPr="00C16975" w:rsidRDefault="00BA55B1" w:rsidP="00BA55B1">
      <w:pPr>
        <w:shd w:val="clear" w:color="auto" w:fill="FFFFFF"/>
        <w:rPr>
          <w:rFonts w:cs="Arial"/>
          <w:sz w:val="21"/>
          <w:szCs w:val="21"/>
        </w:rPr>
      </w:pPr>
      <w:r w:rsidRPr="00C16975">
        <w:rPr>
          <w:rFonts w:cs="Arial"/>
          <w:noProof/>
          <w:sz w:val="21"/>
          <w:szCs w:val="21"/>
          <w:lang w:eastAsia="en-AU"/>
        </w:rPr>
        <w:drawing>
          <wp:inline distT="0" distB="0" distL="0" distR="0" wp14:anchorId="58D496CD" wp14:editId="465FD8A9">
            <wp:extent cx="857250" cy="586699"/>
            <wp:effectExtent l="0" t="0" r="0" b="444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4996" cy="598844"/>
                    </a:xfrm>
                    <a:prstGeom prst="rect">
                      <a:avLst/>
                    </a:prstGeom>
                    <a:noFill/>
                    <a:ln>
                      <a:noFill/>
                    </a:ln>
                  </pic:spPr>
                </pic:pic>
              </a:graphicData>
            </a:graphic>
          </wp:inline>
        </w:drawing>
      </w:r>
    </w:p>
    <w:p w14:paraId="15CE724F" w14:textId="77777777" w:rsidR="00BA55B1" w:rsidRPr="000C775F" w:rsidRDefault="00BA55B1" w:rsidP="00BA55B1">
      <w:pPr>
        <w:spacing w:after="0"/>
        <w:rPr>
          <w:rFonts w:cs="Arial"/>
          <w:lang w:eastAsia="en-AU"/>
        </w:rPr>
      </w:pPr>
      <w:r w:rsidRPr="000C775F">
        <w:rPr>
          <w:rFonts w:cs="Arial"/>
          <w:lang w:eastAsia="en-AU"/>
        </w:rPr>
        <w:t>Andrew Dyer</w:t>
      </w:r>
    </w:p>
    <w:p w14:paraId="2C03F5D3" w14:textId="77777777" w:rsidR="00BA55B1" w:rsidRPr="000C775F" w:rsidRDefault="00BA55B1" w:rsidP="00BA55B1">
      <w:pPr>
        <w:rPr>
          <w:rFonts w:cs="Arial"/>
          <w:lang w:eastAsia="en-AU"/>
        </w:rPr>
      </w:pPr>
      <w:r w:rsidRPr="000C775F">
        <w:rPr>
          <w:rFonts w:cs="Arial"/>
          <w:lang w:eastAsia="en-AU"/>
        </w:rPr>
        <w:t>Australian Energy Infrastructure Commissioner</w:t>
      </w:r>
    </w:p>
    <w:p w14:paraId="2EFA712D" w14:textId="77777777" w:rsidR="00BA55B1" w:rsidRPr="00DD77A5" w:rsidRDefault="00BA55B1" w:rsidP="00BA55B1">
      <w:pPr>
        <w:rPr>
          <w:sz w:val="12"/>
          <w:szCs w:val="2"/>
        </w:rPr>
      </w:pPr>
    </w:p>
    <w:p w14:paraId="1EE6AEDC" w14:textId="77777777" w:rsidR="009937C7" w:rsidRDefault="009937C7" w:rsidP="00CE4A08">
      <w:pPr>
        <w:sectPr w:rsidR="009937C7" w:rsidSect="009937C7">
          <w:headerReference w:type="even" r:id="rId80"/>
          <w:headerReference w:type="default" r:id="rId81"/>
          <w:type w:val="oddPage"/>
          <w:pgSz w:w="11906" w:h="16838" w:code="9"/>
          <w:pgMar w:top="720" w:right="720" w:bottom="720" w:left="720" w:header="425" w:footer="425" w:gutter="0"/>
          <w:cols w:space="708"/>
          <w:docGrid w:linePitch="360"/>
        </w:sectPr>
      </w:pPr>
    </w:p>
    <w:p w14:paraId="722FDC89" w14:textId="4A3F6196" w:rsidR="009937C7" w:rsidRPr="00F47E6D" w:rsidRDefault="00A73385" w:rsidP="00A73385">
      <w:pPr>
        <w:pStyle w:val="Heading1"/>
      </w:pPr>
      <w:bookmarkStart w:id="257" w:name="_Toc135390670"/>
      <w:r>
        <w:lastRenderedPageBreak/>
        <w:t xml:space="preserve">APPENDIX D: </w:t>
      </w:r>
      <w:r w:rsidR="009937C7">
        <w:t>G</w:t>
      </w:r>
      <w:r w:rsidR="009937C7" w:rsidRPr="00F47E6D">
        <w:t>lossary</w:t>
      </w:r>
      <w:bookmarkEnd w:id="257"/>
    </w:p>
    <w:tbl>
      <w:tblPr>
        <w:tblStyle w:val="TableGrid"/>
        <w:tblW w:w="0" w:type="auto"/>
        <w:tblLook w:val="04A0" w:firstRow="1" w:lastRow="0" w:firstColumn="1" w:lastColumn="0" w:noHBand="0" w:noVBand="1"/>
      </w:tblPr>
      <w:tblGrid>
        <w:gridCol w:w="2830"/>
        <w:gridCol w:w="7626"/>
      </w:tblGrid>
      <w:tr w:rsidR="009937C7" w:rsidRPr="00F47E6D" w14:paraId="2356881F" w14:textId="77777777" w:rsidTr="006C78FB">
        <w:trPr>
          <w:cnfStyle w:val="100000000000" w:firstRow="1" w:lastRow="0" w:firstColumn="0" w:lastColumn="0" w:oddVBand="0" w:evenVBand="0" w:oddHBand="0" w:evenHBand="0" w:firstRowFirstColumn="0" w:firstRowLastColumn="0" w:lastRowFirstColumn="0" w:lastRowLastColumn="0"/>
        </w:trPr>
        <w:tc>
          <w:tcPr>
            <w:tcW w:w="2830" w:type="dxa"/>
          </w:tcPr>
          <w:p w14:paraId="312C6E94" w14:textId="77777777" w:rsidR="009937C7" w:rsidRPr="00F47E6D" w:rsidRDefault="009937C7" w:rsidP="006C78FB">
            <w:pPr>
              <w:rPr>
                <w:rFonts w:cs="Arial"/>
              </w:rPr>
            </w:pPr>
            <w:r w:rsidRPr="00F47E6D">
              <w:rPr>
                <w:rFonts w:cs="Arial"/>
              </w:rPr>
              <w:t>A-weighted scale</w:t>
            </w:r>
          </w:p>
        </w:tc>
        <w:tc>
          <w:tcPr>
            <w:tcW w:w="7626" w:type="dxa"/>
          </w:tcPr>
          <w:p w14:paraId="109AF285" w14:textId="77777777" w:rsidR="009937C7" w:rsidRPr="00F47E6D" w:rsidRDefault="009937C7" w:rsidP="006C78FB">
            <w:pPr>
              <w:rPr>
                <w:rFonts w:cs="Arial"/>
              </w:rPr>
            </w:pPr>
            <w:r w:rsidRPr="00F47E6D">
              <w:rPr>
                <w:rFonts w:cs="Arial"/>
              </w:rPr>
              <w:t xml:space="preserve">A scale that is </w:t>
            </w:r>
            <w:r w:rsidRPr="00F47E6D">
              <w:rPr>
                <w:rFonts w:cs="Arial"/>
                <w:lang w:val="en"/>
              </w:rPr>
              <w:t>applied to instrument-measured sound levels to replicate the relative loudness perceived by the human ear</w:t>
            </w:r>
            <w:r>
              <w:rPr>
                <w:rFonts w:cs="Arial"/>
                <w:lang w:val="en"/>
              </w:rPr>
              <w:t>.</w:t>
            </w:r>
          </w:p>
        </w:tc>
      </w:tr>
      <w:tr w:rsidR="009937C7" w:rsidRPr="00F47E6D" w14:paraId="3ECA34A1"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49B0E2C1" w14:textId="77777777" w:rsidR="009937C7" w:rsidRPr="00F47E6D" w:rsidRDefault="009937C7" w:rsidP="006C78FB">
            <w:pPr>
              <w:rPr>
                <w:rFonts w:cs="Arial"/>
              </w:rPr>
            </w:pPr>
            <w:r w:rsidRPr="00F47E6D">
              <w:rPr>
                <w:rFonts w:cs="Arial"/>
              </w:rPr>
              <w:t>Amenity</w:t>
            </w:r>
          </w:p>
        </w:tc>
        <w:tc>
          <w:tcPr>
            <w:tcW w:w="7626" w:type="dxa"/>
          </w:tcPr>
          <w:p w14:paraId="21F7E99F" w14:textId="77777777" w:rsidR="009937C7" w:rsidRPr="00F47E6D" w:rsidRDefault="009937C7" w:rsidP="006C78FB">
            <w:pPr>
              <w:rPr>
                <w:rFonts w:cs="Arial"/>
              </w:rPr>
            </w:pPr>
            <w:r w:rsidRPr="00F47E6D">
              <w:rPr>
                <w:rFonts w:cs="Arial"/>
              </w:rPr>
              <w:t>The visual impact a wind farm has on the landscape</w:t>
            </w:r>
            <w:r>
              <w:rPr>
                <w:rFonts w:cs="Arial"/>
              </w:rPr>
              <w:t>.</w:t>
            </w:r>
          </w:p>
        </w:tc>
      </w:tr>
      <w:tr w:rsidR="009937C7" w:rsidRPr="00F47E6D" w14:paraId="4659D794"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6E51E358" w14:textId="77777777" w:rsidR="009937C7" w:rsidRPr="00F47E6D" w:rsidRDefault="009937C7" w:rsidP="006C78FB">
            <w:pPr>
              <w:rPr>
                <w:rFonts w:cs="Arial"/>
              </w:rPr>
            </w:pPr>
            <w:r w:rsidRPr="00F47E6D">
              <w:rPr>
                <w:rFonts w:cs="Arial"/>
                <w:lang w:val="en"/>
              </w:rPr>
              <w:t>Australian Government</w:t>
            </w:r>
          </w:p>
        </w:tc>
        <w:tc>
          <w:tcPr>
            <w:tcW w:w="7626" w:type="dxa"/>
          </w:tcPr>
          <w:p w14:paraId="568BA586" w14:textId="77777777" w:rsidR="009937C7" w:rsidRPr="00F47E6D" w:rsidRDefault="009937C7" w:rsidP="006C78FB">
            <w:pPr>
              <w:rPr>
                <w:rFonts w:cs="Arial"/>
              </w:rPr>
            </w:pPr>
            <w:r>
              <w:rPr>
                <w:rFonts w:cs="Arial"/>
              </w:rPr>
              <w:t>The Government of the Commonwealth of Australia (also referred to as Federal Government).</w:t>
            </w:r>
          </w:p>
        </w:tc>
      </w:tr>
      <w:tr w:rsidR="009937C7" w:rsidRPr="00F47E6D" w14:paraId="05944BC9"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7FB010B1" w14:textId="77777777" w:rsidR="009937C7" w:rsidRPr="00F47E6D" w:rsidRDefault="009937C7" w:rsidP="006C78FB">
            <w:pPr>
              <w:rPr>
                <w:rFonts w:cs="Arial"/>
                <w:lang w:val="en"/>
              </w:rPr>
            </w:pPr>
            <w:r>
              <w:rPr>
                <w:rFonts w:cs="Arial"/>
                <w:lang w:val="en"/>
              </w:rPr>
              <w:t>Australian Wind Alliance (AWA)</w:t>
            </w:r>
          </w:p>
        </w:tc>
        <w:tc>
          <w:tcPr>
            <w:tcW w:w="7626" w:type="dxa"/>
          </w:tcPr>
          <w:p w14:paraId="207D64E4" w14:textId="77777777" w:rsidR="009937C7" w:rsidRPr="00AC073A" w:rsidRDefault="009937C7" w:rsidP="006C78FB">
            <w:pPr>
              <w:rPr>
                <w:rFonts w:cs="Arial"/>
              </w:rPr>
            </w:pPr>
            <w:r>
              <w:rPr>
                <w:rFonts w:cs="Helvetica"/>
                <w:lang w:val="en"/>
              </w:rPr>
              <w:t>A</w:t>
            </w:r>
            <w:r w:rsidRPr="00AC073A">
              <w:rPr>
                <w:rFonts w:cs="Helvetica"/>
                <w:lang w:val="en"/>
              </w:rPr>
              <w:t xml:space="preserve"> </w:t>
            </w:r>
            <w:r>
              <w:rPr>
                <w:rFonts w:cs="Helvetica"/>
                <w:lang w:val="en"/>
              </w:rPr>
              <w:t>not-for</w:t>
            </w:r>
            <w:r w:rsidRPr="00AC073A">
              <w:rPr>
                <w:rFonts w:cs="Helvetica"/>
                <w:lang w:val="en"/>
              </w:rPr>
              <w:t xml:space="preserve">-profit organisation </w:t>
            </w:r>
            <w:r>
              <w:rPr>
                <w:rFonts w:cs="Helvetica"/>
                <w:lang w:val="en"/>
              </w:rPr>
              <w:t xml:space="preserve">that </w:t>
            </w:r>
            <w:r>
              <w:rPr>
                <w:rFonts w:cs="Arial"/>
                <w:lang w:val="en"/>
              </w:rPr>
              <w:t xml:space="preserve">supports the </w:t>
            </w:r>
            <w:r w:rsidRPr="00AC073A">
              <w:rPr>
                <w:rFonts w:cs="Helvetica"/>
                <w:lang w:val="en"/>
              </w:rPr>
              <w:t>wind energy</w:t>
            </w:r>
            <w:r>
              <w:rPr>
                <w:rFonts w:cs="Helvetica"/>
                <w:lang w:val="en"/>
              </w:rPr>
              <w:t xml:space="preserve"> industry in Australia, with the objectives of boosting regional economies and reducing pollution and greenhouse emissions.</w:t>
            </w:r>
          </w:p>
        </w:tc>
      </w:tr>
      <w:tr w:rsidR="009937C7" w:rsidRPr="00F47E6D" w14:paraId="3903AC11"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252C000A" w14:textId="77777777" w:rsidR="009937C7" w:rsidRDefault="009937C7" w:rsidP="006C78FB">
            <w:pPr>
              <w:rPr>
                <w:rFonts w:cs="Arial"/>
                <w:lang w:val="en"/>
              </w:rPr>
            </w:pPr>
            <w:r>
              <w:rPr>
                <w:rFonts w:cs="Arial"/>
                <w:lang w:val="en"/>
              </w:rPr>
              <w:t>Clean Energy Council (CEC)</w:t>
            </w:r>
          </w:p>
        </w:tc>
        <w:tc>
          <w:tcPr>
            <w:tcW w:w="7626" w:type="dxa"/>
          </w:tcPr>
          <w:p w14:paraId="240A44F2" w14:textId="77777777" w:rsidR="009937C7" w:rsidRPr="00AC073A" w:rsidRDefault="009937C7" w:rsidP="006C78FB">
            <w:pPr>
              <w:autoSpaceDE w:val="0"/>
              <w:autoSpaceDN w:val="0"/>
              <w:adjustRightInd w:val="0"/>
              <w:spacing w:line="264" w:lineRule="auto"/>
              <w:rPr>
                <w:rFonts w:cs="Arial"/>
                <w:lang w:val="en"/>
              </w:rPr>
            </w:pPr>
            <w:r>
              <w:rPr>
                <w:rFonts w:cs="Arial"/>
                <w:lang w:val="en"/>
              </w:rPr>
              <w:t>The peak</w:t>
            </w:r>
            <w:r>
              <w:rPr>
                <w:rFonts w:cs="Helvetica"/>
                <w:lang w:val="en"/>
              </w:rPr>
              <w:t xml:space="preserve"> not-for</w:t>
            </w:r>
            <w:r w:rsidRPr="00AC073A">
              <w:rPr>
                <w:rFonts w:cs="Helvetica"/>
                <w:lang w:val="en"/>
              </w:rPr>
              <w:t>-profit</w:t>
            </w:r>
            <w:r w:rsidRPr="005F66A5">
              <w:rPr>
                <w:rFonts w:cs="Arial"/>
                <w:lang w:val="en"/>
              </w:rPr>
              <w:t xml:space="preserve"> </w:t>
            </w:r>
            <w:r>
              <w:rPr>
                <w:rFonts w:cs="Arial"/>
                <w:lang w:val="en"/>
              </w:rPr>
              <w:t>organisation supporting the clean energy industry in Australia. The CEC represents a range of clean energy sectors</w:t>
            </w:r>
            <w:r w:rsidRPr="005F66A5">
              <w:rPr>
                <w:rFonts w:cs="Arial"/>
              </w:rPr>
              <w:t xml:space="preserve"> and work</w:t>
            </w:r>
            <w:r>
              <w:rPr>
                <w:rFonts w:cs="Arial"/>
              </w:rPr>
              <w:t>s</w:t>
            </w:r>
            <w:r w:rsidRPr="005F66A5">
              <w:rPr>
                <w:rFonts w:cs="Arial"/>
              </w:rPr>
              <w:t xml:space="preserve"> with governments</w:t>
            </w:r>
            <w:r>
              <w:rPr>
                <w:rFonts w:cs="Arial"/>
              </w:rPr>
              <w:t xml:space="preserve"> and other organisations </w:t>
            </w:r>
            <w:r w:rsidRPr="005F66A5">
              <w:rPr>
                <w:rFonts w:cs="Arial"/>
              </w:rPr>
              <w:t xml:space="preserve">to </w:t>
            </w:r>
            <w:r>
              <w:rPr>
                <w:rFonts w:cs="Arial"/>
              </w:rPr>
              <w:t xml:space="preserve">promote the </w:t>
            </w:r>
            <w:r w:rsidRPr="005F66A5">
              <w:rPr>
                <w:rFonts w:cs="Arial"/>
              </w:rPr>
              <w:t>industry</w:t>
            </w:r>
            <w:r>
              <w:rPr>
                <w:rFonts w:cs="Arial"/>
              </w:rPr>
              <w:t>.</w:t>
            </w:r>
          </w:p>
        </w:tc>
      </w:tr>
      <w:tr w:rsidR="009937C7" w:rsidRPr="00F47E6D" w14:paraId="62408660"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5CECCBD6" w14:textId="77777777" w:rsidR="009937C7" w:rsidRDefault="009937C7" w:rsidP="006C78FB">
            <w:pPr>
              <w:rPr>
                <w:rFonts w:cs="Arial"/>
                <w:lang w:val="en"/>
              </w:rPr>
            </w:pPr>
            <w:r>
              <w:rPr>
                <w:rFonts w:cs="Arial"/>
                <w:lang w:val="en"/>
              </w:rPr>
              <w:t>Community Consultative Committee (CCC)</w:t>
            </w:r>
          </w:p>
        </w:tc>
        <w:tc>
          <w:tcPr>
            <w:tcW w:w="7626" w:type="dxa"/>
          </w:tcPr>
          <w:p w14:paraId="0354AB69" w14:textId="77777777" w:rsidR="009937C7" w:rsidRDefault="009937C7" w:rsidP="006C78FB">
            <w:pPr>
              <w:autoSpaceDE w:val="0"/>
              <w:autoSpaceDN w:val="0"/>
              <w:adjustRightInd w:val="0"/>
              <w:spacing w:line="264" w:lineRule="auto"/>
              <w:rPr>
                <w:rFonts w:cs="Arial"/>
                <w:lang w:val="en"/>
              </w:rPr>
            </w:pPr>
            <w:r w:rsidRPr="00AC073A">
              <w:rPr>
                <w:rFonts w:cs="Arial"/>
                <w:lang w:val="en"/>
              </w:rPr>
              <w:t xml:space="preserve">A CCC is </w:t>
            </w:r>
            <w:r>
              <w:rPr>
                <w:rFonts w:cs="Arial"/>
                <w:lang w:val="en"/>
              </w:rPr>
              <w:t>a membership that is</w:t>
            </w:r>
            <w:r w:rsidRPr="00AC073A">
              <w:rPr>
                <w:rFonts w:cs="Arial"/>
                <w:lang w:val="en"/>
              </w:rPr>
              <w:t xml:space="preserve"> set up </w:t>
            </w:r>
            <w:r w:rsidRPr="00AC073A">
              <w:rPr>
                <w:rFonts w:cs="Arial"/>
                <w:lang w:val="en-US"/>
              </w:rPr>
              <w:t>to facilitate consultation between wind farm developers, the community, local councils and other stakeholders that may be involved in the development phase or operation of a wind farm.</w:t>
            </w:r>
          </w:p>
        </w:tc>
      </w:tr>
      <w:tr w:rsidR="009937C7" w:rsidRPr="00F47E6D" w14:paraId="4A913EB3"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607009A9" w14:textId="77777777" w:rsidR="009937C7" w:rsidRPr="00F47E6D" w:rsidRDefault="009937C7" w:rsidP="006C78FB">
            <w:pPr>
              <w:rPr>
                <w:rFonts w:cs="Arial"/>
              </w:rPr>
            </w:pPr>
            <w:r w:rsidRPr="00F47E6D">
              <w:rPr>
                <w:rFonts w:cs="Arial"/>
                <w:lang w:val="en"/>
              </w:rPr>
              <w:t>Community Association</w:t>
            </w:r>
          </w:p>
        </w:tc>
        <w:tc>
          <w:tcPr>
            <w:tcW w:w="7626" w:type="dxa"/>
          </w:tcPr>
          <w:p w14:paraId="452F81BE" w14:textId="77777777" w:rsidR="009937C7" w:rsidRPr="00F47E6D" w:rsidRDefault="009937C7" w:rsidP="006C78FB">
            <w:pPr>
              <w:rPr>
                <w:rFonts w:cs="Arial"/>
              </w:rPr>
            </w:pPr>
            <w:r>
              <w:rPr>
                <w:rFonts w:cs="Arial"/>
              </w:rPr>
              <w:t>A non-government association of participating members of a community who facilitate representative community engagement in the development process.</w:t>
            </w:r>
          </w:p>
        </w:tc>
      </w:tr>
      <w:tr w:rsidR="009937C7" w:rsidRPr="00F47E6D" w14:paraId="1494DB11"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411F295A" w14:textId="77777777" w:rsidR="009937C7" w:rsidRPr="00F47E6D" w:rsidRDefault="009937C7" w:rsidP="006C78FB">
            <w:pPr>
              <w:rPr>
                <w:rFonts w:cs="Arial"/>
              </w:rPr>
            </w:pPr>
            <w:r w:rsidRPr="00F47E6D">
              <w:rPr>
                <w:rFonts w:cs="Arial"/>
                <w:lang w:val="en"/>
              </w:rPr>
              <w:t>Community Engagement</w:t>
            </w:r>
          </w:p>
        </w:tc>
        <w:tc>
          <w:tcPr>
            <w:tcW w:w="7626" w:type="dxa"/>
          </w:tcPr>
          <w:p w14:paraId="638230BE" w14:textId="77777777" w:rsidR="009937C7" w:rsidRPr="00F47E6D" w:rsidRDefault="009937C7" w:rsidP="006C78FB">
            <w:pPr>
              <w:rPr>
                <w:rFonts w:cs="Arial"/>
              </w:rPr>
            </w:pPr>
            <w:r>
              <w:rPr>
                <w:rFonts w:cs="Arial"/>
              </w:rPr>
              <w:t>The consultative process of wind farm developers supporting the participation of community members in the development process.</w:t>
            </w:r>
          </w:p>
        </w:tc>
      </w:tr>
      <w:tr w:rsidR="009937C7" w:rsidRPr="00F47E6D" w14:paraId="16C1E36A"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2DA4E030" w14:textId="77777777" w:rsidR="009937C7" w:rsidRPr="00F47E6D" w:rsidRDefault="009937C7" w:rsidP="006C78FB">
            <w:pPr>
              <w:rPr>
                <w:rFonts w:cs="Arial"/>
              </w:rPr>
            </w:pPr>
            <w:r w:rsidRPr="00F47E6D">
              <w:rPr>
                <w:rFonts w:cs="Arial"/>
              </w:rPr>
              <w:t>Commercial Dispute</w:t>
            </w:r>
          </w:p>
        </w:tc>
        <w:tc>
          <w:tcPr>
            <w:tcW w:w="7626" w:type="dxa"/>
          </w:tcPr>
          <w:p w14:paraId="29395014" w14:textId="77777777" w:rsidR="009937C7" w:rsidRPr="00F47E6D" w:rsidRDefault="009937C7" w:rsidP="006C78FB">
            <w:pPr>
              <w:rPr>
                <w:rFonts w:cs="Arial"/>
              </w:rPr>
            </w:pPr>
            <w:r w:rsidRPr="00F47E6D">
              <w:rPr>
                <w:rFonts w:cs="Arial"/>
              </w:rPr>
              <w:t>An issue regarding the contractual goods or services of a wind farm whereby financial compensation has been sought</w:t>
            </w:r>
            <w:r>
              <w:rPr>
                <w:rFonts w:cs="Arial"/>
              </w:rPr>
              <w:t xml:space="preserve"> by a party (for example, a host or a neighbour).</w:t>
            </w:r>
          </w:p>
        </w:tc>
      </w:tr>
      <w:tr w:rsidR="009937C7" w:rsidRPr="00F47E6D" w14:paraId="30AD11B8"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273E0C50" w14:textId="77777777" w:rsidR="009937C7" w:rsidRPr="00F47E6D" w:rsidRDefault="009937C7" w:rsidP="006C78FB">
            <w:pPr>
              <w:rPr>
                <w:rFonts w:cs="Arial"/>
              </w:rPr>
            </w:pPr>
            <w:r w:rsidRPr="00F47E6D">
              <w:rPr>
                <w:rFonts w:cs="Arial"/>
              </w:rPr>
              <w:t>Complainant</w:t>
            </w:r>
          </w:p>
        </w:tc>
        <w:tc>
          <w:tcPr>
            <w:tcW w:w="7626" w:type="dxa"/>
          </w:tcPr>
          <w:p w14:paraId="126B1263" w14:textId="77777777" w:rsidR="009937C7" w:rsidRPr="00F47E6D" w:rsidRDefault="009937C7" w:rsidP="006C78FB">
            <w:pPr>
              <w:rPr>
                <w:rFonts w:cs="Arial"/>
              </w:rPr>
            </w:pPr>
            <w:r w:rsidRPr="00F47E6D">
              <w:rPr>
                <w:rFonts w:cs="Arial"/>
              </w:rPr>
              <w:t>One or more resident(s) from a residence who has contacted the Office for the purpose of making a complaint</w:t>
            </w:r>
            <w:r>
              <w:rPr>
                <w:rFonts w:cs="Arial"/>
              </w:rPr>
              <w:t>.</w:t>
            </w:r>
          </w:p>
        </w:tc>
      </w:tr>
      <w:tr w:rsidR="009937C7" w:rsidRPr="00F47E6D" w14:paraId="0706B04C"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7A8D8AB2" w14:textId="77777777" w:rsidR="009937C7" w:rsidRPr="00F47E6D" w:rsidRDefault="009937C7" w:rsidP="006C78FB">
            <w:pPr>
              <w:rPr>
                <w:rFonts w:cs="Arial"/>
              </w:rPr>
            </w:pPr>
            <w:r w:rsidRPr="00F47E6D">
              <w:rPr>
                <w:rFonts w:cs="Arial"/>
                <w:lang w:val="en"/>
              </w:rPr>
              <w:t>Concerned Resident</w:t>
            </w:r>
          </w:p>
        </w:tc>
        <w:tc>
          <w:tcPr>
            <w:tcW w:w="7626" w:type="dxa"/>
          </w:tcPr>
          <w:p w14:paraId="230EBA1D" w14:textId="77777777" w:rsidR="009937C7" w:rsidRPr="00A815D8" w:rsidRDefault="009937C7" w:rsidP="006C78FB">
            <w:pPr>
              <w:rPr>
                <w:rFonts w:cs="Arial"/>
              </w:rPr>
            </w:pPr>
            <w:r w:rsidRPr="00A815D8">
              <w:rPr>
                <w:rFonts w:cs="Arial"/>
              </w:rPr>
              <w:t xml:space="preserve">A person </w:t>
            </w:r>
            <w:r w:rsidRPr="00D4498E">
              <w:rPr>
                <w:rFonts w:eastAsia="Times New Roman" w:cs="Arial"/>
              </w:rPr>
              <w:t>who resides in a dwelling within proximity to a proposed or operating wind farm facility</w:t>
            </w:r>
            <w:r>
              <w:rPr>
                <w:rFonts w:eastAsia="Times New Roman" w:cs="Arial"/>
              </w:rPr>
              <w:t>, who holds concerns about potential impacts of the proposed or operating wind farm and may make a complaint to the Commissioner.</w:t>
            </w:r>
          </w:p>
        </w:tc>
      </w:tr>
      <w:tr w:rsidR="009937C7" w:rsidRPr="00F47E6D" w14:paraId="29F61B23"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26A60B35" w14:textId="77777777" w:rsidR="009937C7" w:rsidRPr="00F47E6D" w:rsidRDefault="009937C7" w:rsidP="006C78FB">
            <w:pPr>
              <w:rPr>
                <w:rFonts w:cs="Arial"/>
              </w:rPr>
            </w:pPr>
            <w:r w:rsidRPr="00F47E6D">
              <w:rPr>
                <w:rFonts w:cs="Arial"/>
              </w:rPr>
              <w:t>Construction</w:t>
            </w:r>
          </w:p>
        </w:tc>
        <w:tc>
          <w:tcPr>
            <w:tcW w:w="7626" w:type="dxa"/>
          </w:tcPr>
          <w:p w14:paraId="4B08C18D" w14:textId="77777777" w:rsidR="009937C7" w:rsidRPr="00F47E6D" w:rsidRDefault="009937C7" w:rsidP="006C78FB">
            <w:pPr>
              <w:rPr>
                <w:rFonts w:cs="Arial"/>
              </w:rPr>
            </w:pPr>
            <w:r w:rsidRPr="00F47E6D">
              <w:rPr>
                <w:rFonts w:cs="Arial"/>
              </w:rPr>
              <w:t>The stage in which the wind farm includi</w:t>
            </w:r>
            <w:r>
              <w:rPr>
                <w:rFonts w:cs="Arial"/>
              </w:rPr>
              <w:t>ng access roads is being built.</w:t>
            </w:r>
            <w:r w:rsidRPr="00F47E6D">
              <w:rPr>
                <w:rFonts w:cs="Arial"/>
              </w:rPr>
              <w:t xml:space="preserve"> The construction stage may last a number of years</w:t>
            </w:r>
            <w:r>
              <w:rPr>
                <w:rFonts w:cs="Arial"/>
              </w:rPr>
              <w:t>.</w:t>
            </w:r>
          </w:p>
        </w:tc>
      </w:tr>
      <w:tr w:rsidR="009937C7" w:rsidRPr="00F47E6D" w14:paraId="07310C3B"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617BCA2E" w14:textId="77777777" w:rsidR="009937C7" w:rsidRPr="00F47E6D" w:rsidRDefault="009937C7" w:rsidP="006C78FB">
            <w:pPr>
              <w:rPr>
                <w:rFonts w:cs="Arial"/>
              </w:rPr>
            </w:pPr>
            <w:r>
              <w:rPr>
                <w:rFonts w:cs="Arial"/>
              </w:rPr>
              <w:t>dB</w:t>
            </w:r>
          </w:p>
        </w:tc>
        <w:tc>
          <w:tcPr>
            <w:tcW w:w="7626" w:type="dxa"/>
          </w:tcPr>
          <w:p w14:paraId="650836F4" w14:textId="77777777" w:rsidR="009937C7" w:rsidRPr="00F47E6D" w:rsidRDefault="009937C7" w:rsidP="006C78FB">
            <w:pPr>
              <w:rPr>
                <w:rFonts w:cs="Arial"/>
              </w:rPr>
            </w:pPr>
            <w:r>
              <w:rPr>
                <w:rFonts w:cs="Arial"/>
              </w:rPr>
              <w:t>Decibels, a measurement unit used to describe the level or intensity (loudness) of a sound.</w:t>
            </w:r>
          </w:p>
        </w:tc>
      </w:tr>
      <w:tr w:rsidR="009937C7" w:rsidRPr="00F47E6D" w14:paraId="2F0B2838"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7FAEE1E3" w14:textId="77777777" w:rsidR="009937C7" w:rsidRPr="00F47E6D" w:rsidRDefault="009937C7" w:rsidP="006C78FB">
            <w:pPr>
              <w:rPr>
                <w:rFonts w:cs="Arial"/>
              </w:rPr>
            </w:pPr>
            <w:r w:rsidRPr="00F47E6D">
              <w:rPr>
                <w:rFonts w:cs="Arial"/>
              </w:rPr>
              <w:t>dB(A)</w:t>
            </w:r>
          </w:p>
        </w:tc>
        <w:tc>
          <w:tcPr>
            <w:tcW w:w="7626" w:type="dxa"/>
          </w:tcPr>
          <w:p w14:paraId="731CB2FA" w14:textId="77777777" w:rsidR="009937C7" w:rsidRPr="00F47E6D" w:rsidRDefault="009937C7" w:rsidP="006C78FB">
            <w:pPr>
              <w:rPr>
                <w:rFonts w:cs="Arial"/>
              </w:rPr>
            </w:pPr>
            <w:r w:rsidRPr="00300F30">
              <w:rPr>
                <w:rFonts w:cs="Arial"/>
                <w:lang w:val="en"/>
              </w:rPr>
              <w:t xml:space="preserve">A-weighted decibels, a measurement </w:t>
            </w:r>
            <w:r>
              <w:rPr>
                <w:rFonts w:cs="Arial"/>
                <w:lang w:val="en"/>
              </w:rPr>
              <w:t xml:space="preserve">unit that used </w:t>
            </w:r>
            <w:r w:rsidRPr="00300F30">
              <w:rPr>
                <w:rFonts w:cs="Arial"/>
                <w:lang w:val="en"/>
              </w:rPr>
              <w:t>to express the relative loudness of sounds in air as perceived by the human ear.</w:t>
            </w:r>
          </w:p>
        </w:tc>
      </w:tr>
      <w:tr w:rsidR="009937C7" w:rsidRPr="00F47E6D" w14:paraId="1E080E13"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5A12A883" w14:textId="77777777" w:rsidR="009937C7" w:rsidRPr="00F47E6D" w:rsidRDefault="009937C7" w:rsidP="006C78FB">
            <w:pPr>
              <w:rPr>
                <w:rFonts w:cs="Arial"/>
                <w:lang w:val="en"/>
              </w:rPr>
            </w:pPr>
            <w:r w:rsidRPr="00F47E6D">
              <w:rPr>
                <w:rFonts w:cs="Arial"/>
                <w:lang w:val="en"/>
              </w:rPr>
              <w:t>dB(C)</w:t>
            </w:r>
          </w:p>
        </w:tc>
        <w:tc>
          <w:tcPr>
            <w:tcW w:w="7626" w:type="dxa"/>
          </w:tcPr>
          <w:p w14:paraId="18D77DF6" w14:textId="77777777" w:rsidR="009937C7" w:rsidRPr="00F47E6D" w:rsidRDefault="009937C7" w:rsidP="006C78FB">
            <w:pPr>
              <w:rPr>
                <w:rFonts w:cs="Arial"/>
              </w:rPr>
            </w:pPr>
            <w:r>
              <w:rPr>
                <w:rFonts w:cs="Arial"/>
                <w:lang w:val="en"/>
              </w:rPr>
              <w:t>C</w:t>
            </w:r>
            <w:r w:rsidRPr="00F47E6D">
              <w:rPr>
                <w:rFonts w:cs="Arial"/>
                <w:lang w:val="en"/>
              </w:rPr>
              <w:t xml:space="preserve">-weighted decibels, a </w:t>
            </w:r>
            <w:r>
              <w:rPr>
                <w:rFonts w:cs="Arial"/>
                <w:lang w:val="en"/>
              </w:rPr>
              <w:t>measurement unit that is</w:t>
            </w:r>
            <w:r>
              <w:rPr>
                <w:rFonts w:cs="Arial"/>
              </w:rPr>
              <w:t xml:space="preserve"> used to measure low-frequency noise.</w:t>
            </w:r>
          </w:p>
        </w:tc>
      </w:tr>
      <w:tr w:rsidR="009937C7" w:rsidRPr="00F47E6D" w14:paraId="2F0A7391"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3610C239" w14:textId="77777777" w:rsidR="009937C7" w:rsidRPr="00F47E6D" w:rsidRDefault="009937C7" w:rsidP="006C78FB">
            <w:pPr>
              <w:rPr>
                <w:rFonts w:cs="Arial"/>
                <w:lang w:val="en"/>
              </w:rPr>
            </w:pPr>
            <w:r w:rsidRPr="00F47E6D">
              <w:rPr>
                <w:rFonts w:cs="Arial"/>
                <w:lang w:val="en"/>
              </w:rPr>
              <w:t>dB(G)</w:t>
            </w:r>
          </w:p>
        </w:tc>
        <w:tc>
          <w:tcPr>
            <w:tcW w:w="7626" w:type="dxa"/>
          </w:tcPr>
          <w:p w14:paraId="3BF7DDF2" w14:textId="77777777" w:rsidR="009937C7" w:rsidRPr="00F47E6D" w:rsidRDefault="009937C7" w:rsidP="006C78FB">
            <w:pPr>
              <w:rPr>
                <w:rFonts w:cs="Arial"/>
              </w:rPr>
            </w:pPr>
            <w:r>
              <w:rPr>
                <w:rFonts w:cs="Arial"/>
                <w:lang w:val="en"/>
              </w:rPr>
              <w:t>G</w:t>
            </w:r>
            <w:r w:rsidRPr="00F47E6D">
              <w:rPr>
                <w:rFonts w:cs="Arial"/>
                <w:lang w:val="en"/>
              </w:rPr>
              <w:t xml:space="preserve">-weighted decibels, a measurement </w:t>
            </w:r>
            <w:r>
              <w:rPr>
                <w:rFonts w:cs="Arial"/>
                <w:lang w:val="en"/>
              </w:rPr>
              <w:t xml:space="preserve">unit that is </w:t>
            </w:r>
            <w:r w:rsidRPr="00F47E6D">
              <w:rPr>
                <w:rFonts w:cs="Arial"/>
                <w:lang w:val="en"/>
              </w:rPr>
              <w:t xml:space="preserve">used to </w:t>
            </w:r>
            <w:r>
              <w:rPr>
                <w:rFonts w:cs="Arial"/>
                <w:lang w:val="en"/>
              </w:rPr>
              <w:t>measure to infrasound.</w:t>
            </w:r>
          </w:p>
        </w:tc>
      </w:tr>
      <w:tr w:rsidR="009937C7" w:rsidRPr="00F47E6D" w14:paraId="52B4980B"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3F0055AC" w14:textId="77777777" w:rsidR="009937C7" w:rsidRPr="00F47E6D" w:rsidRDefault="009937C7" w:rsidP="006C78FB">
            <w:pPr>
              <w:rPr>
                <w:rFonts w:cs="Arial"/>
              </w:rPr>
            </w:pPr>
            <w:r w:rsidRPr="00F47E6D">
              <w:rPr>
                <w:rFonts w:cs="Arial"/>
              </w:rPr>
              <w:t>Economic Loss</w:t>
            </w:r>
          </w:p>
        </w:tc>
        <w:tc>
          <w:tcPr>
            <w:tcW w:w="7626" w:type="dxa"/>
          </w:tcPr>
          <w:p w14:paraId="0AE372B7" w14:textId="77777777" w:rsidR="009937C7" w:rsidRPr="00F47E6D" w:rsidRDefault="009937C7" w:rsidP="006C78FB">
            <w:pPr>
              <w:rPr>
                <w:rFonts w:cs="Arial"/>
              </w:rPr>
            </w:pPr>
            <w:r>
              <w:rPr>
                <w:rFonts w:cs="Arial"/>
              </w:rPr>
              <w:t>The potential negative economic impact that a proposed or developed wind farm may have on a particular community or individuals within a community. This is typically the loss or perceived loss of property values or business within proximity to a proposed or operating wind farm.</w:t>
            </w:r>
          </w:p>
        </w:tc>
      </w:tr>
      <w:tr w:rsidR="009937C7" w:rsidRPr="00F47E6D" w14:paraId="1C753B95"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7539B55C" w14:textId="77777777" w:rsidR="009937C7" w:rsidRPr="00F47E6D" w:rsidRDefault="009937C7" w:rsidP="006C78FB">
            <w:pPr>
              <w:rPr>
                <w:rFonts w:cs="Arial"/>
              </w:rPr>
            </w:pPr>
            <w:r w:rsidRPr="00F47E6D">
              <w:rPr>
                <w:rFonts w:cs="Arial"/>
                <w:lang w:val="en"/>
              </w:rPr>
              <w:t>Expert</w:t>
            </w:r>
          </w:p>
        </w:tc>
        <w:tc>
          <w:tcPr>
            <w:tcW w:w="7626" w:type="dxa"/>
          </w:tcPr>
          <w:p w14:paraId="41EF82AF" w14:textId="77777777" w:rsidR="009937C7" w:rsidRPr="00F47E6D" w:rsidRDefault="009937C7" w:rsidP="006C78FB">
            <w:pPr>
              <w:rPr>
                <w:rFonts w:cs="Arial"/>
              </w:rPr>
            </w:pPr>
            <w:r>
              <w:rPr>
                <w:rFonts w:cs="Arial"/>
              </w:rPr>
              <w:t>A person who has special skill, knowledge or authority in a particular field of study.</w:t>
            </w:r>
          </w:p>
        </w:tc>
      </w:tr>
      <w:tr w:rsidR="009937C7" w:rsidRPr="00F47E6D" w14:paraId="3E5DFE6A"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587B8BF5" w14:textId="77777777" w:rsidR="009937C7" w:rsidRPr="00F47E6D" w:rsidRDefault="009937C7" w:rsidP="006C78FB">
            <w:pPr>
              <w:rPr>
                <w:rFonts w:cs="Arial"/>
              </w:rPr>
            </w:pPr>
            <w:r w:rsidRPr="00F47E6D">
              <w:rPr>
                <w:rFonts w:cs="Arial"/>
                <w:lang w:val="en"/>
              </w:rPr>
              <w:t>Health</w:t>
            </w:r>
          </w:p>
        </w:tc>
        <w:tc>
          <w:tcPr>
            <w:tcW w:w="7626" w:type="dxa"/>
          </w:tcPr>
          <w:p w14:paraId="16B52520" w14:textId="77777777" w:rsidR="009937C7" w:rsidRPr="00F47E6D" w:rsidRDefault="009937C7" w:rsidP="006C78FB">
            <w:pPr>
              <w:rPr>
                <w:rFonts w:cs="Arial"/>
              </w:rPr>
            </w:pPr>
            <w:r>
              <w:rPr>
                <w:rFonts w:cs="Arial"/>
              </w:rPr>
              <w:t>General physical or mental condition of a concerned resident.</w:t>
            </w:r>
          </w:p>
        </w:tc>
      </w:tr>
      <w:tr w:rsidR="009937C7" w:rsidRPr="00F47E6D" w14:paraId="04F512D7"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36F5EE6B" w14:textId="77777777" w:rsidR="009937C7" w:rsidRPr="00F47E6D" w:rsidRDefault="009937C7" w:rsidP="006C78FB">
            <w:pPr>
              <w:rPr>
                <w:rFonts w:cs="Arial"/>
                <w:lang w:val="en"/>
              </w:rPr>
            </w:pPr>
            <w:r>
              <w:rPr>
                <w:rFonts w:cs="Arial"/>
                <w:lang w:val="en"/>
              </w:rPr>
              <w:t>Hz</w:t>
            </w:r>
          </w:p>
        </w:tc>
        <w:tc>
          <w:tcPr>
            <w:tcW w:w="7626" w:type="dxa"/>
          </w:tcPr>
          <w:p w14:paraId="13C84468" w14:textId="77777777" w:rsidR="009937C7" w:rsidRDefault="009937C7" w:rsidP="006C78FB">
            <w:pPr>
              <w:rPr>
                <w:rFonts w:cs="Arial"/>
              </w:rPr>
            </w:pPr>
            <w:r w:rsidRPr="000F313C">
              <w:rPr>
                <w:rFonts w:cs="Arial"/>
              </w:rPr>
              <w:t xml:space="preserve">Hertz, </w:t>
            </w:r>
            <w:r w:rsidRPr="000F313C">
              <w:rPr>
                <w:rStyle w:val="st1"/>
                <w:rFonts w:cs="Arial"/>
              </w:rPr>
              <w:t xml:space="preserve">a unit which measures the frequency of sound waves, perceived by the human ear as pitch. </w:t>
            </w:r>
            <w:r w:rsidRPr="000F313C">
              <w:rPr>
                <w:rFonts w:cs="Arial"/>
              </w:rPr>
              <w:t xml:space="preserve">The typical </w:t>
            </w:r>
            <w:r>
              <w:rPr>
                <w:rFonts w:cs="Arial"/>
              </w:rPr>
              <w:t>range of human hearing is 20</w:t>
            </w:r>
            <w:r>
              <w:rPr>
                <w:rFonts w:cs="Arial"/>
              </w:rPr>
              <w:noBreakHyphen/>
              <w:t>20,</w:t>
            </w:r>
            <w:r w:rsidRPr="000F313C">
              <w:rPr>
                <w:rFonts w:cs="Arial"/>
              </w:rPr>
              <w:t>000 </w:t>
            </w:r>
            <w:r>
              <w:rPr>
                <w:rFonts w:cs="Arial"/>
              </w:rPr>
              <w:t>H</w:t>
            </w:r>
            <w:r w:rsidRPr="000F313C">
              <w:rPr>
                <w:rFonts w:cs="Arial"/>
              </w:rPr>
              <w:t>z.</w:t>
            </w:r>
          </w:p>
        </w:tc>
      </w:tr>
      <w:tr w:rsidR="009937C7" w:rsidRPr="00F47E6D" w14:paraId="6011F849"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48E07967" w14:textId="77777777" w:rsidR="009937C7" w:rsidRPr="00F47E6D" w:rsidRDefault="009937C7" w:rsidP="006C78FB">
            <w:pPr>
              <w:rPr>
                <w:rFonts w:cs="Arial"/>
              </w:rPr>
            </w:pPr>
            <w:r w:rsidRPr="00F47E6D">
              <w:rPr>
                <w:rFonts w:cs="Arial"/>
                <w:lang w:val="en"/>
              </w:rPr>
              <w:t>Industry Association</w:t>
            </w:r>
          </w:p>
        </w:tc>
        <w:tc>
          <w:tcPr>
            <w:tcW w:w="7626" w:type="dxa"/>
          </w:tcPr>
          <w:p w14:paraId="669E4034" w14:textId="77777777" w:rsidR="009937C7" w:rsidRPr="00F47E6D" w:rsidRDefault="009937C7" w:rsidP="006C78FB">
            <w:pPr>
              <w:rPr>
                <w:rFonts w:cs="Arial"/>
              </w:rPr>
            </w:pPr>
            <w:r>
              <w:rPr>
                <w:rFonts w:cs="Arial"/>
              </w:rPr>
              <w:t>An organisation founded and funded by businesses and other parties that have an interest in the wind energy industry.</w:t>
            </w:r>
          </w:p>
        </w:tc>
      </w:tr>
      <w:tr w:rsidR="009937C7" w:rsidRPr="00F47E6D" w14:paraId="5827902C"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2C6EE9DA" w14:textId="77777777" w:rsidR="009937C7" w:rsidRPr="00F47E6D" w:rsidRDefault="009937C7" w:rsidP="006C78FB">
            <w:pPr>
              <w:rPr>
                <w:rFonts w:cs="Arial"/>
              </w:rPr>
            </w:pPr>
            <w:r w:rsidRPr="00F47E6D">
              <w:rPr>
                <w:rFonts w:cs="Arial"/>
                <w:lang w:val="en"/>
              </w:rPr>
              <w:t>Industry Member</w:t>
            </w:r>
          </w:p>
        </w:tc>
        <w:tc>
          <w:tcPr>
            <w:tcW w:w="7626" w:type="dxa"/>
          </w:tcPr>
          <w:p w14:paraId="360E2829" w14:textId="77777777" w:rsidR="009937C7" w:rsidRPr="00F47E6D" w:rsidRDefault="009937C7" w:rsidP="006C78FB">
            <w:pPr>
              <w:rPr>
                <w:rFonts w:cs="Arial"/>
              </w:rPr>
            </w:pPr>
            <w:r>
              <w:rPr>
                <w:rFonts w:cs="Arial"/>
              </w:rPr>
              <w:t>Employee or other party who is involved as a member of an industry association.</w:t>
            </w:r>
          </w:p>
        </w:tc>
      </w:tr>
      <w:tr w:rsidR="009937C7" w:rsidRPr="00F47E6D" w14:paraId="6CB936D2"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00D2DBAE" w14:textId="77777777" w:rsidR="009937C7" w:rsidRPr="00F47E6D" w:rsidRDefault="009937C7" w:rsidP="006C78FB">
            <w:pPr>
              <w:rPr>
                <w:rFonts w:cs="Arial"/>
              </w:rPr>
            </w:pPr>
            <w:r w:rsidRPr="00F47E6D">
              <w:rPr>
                <w:rFonts w:cs="Arial"/>
                <w:lang w:val="en"/>
              </w:rPr>
              <w:t>Infrasound</w:t>
            </w:r>
          </w:p>
        </w:tc>
        <w:tc>
          <w:tcPr>
            <w:tcW w:w="7626" w:type="dxa"/>
          </w:tcPr>
          <w:p w14:paraId="344240B5" w14:textId="77777777" w:rsidR="009937C7" w:rsidRPr="00F47E6D" w:rsidRDefault="009937C7" w:rsidP="006C78FB">
            <w:pPr>
              <w:rPr>
                <w:rFonts w:cs="Arial"/>
              </w:rPr>
            </w:pPr>
            <w:r w:rsidRPr="00F47E6D">
              <w:rPr>
                <w:rStyle w:val="tgc"/>
                <w:rFonts w:cs="Arial"/>
              </w:rPr>
              <w:t>Sound that is lower in frequency than 20 Hz or cycles per second, the ‘normal’ limit of human hearing.</w:t>
            </w:r>
          </w:p>
        </w:tc>
      </w:tr>
      <w:tr w:rsidR="009937C7" w:rsidRPr="00F47E6D" w14:paraId="68475216"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1878FE2E" w14:textId="77777777" w:rsidR="009937C7" w:rsidRPr="00F47E6D" w:rsidRDefault="009937C7" w:rsidP="006C78FB">
            <w:pPr>
              <w:rPr>
                <w:rFonts w:cs="Arial"/>
                <w:lang w:val="en"/>
              </w:rPr>
            </w:pPr>
            <w:r>
              <w:rPr>
                <w:rFonts w:cs="Arial"/>
              </w:rPr>
              <w:t>Independent Scientific Committee on Wind Turbines</w:t>
            </w:r>
          </w:p>
        </w:tc>
        <w:tc>
          <w:tcPr>
            <w:tcW w:w="7626" w:type="dxa"/>
          </w:tcPr>
          <w:p w14:paraId="74BBEB85" w14:textId="77777777" w:rsidR="009937C7" w:rsidRPr="00F47E6D" w:rsidRDefault="009937C7" w:rsidP="006C78FB">
            <w:pPr>
              <w:rPr>
                <w:rStyle w:val="tgc"/>
                <w:rFonts w:cs="Arial"/>
              </w:rPr>
            </w:pPr>
            <w:r>
              <w:rPr>
                <w:lang w:val="en"/>
              </w:rPr>
              <w:t>An independent, multidisciplinary, expert group established in 2015 by the then Minister for the Environment, the Hon Greg Hunt. The Committee was primarily established to investigate and provide advice on the potential impacts of sound from wind turbines on health and the environment.</w:t>
            </w:r>
          </w:p>
        </w:tc>
      </w:tr>
      <w:tr w:rsidR="009937C7" w:rsidRPr="00F47E6D" w14:paraId="14C47D6C"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1325111A" w14:textId="77777777" w:rsidR="009937C7" w:rsidRDefault="009937C7" w:rsidP="006C78FB">
            <w:pPr>
              <w:rPr>
                <w:rFonts w:cs="Arial"/>
                <w:lang w:val="en"/>
              </w:rPr>
            </w:pPr>
            <w:r w:rsidRPr="00F47E6D">
              <w:rPr>
                <w:rFonts w:cs="Arial"/>
              </w:rPr>
              <w:t>L</w:t>
            </w:r>
            <w:r w:rsidRPr="00F47E6D">
              <w:rPr>
                <w:rFonts w:cs="Arial"/>
                <w:vertAlign w:val="subscript"/>
              </w:rPr>
              <w:t>A90,10min</w:t>
            </w:r>
          </w:p>
          <w:p w14:paraId="100DD6A2" w14:textId="77777777" w:rsidR="009937C7" w:rsidRPr="000D7163" w:rsidRDefault="009937C7" w:rsidP="006C78FB">
            <w:pPr>
              <w:rPr>
                <w:rFonts w:cs="Arial"/>
                <w:lang w:val="en"/>
              </w:rPr>
            </w:pPr>
          </w:p>
          <w:p w14:paraId="7DEFC390" w14:textId="77777777" w:rsidR="009937C7" w:rsidRPr="000D7163" w:rsidRDefault="009937C7" w:rsidP="006C78FB">
            <w:pPr>
              <w:rPr>
                <w:rFonts w:cs="Arial"/>
                <w:lang w:val="en"/>
              </w:rPr>
            </w:pPr>
          </w:p>
          <w:p w14:paraId="722E6CC9" w14:textId="77777777" w:rsidR="009937C7" w:rsidRPr="000D7163" w:rsidRDefault="009937C7" w:rsidP="006C78FB">
            <w:pPr>
              <w:rPr>
                <w:rFonts w:cs="Arial"/>
                <w:lang w:val="en"/>
              </w:rPr>
            </w:pPr>
          </w:p>
          <w:p w14:paraId="7A10566C" w14:textId="77777777" w:rsidR="009937C7" w:rsidRDefault="009937C7" w:rsidP="006C78FB">
            <w:pPr>
              <w:rPr>
                <w:rFonts w:cs="Arial"/>
                <w:lang w:val="en"/>
              </w:rPr>
            </w:pPr>
          </w:p>
          <w:p w14:paraId="5FD073BB" w14:textId="77777777" w:rsidR="009937C7" w:rsidRPr="000D7163" w:rsidRDefault="009937C7" w:rsidP="006C78FB">
            <w:pPr>
              <w:rPr>
                <w:rFonts w:cs="Arial"/>
                <w:lang w:val="en"/>
              </w:rPr>
            </w:pPr>
          </w:p>
          <w:p w14:paraId="5AF4A892" w14:textId="77777777" w:rsidR="009937C7" w:rsidRDefault="009937C7" w:rsidP="006C78FB">
            <w:pPr>
              <w:rPr>
                <w:rFonts w:cs="Arial"/>
                <w:lang w:val="en"/>
              </w:rPr>
            </w:pPr>
          </w:p>
          <w:p w14:paraId="76F3C87F" w14:textId="77777777" w:rsidR="009937C7" w:rsidRDefault="009937C7" w:rsidP="006C78FB">
            <w:pPr>
              <w:rPr>
                <w:rFonts w:cs="Arial"/>
                <w:lang w:val="en"/>
              </w:rPr>
            </w:pPr>
          </w:p>
          <w:p w14:paraId="2E9F674A" w14:textId="77777777" w:rsidR="009937C7" w:rsidRDefault="009937C7" w:rsidP="006C78FB">
            <w:pPr>
              <w:rPr>
                <w:rFonts w:cs="Arial"/>
                <w:lang w:val="en"/>
              </w:rPr>
            </w:pPr>
          </w:p>
          <w:p w14:paraId="015F99B7" w14:textId="25043CDB" w:rsidR="00775A68" w:rsidRPr="00775A68" w:rsidRDefault="00775A68" w:rsidP="00775A68">
            <w:pPr>
              <w:ind w:firstLine="720"/>
              <w:rPr>
                <w:rFonts w:cs="Arial"/>
                <w:lang w:val="en"/>
              </w:rPr>
            </w:pPr>
          </w:p>
        </w:tc>
        <w:tc>
          <w:tcPr>
            <w:tcW w:w="7626" w:type="dxa"/>
          </w:tcPr>
          <w:p w14:paraId="4B98B269" w14:textId="77777777" w:rsidR="009937C7" w:rsidRPr="00F47E6D" w:rsidRDefault="009937C7" w:rsidP="006C78FB">
            <w:pPr>
              <w:rPr>
                <w:rFonts w:cs="Arial"/>
              </w:rPr>
            </w:pPr>
            <w:r>
              <w:rPr>
                <w:rFonts w:cs="Arial"/>
              </w:rPr>
              <w:lastRenderedPageBreak/>
              <w:t>T</w:t>
            </w:r>
            <w:r w:rsidRPr="00F47E6D">
              <w:rPr>
                <w:rFonts w:cs="Arial"/>
              </w:rPr>
              <w:t xml:space="preserve">he A-weighted sound pressure level, obtained by using the fast time-weighting, that is equal to or exceeded for </w:t>
            </w:r>
            <w:r>
              <w:rPr>
                <w:rFonts w:cs="Arial"/>
              </w:rPr>
              <w:t>90% of a 10</w:t>
            </w:r>
            <w:r w:rsidRPr="00F47E6D">
              <w:rPr>
                <w:rFonts w:cs="Arial"/>
              </w:rPr>
              <w:t>-minute time interval. The values for individual 10-minute time periods are highly variable and a function of the hub height wind speed. The actual value for a particular hub height wind speed is determined by best fitting a polynomial function of hub height wind speed, which can be up to fo</w:t>
            </w:r>
            <w:r>
              <w:rPr>
                <w:rFonts w:cs="Arial"/>
              </w:rPr>
              <w:t>urth order, to the individual 10</w:t>
            </w:r>
            <w:r w:rsidRPr="00F47E6D">
              <w:rPr>
                <w:rFonts w:cs="Arial"/>
              </w:rPr>
              <w:t>-minute time period L</w:t>
            </w:r>
            <w:r w:rsidRPr="00F47E6D">
              <w:rPr>
                <w:rFonts w:cs="Arial"/>
                <w:vertAlign w:val="subscript"/>
              </w:rPr>
              <w:t>A90,10min</w:t>
            </w:r>
            <w:r w:rsidRPr="00F47E6D">
              <w:rPr>
                <w:rFonts w:cs="Arial"/>
              </w:rPr>
              <w:t xml:space="preserve"> values when the wind turbines are operating. It is corrected to remove the effect of the background noise by subtracting a background noise function determined in the same way when the wind turbines are not operating.</w:t>
            </w:r>
          </w:p>
          <w:p w14:paraId="3C013113" w14:textId="77777777" w:rsidR="009937C7" w:rsidRPr="00F47E6D" w:rsidRDefault="009937C7" w:rsidP="006C78FB">
            <w:pPr>
              <w:rPr>
                <w:rStyle w:val="tgc"/>
                <w:rFonts w:cs="Arial"/>
              </w:rPr>
            </w:pPr>
            <w:r w:rsidRPr="00F47E6D">
              <w:rPr>
                <w:rFonts w:cs="Arial"/>
              </w:rPr>
              <w:lastRenderedPageBreak/>
              <w:t>For example, for a particular hub height wind speed, the L</w:t>
            </w:r>
            <w:r w:rsidRPr="00F47E6D">
              <w:rPr>
                <w:rFonts w:cs="Arial"/>
                <w:vertAlign w:val="subscript"/>
              </w:rPr>
              <w:t>A90,10min</w:t>
            </w:r>
            <w:r w:rsidRPr="00F47E6D">
              <w:rPr>
                <w:rFonts w:cs="Arial"/>
              </w:rPr>
              <w:t xml:space="preserve"> function determined as described above must be le</w:t>
            </w:r>
            <w:r>
              <w:rPr>
                <w:rFonts w:cs="Arial"/>
              </w:rPr>
              <w:t>ss than the greater of 35 </w:t>
            </w:r>
            <w:r w:rsidRPr="00F47E6D">
              <w:rPr>
                <w:rFonts w:cs="Arial"/>
              </w:rPr>
              <w:t>dB and the background noise function determined as described above plus 5 dB.</w:t>
            </w:r>
          </w:p>
        </w:tc>
      </w:tr>
      <w:tr w:rsidR="009937C7" w:rsidRPr="00F47E6D" w14:paraId="0D2C7407"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510C51B4" w14:textId="77777777" w:rsidR="009937C7" w:rsidRPr="00F47E6D" w:rsidRDefault="009937C7" w:rsidP="006C78FB">
            <w:pPr>
              <w:rPr>
                <w:rFonts w:cs="Arial"/>
                <w:lang w:val="en"/>
              </w:rPr>
            </w:pPr>
            <w:r w:rsidRPr="00F47E6D">
              <w:rPr>
                <w:rFonts w:cs="Arial"/>
              </w:rPr>
              <w:lastRenderedPageBreak/>
              <w:t>Micro-siting</w:t>
            </w:r>
          </w:p>
        </w:tc>
        <w:tc>
          <w:tcPr>
            <w:tcW w:w="7626" w:type="dxa"/>
          </w:tcPr>
          <w:p w14:paraId="60A74C71" w14:textId="77777777" w:rsidR="009937C7" w:rsidRPr="00F47E6D" w:rsidRDefault="009937C7" w:rsidP="006C78FB">
            <w:pPr>
              <w:rPr>
                <w:rStyle w:val="tgc"/>
                <w:rFonts w:cs="Arial"/>
              </w:rPr>
            </w:pPr>
            <w:r w:rsidRPr="00F47E6D">
              <w:rPr>
                <w:rStyle w:val="tgc"/>
                <w:rFonts w:cs="Arial"/>
              </w:rPr>
              <w:t>The process whereby the specific location of a wind turbine is determined</w:t>
            </w:r>
            <w:r>
              <w:rPr>
                <w:rStyle w:val="tgc"/>
                <w:rFonts w:cs="Arial"/>
              </w:rPr>
              <w:t>.</w:t>
            </w:r>
          </w:p>
        </w:tc>
      </w:tr>
      <w:tr w:rsidR="009937C7" w:rsidRPr="00F47E6D" w14:paraId="39009D16"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7D6BF65F" w14:textId="77777777" w:rsidR="009937C7" w:rsidRPr="00F47E6D" w:rsidRDefault="009937C7" w:rsidP="006C78FB">
            <w:pPr>
              <w:rPr>
                <w:rFonts w:cs="Arial"/>
                <w:lang w:val="en"/>
              </w:rPr>
            </w:pPr>
            <w:r w:rsidRPr="00E00EB7">
              <w:rPr>
                <w:rFonts w:ascii="Helvetica" w:eastAsia="Times New Roman" w:hAnsi="Helvetica" w:cs="Helvetica"/>
                <w:color w:val="000000"/>
              </w:rPr>
              <w:t>National Health and Medical Research Council (NHMRC</w:t>
            </w:r>
            <w:r>
              <w:rPr>
                <w:rFonts w:ascii="Helvetica" w:eastAsia="Times New Roman" w:hAnsi="Helvetica" w:cs="Helvetica"/>
                <w:color w:val="000000"/>
              </w:rPr>
              <w:t>)</w:t>
            </w:r>
          </w:p>
        </w:tc>
        <w:tc>
          <w:tcPr>
            <w:tcW w:w="7626" w:type="dxa"/>
          </w:tcPr>
          <w:p w14:paraId="31D7A5CE" w14:textId="77777777" w:rsidR="009937C7" w:rsidRPr="00F47E6D" w:rsidRDefault="009937C7" w:rsidP="006C78FB">
            <w:pPr>
              <w:rPr>
                <w:rStyle w:val="tgc"/>
                <w:rFonts w:cs="Arial"/>
              </w:rPr>
            </w:pPr>
            <w:r w:rsidRPr="00674543">
              <w:rPr>
                <w:rFonts w:eastAsia="Times New Roman" w:cs="Arial"/>
                <w:lang w:val="en"/>
              </w:rPr>
              <w:t>An independent statutory agency and expert body that promotes the development and maintenance of public and individual health standards. NHMRC provides research funding and development of advice, drawing upon a broad range of resources.</w:t>
            </w:r>
          </w:p>
        </w:tc>
      </w:tr>
      <w:tr w:rsidR="009937C7" w:rsidRPr="00F47E6D" w14:paraId="434211EA"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6797393F" w14:textId="77777777" w:rsidR="009937C7" w:rsidRPr="00F47E6D" w:rsidRDefault="009937C7" w:rsidP="006C78FB">
            <w:pPr>
              <w:rPr>
                <w:rStyle w:val="tgc"/>
                <w:rFonts w:cs="Arial"/>
              </w:rPr>
            </w:pPr>
            <w:r w:rsidRPr="00F47E6D">
              <w:rPr>
                <w:rStyle w:val="tgc"/>
                <w:rFonts w:cs="Arial"/>
              </w:rPr>
              <w:t>Natural Environment</w:t>
            </w:r>
          </w:p>
        </w:tc>
        <w:tc>
          <w:tcPr>
            <w:tcW w:w="7626" w:type="dxa"/>
          </w:tcPr>
          <w:p w14:paraId="2F7C0113" w14:textId="77777777" w:rsidR="009937C7" w:rsidRPr="00F47E6D" w:rsidRDefault="009937C7" w:rsidP="006C78FB">
            <w:pPr>
              <w:rPr>
                <w:rStyle w:val="tgc"/>
                <w:rFonts w:cs="Arial"/>
              </w:rPr>
            </w:pPr>
            <w:r>
              <w:rPr>
                <w:rStyle w:val="tgc"/>
                <w:rFonts w:cs="Arial"/>
              </w:rPr>
              <w:t>The land, water, biodiversity, flora and fauna and the naturally occurring ecological processes that may be impacted by the development or operation of a wind farm.</w:t>
            </w:r>
          </w:p>
        </w:tc>
      </w:tr>
      <w:tr w:rsidR="009937C7" w:rsidRPr="00F47E6D" w14:paraId="04031032"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58B619F2" w14:textId="77777777" w:rsidR="009937C7" w:rsidRPr="00F47E6D" w:rsidRDefault="009937C7" w:rsidP="006C78FB">
            <w:pPr>
              <w:rPr>
                <w:rFonts w:cs="Arial"/>
              </w:rPr>
            </w:pPr>
            <w:r>
              <w:rPr>
                <w:rStyle w:val="tgc"/>
                <w:rFonts w:cs="Arial"/>
              </w:rPr>
              <w:t>Neighbour</w:t>
            </w:r>
          </w:p>
        </w:tc>
        <w:tc>
          <w:tcPr>
            <w:tcW w:w="7626" w:type="dxa"/>
          </w:tcPr>
          <w:p w14:paraId="5D0E2DE2" w14:textId="77777777" w:rsidR="009937C7" w:rsidRPr="00674543" w:rsidRDefault="009937C7" w:rsidP="006C78FB">
            <w:pPr>
              <w:spacing w:line="264" w:lineRule="auto"/>
              <w:rPr>
                <w:rFonts w:eastAsia="Times New Roman" w:cs="Arial"/>
                <w:lang w:val="en"/>
              </w:rPr>
            </w:pPr>
            <w:r>
              <w:rPr>
                <w:rFonts w:cs="Arial"/>
              </w:rPr>
              <w:t>A resident of a property</w:t>
            </w:r>
            <w:r w:rsidRPr="00F47E6D">
              <w:rPr>
                <w:rFonts w:cs="Arial"/>
              </w:rPr>
              <w:t xml:space="preserve"> </w:t>
            </w:r>
            <w:r>
              <w:rPr>
                <w:rFonts w:cs="Arial"/>
              </w:rPr>
              <w:t xml:space="preserve">that is </w:t>
            </w:r>
            <w:r w:rsidRPr="00F47E6D">
              <w:rPr>
                <w:rFonts w:cs="Arial"/>
              </w:rPr>
              <w:t xml:space="preserve">within </w:t>
            </w:r>
            <w:r>
              <w:rPr>
                <w:rFonts w:cs="Arial"/>
              </w:rPr>
              <w:t xml:space="preserve">close </w:t>
            </w:r>
            <w:r w:rsidRPr="00F47E6D">
              <w:rPr>
                <w:rFonts w:cs="Arial"/>
              </w:rPr>
              <w:t xml:space="preserve">proximity to wind farm </w:t>
            </w:r>
            <w:r>
              <w:rPr>
                <w:rFonts w:cs="Arial"/>
              </w:rPr>
              <w:t>turbine/s but does not host the turbine.</w:t>
            </w:r>
          </w:p>
        </w:tc>
      </w:tr>
      <w:tr w:rsidR="009937C7" w:rsidRPr="00F47E6D" w14:paraId="0EFDB0C4"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04910085" w14:textId="77777777" w:rsidR="009937C7" w:rsidRPr="00E00EB7" w:rsidRDefault="009937C7" w:rsidP="006C78FB">
            <w:pPr>
              <w:rPr>
                <w:rFonts w:ascii="Helvetica" w:eastAsia="Times New Roman" w:hAnsi="Helvetica" w:cs="Helvetica"/>
                <w:color w:val="000000"/>
              </w:rPr>
            </w:pPr>
            <w:r w:rsidRPr="00F47E6D">
              <w:rPr>
                <w:rFonts w:cs="Arial"/>
              </w:rPr>
              <w:t>NZS 6808:1998</w:t>
            </w:r>
          </w:p>
        </w:tc>
        <w:tc>
          <w:tcPr>
            <w:tcW w:w="7626" w:type="dxa"/>
          </w:tcPr>
          <w:p w14:paraId="49CDA431" w14:textId="77777777" w:rsidR="009937C7" w:rsidRPr="006B14B3" w:rsidRDefault="009937C7" w:rsidP="006C78FB">
            <w:pPr>
              <w:autoSpaceDE w:val="0"/>
              <w:autoSpaceDN w:val="0"/>
              <w:adjustRightInd w:val="0"/>
              <w:spacing w:line="264" w:lineRule="auto"/>
              <w:rPr>
                <w:rFonts w:cs="Arial"/>
              </w:rPr>
            </w:pPr>
            <w:r w:rsidRPr="006B14B3">
              <w:rPr>
                <w:rFonts w:cs="Arial"/>
              </w:rPr>
              <w:t>A recognised standard in New Zealand introduced in 1998 that provides methods for the prediction, measurement and assessment of sound from wind turbines.</w:t>
            </w:r>
          </w:p>
          <w:p w14:paraId="7120B647" w14:textId="1CD9104C" w:rsidR="009937C7" w:rsidRPr="006B466D" w:rsidRDefault="009937C7" w:rsidP="006C78FB">
            <w:pPr>
              <w:autoSpaceDE w:val="0"/>
              <w:autoSpaceDN w:val="0"/>
              <w:adjustRightInd w:val="0"/>
              <w:spacing w:line="264" w:lineRule="auto"/>
              <w:rPr>
                <w:rFonts w:cs="Arial"/>
                <w:i/>
                <w:iCs/>
              </w:rPr>
            </w:pPr>
            <w:r w:rsidRPr="006B14B3">
              <w:rPr>
                <w:rFonts w:cs="Arial"/>
              </w:rPr>
              <w:t xml:space="preserve">This standard was based on the United Kingdom 1996 </w:t>
            </w:r>
            <w:r>
              <w:rPr>
                <w:rFonts w:cs="Arial"/>
              </w:rPr>
              <w:t>Energy Technology Support Unit (</w:t>
            </w:r>
            <w:r w:rsidRPr="006B14B3">
              <w:rPr>
                <w:rFonts w:cs="Arial"/>
              </w:rPr>
              <w:t>ETSU</w:t>
            </w:r>
            <w:r>
              <w:rPr>
                <w:rFonts w:cs="Arial"/>
              </w:rPr>
              <w:t>)</w:t>
            </w:r>
            <w:r w:rsidRPr="006B14B3">
              <w:rPr>
                <w:rFonts w:cs="Arial"/>
              </w:rPr>
              <w:t xml:space="preserve"> report</w:t>
            </w:r>
            <w:r w:rsidRPr="006B466D">
              <w:rPr>
                <w:rFonts w:cs="Arial"/>
              </w:rPr>
              <w:t xml:space="preserve"> </w:t>
            </w:r>
            <w:r w:rsidR="00737F39" w:rsidRPr="006B466D">
              <w:rPr>
                <w:rFonts w:cs="Arial"/>
                <w:i/>
                <w:iCs/>
              </w:rPr>
              <w:t>the</w:t>
            </w:r>
            <w:r w:rsidRPr="006B466D">
              <w:rPr>
                <w:rFonts w:cs="Arial"/>
                <w:i/>
                <w:iCs/>
              </w:rPr>
              <w:t xml:space="preserve"> assessment and rating of noise from</w:t>
            </w:r>
            <w:r>
              <w:rPr>
                <w:rFonts w:cs="Arial"/>
                <w:i/>
                <w:iCs/>
              </w:rPr>
              <w:t xml:space="preserve"> wind farms</w:t>
            </w:r>
            <w:r w:rsidRPr="006B466D">
              <w:rPr>
                <w:rFonts w:cs="Arial"/>
                <w:i/>
                <w:iCs/>
              </w:rPr>
              <w:t xml:space="preserve"> </w:t>
            </w:r>
            <w:r>
              <w:rPr>
                <w:rFonts w:cs="Arial"/>
                <w:iCs/>
              </w:rPr>
              <w:t>(</w:t>
            </w:r>
            <w:r>
              <w:rPr>
                <w:rFonts w:cs="Arial"/>
              </w:rPr>
              <w:t xml:space="preserve">ETSU-R-97, </w:t>
            </w:r>
            <w:r w:rsidRPr="006B466D">
              <w:rPr>
                <w:rFonts w:cs="Arial"/>
              </w:rPr>
              <w:t>1996)</w:t>
            </w:r>
            <w:r>
              <w:rPr>
                <w:rFonts w:cs="Arial"/>
              </w:rPr>
              <w:t>. H</w:t>
            </w:r>
            <w:r w:rsidRPr="006B14B3">
              <w:rPr>
                <w:rFonts w:cs="Arial"/>
              </w:rPr>
              <w:t>owever,</w:t>
            </w:r>
            <w:r>
              <w:rPr>
                <w:rFonts w:cs="Arial"/>
              </w:rPr>
              <w:t xml:space="preserve"> the New Zealand standard</w:t>
            </w:r>
            <w:r w:rsidRPr="006B14B3">
              <w:rPr>
                <w:rFonts w:cs="Arial"/>
              </w:rPr>
              <w:t xml:space="preserve"> introduced the L95 measurement </w:t>
            </w:r>
            <w:r>
              <w:rPr>
                <w:rFonts w:cs="Arial"/>
              </w:rPr>
              <w:t xml:space="preserve">used to describe background </w:t>
            </w:r>
            <w:r w:rsidRPr="006B14B3">
              <w:rPr>
                <w:rFonts w:cs="Arial"/>
              </w:rPr>
              <w:t xml:space="preserve">sound in New Zealand. </w:t>
            </w:r>
            <w:r>
              <w:rPr>
                <w:rFonts w:cs="Arial"/>
              </w:rPr>
              <w:t xml:space="preserve">The standard </w:t>
            </w:r>
            <w:r w:rsidRPr="006B14B3">
              <w:rPr>
                <w:rFonts w:cs="Arial"/>
              </w:rPr>
              <w:t>limi</w:t>
            </w:r>
            <w:r>
              <w:rPr>
                <w:rFonts w:cs="Arial"/>
              </w:rPr>
              <w:t xml:space="preserve">t was 40dB, with a </w:t>
            </w:r>
            <w:r w:rsidRPr="006B14B3">
              <w:rPr>
                <w:rFonts w:cs="Arial"/>
              </w:rPr>
              <w:t>‘background +5 dB’ variable</w:t>
            </w:r>
            <w:r>
              <w:rPr>
                <w:rFonts w:cs="Arial"/>
              </w:rPr>
              <w:t>.</w:t>
            </w:r>
            <w:r w:rsidRPr="006B14B3">
              <w:rPr>
                <w:rFonts w:cs="Arial"/>
              </w:rPr>
              <w:t xml:space="preserve"> </w:t>
            </w:r>
            <w:r>
              <w:rPr>
                <w:rFonts w:cs="Arial"/>
              </w:rPr>
              <w:t xml:space="preserve">This standard was used for all wind </w:t>
            </w:r>
            <w:r w:rsidRPr="006B14B3">
              <w:rPr>
                <w:rFonts w:cs="Arial"/>
              </w:rPr>
              <w:t>farms in New Zealand</w:t>
            </w:r>
            <w:r>
              <w:rPr>
                <w:rFonts w:cs="Arial"/>
              </w:rPr>
              <w:t xml:space="preserve"> until the introduction of the 2010 standard and was also adopted in</w:t>
            </w:r>
            <w:r w:rsidRPr="006B14B3">
              <w:rPr>
                <w:rFonts w:cs="Arial"/>
              </w:rPr>
              <w:t xml:space="preserve"> Victoria prior to 2010</w:t>
            </w:r>
            <w:r>
              <w:rPr>
                <w:rFonts w:cs="Arial"/>
              </w:rPr>
              <w:t>. This standard is now succeeded by NZS 6808:2010.</w:t>
            </w:r>
          </w:p>
        </w:tc>
      </w:tr>
      <w:tr w:rsidR="009937C7" w:rsidRPr="00F47E6D" w14:paraId="2CB81A37"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35730321" w14:textId="77777777" w:rsidR="009937C7" w:rsidRPr="00F47E6D" w:rsidRDefault="009937C7" w:rsidP="006C78FB">
            <w:pPr>
              <w:rPr>
                <w:rFonts w:cs="Arial"/>
              </w:rPr>
            </w:pPr>
            <w:r w:rsidRPr="00F47E6D">
              <w:rPr>
                <w:rFonts w:cs="Arial"/>
              </w:rPr>
              <w:t>NZS 6808:</w:t>
            </w:r>
            <w:r>
              <w:rPr>
                <w:rFonts w:cs="Arial"/>
              </w:rPr>
              <w:t>2010</w:t>
            </w:r>
          </w:p>
        </w:tc>
        <w:tc>
          <w:tcPr>
            <w:tcW w:w="7626" w:type="dxa"/>
          </w:tcPr>
          <w:p w14:paraId="184BDE1C" w14:textId="77777777" w:rsidR="009937C7" w:rsidRPr="002340D9" w:rsidRDefault="009937C7" w:rsidP="006C78FB">
            <w:pPr>
              <w:autoSpaceDE w:val="0"/>
              <w:autoSpaceDN w:val="0"/>
              <w:adjustRightInd w:val="0"/>
              <w:spacing w:line="264" w:lineRule="auto"/>
              <w:rPr>
                <w:rFonts w:cs="Arial"/>
              </w:rPr>
            </w:pPr>
            <w:r w:rsidRPr="002340D9">
              <w:rPr>
                <w:rFonts w:cs="Arial"/>
              </w:rPr>
              <w:t>A recognised standard in New Zealand introduced in 2010 that provides methods for the prediction, measurement and assessment of sound from wind turbines. This standard succeeded the 1998 version</w:t>
            </w:r>
            <w:r>
              <w:rPr>
                <w:rFonts w:cs="Arial"/>
              </w:rPr>
              <w:t xml:space="preserve"> (NZS 6808:1998).</w:t>
            </w:r>
          </w:p>
          <w:p w14:paraId="319498D6" w14:textId="77777777" w:rsidR="009937C7" w:rsidRPr="002340D9" w:rsidRDefault="009937C7" w:rsidP="006C78FB">
            <w:pPr>
              <w:autoSpaceDE w:val="0"/>
              <w:autoSpaceDN w:val="0"/>
              <w:adjustRightInd w:val="0"/>
              <w:spacing w:line="264" w:lineRule="auto"/>
              <w:rPr>
                <w:rFonts w:cs="Arial"/>
              </w:rPr>
            </w:pPr>
            <w:r>
              <w:rPr>
                <w:rFonts w:cs="Arial"/>
              </w:rPr>
              <w:t>While the</w:t>
            </w:r>
            <w:r w:rsidRPr="002340D9">
              <w:rPr>
                <w:rFonts w:cs="Arial"/>
              </w:rPr>
              <w:t xml:space="preserve"> 1998 version was </w:t>
            </w:r>
            <w:r>
              <w:rPr>
                <w:rFonts w:cs="Arial"/>
              </w:rPr>
              <w:t>introduced</w:t>
            </w:r>
            <w:r w:rsidRPr="002340D9">
              <w:rPr>
                <w:rFonts w:cs="Arial"/>
              </w:rPr>
              <w:t xml:space="preserve"> prior to significant wind farm develo</w:t>
            </w:r>
            <w:r>
              <w:rPr>
                <w:rFonts w:cs="Arial"/>
              </w:rPr>
              <w:t>pment in New Zealand</w:t>
            </w:r>
            <w:r w:rsidRPr="002340D9">
              <w:rPr>
                <w:rFonts w:cs="Arial"/>
              </w:rPr>
              <w:t xml:space="preserve">, </w:t>
            </w:r>
            <w:r>
              <w:rPr>
                <w:rFonts w:cs="Arial"/>
              </w:rPr>
              <w:t>a number of</w:t>
            </w:r>
            <w:r w:rsidRPr="002340D9">
              <w:rPr>
                <w:rFonts w:cs="Arial"/>
              </w:rPr>
              <w:t xml:space="preserve"> technical refinements and inc</w:t>
            </w:r>
            <w:r>
              <w:rPr>
                <w:rFonts w:cs="Arial"/>
              </w:rPr>
              <w:t>remental enhancements</w:t>
            </w:r>
            <w:r w:rsidRPr="002340D9">
              <w:rPr>
                <w:rFonts w:cs="Arial"/>
              </w:rPr>
              <w:t xml:space="preserve"> </w:t>
            </w:r>
            <w:r>
              <w:rPr>
                <w:rFonts w:cs="Arial"/>
              </w:rPr>
              <w:t>were included in the</w:t>
            </w:r>
            <w:r w:rsidRPr="002340D9">
              <w:rPr>
                <w:rFonts w:cs="Arial"/>
              </w:rPr>
              <w:t xml:space="preserve"> 2010 </w:t>
            </w:r>
            <w:r>
              <w:rPr>
                <w:rFonts w:cs="Arial"/>
              </w:rPr>
              <w:t>standard</w:t>
            </w:r>
            <w:r w:rsidRPr="002340D9">
              <w:rPr>
                <w:rFonts w:cs="Arial"/>
              </w:rPr>
              <w:t>.</w:t>
            </w:r>
            <w:r>
              <w:rPr>
                <w:rFonts w:cs="Arial"/>
              </w:rPr>
              <w:t xml:space="preserve"> Notably, the standard also provided</w:t>
            </w:r>
            <w:r w:rsidRPr="002340D9">
              <w:rPr>
                <w:rFonts w:cs="Arial"/>
              </w:rPr>
              <w:t xml:space="preserve"> for a mor</w:t>
            </w:r>
            <w:r>
              <w:rPr>
                <w:rFonts w:cs="Arial"/>
              </w:rPr>
              <w:t xml:space="preserve">e stringent ‘high amenity noise </w:t>
            </w:r>
            <w:r w:rsidRPr="002340D9">
              <w:rPr>
                <w:rFonts w:cs="Arial"/>
              </w:rPr>
              <w:t xml:space="preserve">limit’ </w:t>
            </w:r>
            <w:r>
              <w:rPr>
                <w:rFonts w:cs="Arial"/>
              </w:rPr>
              <w:t xml:space="preserve">in </w:t>
            </w:r>
            <w:r w:rsidRPr="002340D9">
              <w:rPr>
                <w:rFonts w:cs="Arial"/>
              </w:rPr>
              <w:t>special local circumstances.</w:t>
            </w:r>
          </w:p>
        </w:tc>
      </w:tr>
      <w:tr w:rsidR="009937C7" w:rsidRPr="00F47E6D" w14:paraId="451E2C2A"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2DD28CF8" w14:textId="77777777" w:rsidR="009937C7" w:rsidRPr="00F47E6D" w:rsidRDefault="009937C7" w:rsidP="006C78FB">
            <w:pPr>
              <w:rPr>
                <w:rFonts w:cs="Arial"/>
                <w:lang w:val="en"/>
              </w:rPr>
            </w:pPr>
            <w:r w:rsidRPr="00F47E6D">
              <w:rPr>
                <w:rStyle w:val="tgc"/>
                <w:rFonts w:cs="Arial"/>
              </w:rPr>
              <w:t>Ombudsman</w:t>
            </w:r>
          </w:p>
        </w:tc>
        <w:tc>
          <w:tcPr>
            <w:tcW w:w="7626" w:type="dxa"/>
          </w:tcPr>
          <w:p w14:paraId="0176C989" w14:textId="77777777" w:rsidR="009937C7" w:rsidRPr="00F47E6D" w:rsidRDefault="009937C7" w:rsidP="006C78FB">
            <w:pPr>
              <w:rPr>
                <w:rStyle w:val="tgc"/>
                <w:rFonts w:cs="Arial"/>
              </w:rPr>
            </w:pPr>
            <w:r w:rsidRPr="002F6417">
              <w:rPr>
                <w:rStyle w:val="st1"/>
                <w:rFonts w:cs="Arial"/>
              </w:rPr>
              <w:t>Appointed authority to assist the public by investigating and resolving complaints on a specified issue.</w:t>
            </w:r>
          </w:p>
        </w:tc>
      </w:tr>
      <w:tr w:rsidR="009937C7" w:rsidRPr="00F47E6D" w14:paraId="47B68AB4"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31912538" w14:textId="77777777" w:rsidR="009937C7" w:rsidRPr="00F47E6D" w:rsidRDefault="009937C7" w:rsidP="006C78FB">
            <w:pPr>
              <w:rPr>
                <w:rFonts w:cs="Arial"/>
                <w:lang w:val="en"/>
              </w:rPr>
            </w:pPr>
            <w:r w:rsidRPr="00F47E6D">
              <w:rPr>
                <w:rStyle w:val="tgc"/>
                <w:rFonts w:cs="Arial"/>
              </w:rPr>
              <w:t>Planning Process</w:t>
            </w:r>
          </w:p>
        </w:tc>
        <w:tc>
          <w:tcPr>
            <w:tcW w:w="7626" w:type="dxa"/>
          </w:tcPr>
          <w:p w14:paraId="284DB21B" w14:textId="77777777" w:rsidR="009937C7" w:rsidRPr="00F47E6D" w:rsidRDefault="009937C7" w:rsidP="006C78FB">
            <w:pPr>
              <w:rPr>
                <w:rStyle w:val="tgc"/>
                <w:rFonts w:cs="Arial"/>
              </w:rPr>
            </w:pPr>
            <w:r>
              <w:rPr>
                <w:rStyle w:val="tgc"/>
                <w:rFonts w:cs="Arial"/>
              </w:rPr>
              <w:t>A local, state or Federal Government process to determine whether a proposed project will be approved.</w:t>
            </w:r>
          </w:p>
        </w:tc>
      </w:tr>
      <w:tr w:rsidR="009937C7" w:rsidRPr="00F47E6D" w14:paraId="311D0C76"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40F3ED83" w14:textId="77777777" w:rsidR="009937C7" w:rsidRPr="00F47E6D" w:rsidRDefault="009937C7" w:rsidP="006C78FB">
            <w:pPr>
              <w:rPr>
                <w:rFonts w:cs="Arial"/>
                <w:lang w:val="en"/>
              </w:rPr>
            </w:pPr>
            <w:r w:rsidRPr="00F47E6D">
              <w:rPr>
                <w:rStyle w:val="st1"/>
                <w:rFonts w:cs="Arial"/>
              </w:rPr>
              <w:t>Responsible Authority</w:t>
            </w:r>
          </w:p>
        </w:tc>
        <w:tc>
          <w:tcPr>
            <w:tcW w:w="7626" w:type="dxa"/>
          </w:tcPr>
          <w:p w14:paraId="68EB976C" w14:textId="77777777" w:rsidR="009937C7" w:rsidRPr="00F47E6D" w:rsidRDefault="009937C7" w:rsidP="006C78FB">
            <w:pPr>
              <w:rPr>
                <w:rStyle w:val="tgc"/>
                <w:rFonts w:cs="Arial"/>
              </w:rPr>
            </w:pPr>
            <w:r w:rsidRPr="00F47E6D">
              <w:rPr>
                <w:rStyle w:val="st1"/>
                <w:rFonts w:cs="Arial"/>
              </w:rPr>
              <w:t>The planning authority responsible for the project from a planning/approval/compliance perspective</w:t>
            </w:r>
            <w:r>
              <w:rPr>
                <w:rStyle w:val="st1"/>
                <w:rFonts w:cs="Arial"/>
              </w:rPr>
              <w:t>.</w:t>
            </w:r>
          </w:p>
        </w:tc>
      </w:tr>
      <w:tr w:rsidR="009937C7" w:rsidRPr="00F47E6D" w14:paraId="2F426544"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4273D8DE" w14:textId="77777777" w:rsidR="009937C7" w:rsidRPr="00F47E6D" w:rsidRDefault="009937C7" w:rsidP="006C78FB">
            <w:pPr>
              <w:rPr>
                <w:rFonts w:cs="Arial"/>
                <w:lang w:val="en"/>
              </w:rPr>
            </w:pPr>
            <w:r w:rsidRPr="00F47E6D">
              <w:rPr>
                <w:rFonts w:cs="Arial"/>
              </w:rPr>
              <w:t>Safety</w:t>
            </w:r>
          </w:p>
        </w:tc>
        <w:tc>
          <w:tcPr>
            <w:tcW w:w="7626" w:type="dxa"/>
          </w:tcPr>
          <w:p w14:paraId="715399DB" w14:textId="77777777" w:rsidR="009937C7" w:rsidRPr="00F47E6D" w:rsidRDefault="009937C7" w:rsidP="006C78FB">
            <w:pPr>
              <w:rPr>
                <w:rStyle w:val="tgc"/>
                <w:rFonts w:cs="Arial"/>
              </w:rPr>
            </w:pPr>
            <w:r>
              <w:rPr>
                <w:rStyle w:val="tgc"/>
                <w:rFonts w:cs="Arial"/>
              </w:rPr>
              <w:t xml:space="preserve">The potential for the wind farm to cause danger, risk or injury to </w:t>
            </w:r>
            <w:r>
              <w:rPr>
                <w:rFonts w:cs="Arial"/>
              </w:rPr>
              <w:t xml:space="preserve">residents of a community within </w:t>
            </w:r>
            <w:r w:rsidRPr="00F47E6D">
              <w:rPr>
                <w:rFonts w:cs="Arial"/>
              </w:rPr>
              <w:t xml:space="preserve">proximity to </w:t>
            </w:r>
            <w:r>
              <w:rPr>
                <w:rFonts w:cs="Arial"/>
              </w:rPr>
              <w:t xml:space="preserve">a </w:t>
            </w:r>
            <w:r w:rsidRPr="00F47E6D">
              <w:rPr>
                <w:rFonts w:cs="Arial"/>
              </w:rPr>
              <w:t>wind farm</w:t>
            </w:r>
            <w:r>
              <w:rPr>
                <w:rFonts w:cs="Arial"/>
              </w:rPr>
              <w:t>.</w:t>
            </w:r>
            <w:r>
              <w:rPr>
                <w:rStyle w:val="tgc"/>
                <w:rFonts w:cs="Arial"/>
              </w:rPr>
              <w:t xml:space="preserve"> May include issues such as sleep deprivation, fire hazard, or any personal well-being.</w:t>
            </w:r>
          </w:p>
        </w:tc>
      </w:tr>
      <w:tr w:rsidR="009937C7" w:rsidRPr="00F47E6D" w14:paraId="25CABB3F"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21339B2D" w14:textId="77777777" w:rsidR="009937C7" w:rsidRPr="00F47E6D" w:rsidRDefault="009937C7" w:rsidP="006C78FB">
            <w:pPr>
              <w:rPr>
                <w:rFonts w:cs="Arial"/>
                <w:lang w:val="en"/>
              </w:rPr>
            </w:pPr>
            <w:r w:rsidRPr="00F47E6D">
              <w:rPr>
                <w:rFonts w:cs="Arial"/>
              </w:rPr>
              <w:t>Shadow flicker</w:t>
            </w:r>
          </w:p>
        </w:tc>
        <w:tc>
          <w:tcPr>
            <w:tcW w:w="7626" w:type="dxa"/>
          </w:tcPr>
          <w:p w14:paraId="53D4CD09" w14:textId="77777777" w:rsidR="009937C7" w:rsidRPr="00F47E6D" w:rsidRDefault="009937C7" w:rsidP="006C78FB">
            <w:pPr>
              <w:rPr>
                <w:rStyle w:val="tgc"/>
                <w:rFonts w:cs="Arial"/>
              </w:rPr>
            </w:pPr>
            <w:r w:rsidRPr="00F47E6D">
              <w:rPr>
                <w:rFonts w:cs="Arial"/>
              </w:rPr>
              <w:t>The shadow cast by the sun over the rotating blades of a wind turbine that results in a rotating shadow affecting neighbouring properties</w:t>
            </w:r>
            <w:r>
              <w:rPr>
                <w:rFonts w:cs="Arial"/>
              </w:rPr>
              <w:t>.</w:t>
            </w:r>
          </w:p>
        </w:tc>
      </w:tr>
      <w:tr w:rsidR="009937C7" w:rsidRPr="00F47E6D" w14:paraId="2EE3C12F"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6D7E25B8" w14:textId="77777777" w:rsidR="009937C7" w:rsidRPr="00F47E6D" w:rsidRDefault="009937C7" w:rsidP="006C78FB">
            <w:pPr>
              <w:rPr>
                <w:rFonts w:cs="Arial"/>
                <w:lang w:val="en"/>
              </w:rPr>
            </w:pPr>
            <w:r w:rsidRPr="00F47E6D">
              <w:rPr>
                <w:rStyle w:val="tgc"/>
                <w:rFonts w:cs="Arial"/>
              </w:rPr>
              <w:t>Supportive Member</w:t>
            </w:r>
          </w:p>
        </w:tc>
        <w:tc>
          <w:tcPr>
            <w:tcW w:w="7626" w:type="dxa"/>
          </w:tcPr>
          <w:p w14:paraId="1B79E8C6" w14:textId="77777777" w:rsidR="009937C7" w:rsidRPr="00F47E6D" w:rsidRDefault="009937C7" w:rsidP="006C78FB">
            <w:pPr>
              <w:rPr>
                <w:rStyle w:val="tgc"/>
                <w:rFonts w:cs="Arial"/>
              </w:rPr>
            </w:pPr>
            <w:r>
              <w:t>A member of the community that is in favour of a proposed or operating wind farm, including persons who reside in a dwelling within proximity of a proposed or operating wind farm</w:t>
            </w:r>
          </w:p>
        </w:tc>
      </w:tr>
      <w:tr w:rsidR="009937C7" w:rsidRPr="00F47E6D" w14:paraId="64AC8675"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7276E5F6" w14:textId="77777777" w:rsidR="009937C7" w:rsidRPr="00F47E6D" w:rsidRDefault="009937C7" w:rsidP="006C78FB">
            <w:pPr>
              <w:rPr>
                <w:rFonts w:cs="Arial"/>
                <w:lang w:val="en"/>
              </w:rPr>
            </w:pPr>
            <w:r w:rsidRPr="00F47E6D">
              <w:rPr>
                <w:rStyle w:val="tgc"/>
                <w:rFonts w:cs="Arial"/>
              </w:rPr>
              <w:t>Terms of Reference</w:t>
            </w:r>
          </w:p>
        </w:tc>
        <w:tc>
          <w:tcPr>
            <w:tcW w:w="7626" w:type="dxa"/>
          </w:tcPr>
          <w:p w14:paraId="56610FEB" w14:textId="0635B84D" w:rsidR="009937C7" w:rsidRPr="00F47E6D" w:rsidRDefault="009937C7" w:rsidP="006C78FB">
            <w:pPr>
              <w:rPr>
                <w:rStyle w:val="tgc"/>
                <w:rFonts w:cs="Arial"/>
              </w:rPr>
            </w:pPr>
            <w:r>
              <w:rPr>
                <w:rStyle w:val="tgc"/>
                <w:rFonts w:cs="Arial"/>
              </w:rPr>
              <w:t xml:space="preserve">The specifications that outline the scope and limitations of the Office of the </w:t>
            </w:r>
            <w:r w:rsidR="002A1DE1">
              <w:rPr>
                <w:rStyle w:val="tgc"/>
                <w:rFonts w:cs="Arial"/>
              </w:rPr>
              <w:t xml:space="preserve">Australian Energy </w:t>
            </w:r>
            <w:r w:rsidR="00724275">
              <w:rPr>
                <w:rStyle w:val="tgc"/>
                <w:rFonts w:cs="Arial"/>
              </w:rPr>
              <w:t>Infrastructure</w:t>
            </w:r>
            <w:r>
              <w:rPr>
                <w:rStyle w:val="tgc"/>
                <w:rFonts w:cs="Arial"/>
              </w:rPr>
              <w:t xml:space="preserve"> Commissioner. See </w:t>
            </w:r>
            <w:r>
              <w:rPr>
                <w:rStyle w:val="tgc"/>
                <w:rFonts w:cs="Arial"/>
                <w:u w:val="single"/>
              </w:rPr>
              <w:t>Appendix </w:t>
            </w:r>
            <w:r w:rsidR="002A1DE1">
              <w:rPr>
                <w:rStyle w:val="tgc"/>
                <w:rFonts w:cs="Arial"/>
                <w:u w:val="single"/>
              </w:rPr>
              <w:t>B</w:t>
            </w:r>
            <w:r>
              <w:rPr>
                <w:rStyle w:val="tgc"/>
                <w:rFonts w:cs="Arial"/>
              </w:rPr>
              <w:t>.</w:t>
            </w:r>
          </w:p>
        </w:tc>
      </w:tr>
      <w:tr w:rsidR="009937C7" w:rsidRPr="00F47E6D" w14:paraId="784966BC"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49AF1969" w14:textId="77777777" w:rsidR="009937C7" w:rsidRPr="00F47E6D" w:rsidRDefault="009937C7" w:rsidP="006C78FB">
            <w:pPr>
              <w:rPr>
                <w:rFonts w:cs="Arial"/>
                <w:lang w:val="en"/>
              </w:rPr>
            </w:pPr>
            <w:r w:rsidRPr="00F47E6D">
              <w:rPr>
                <w:rStyle w:val="st1"/>
                <w:rFonts w:cs="Arial"/>
              </w:rPr>
              <w:t>Vibration</w:t>
            </w:r>
          </w:p>
        </w:tc>
        <w:tc>
          <w:tcPr>
            <w:tcW w:w="7626" w:type="dxa"/>
          </w:tcPr>
          <w:p w14:paraId="5D6EA1FE" w14:textId="77777777" w:rsidR="009937C7" w:rsidRPr="00F47E6D" w:rsidRDefault="009937C7" w:rsidP="006C78FB">
            <w:pPr>
              <w:rPr>
                <w:rStyle w:val="tgc"/>
                <w:rFonts w:cs="Arial"/>
              </w:rPr>
            </w:pPr>
            <w:r>
              <w:rPr>
                <w:rStyle w:val="tgc"/>
                <w:rFonts w:cs="Arial"/>
              </w:rPr>
              <w:t>The oscillatory motion of an object or parts of an object. One of its possible causes is infrasound from a wind turbine.</w:t>
            </w:r>
          </w:p>
        </w:tc>
      </w:tr>
      <w:tr w:rsidR="009937C7" w:rsidRPr="00F47E6D" w14:paraId="50973606" w14:textId="77777777" w:rsidTr="006C78FB">
        <w:trPr>
          <w:cnfStyle w:val="000000100000" w:firstRow="0" w:lastRow="0" w:firstColumn="0" w:lastColumn="0" w:oddVBand="0" w:evenVBand="0" w:oddHBand="1" w:evenHBand="0" w:firstRowFirstColumn="0" w:firstRowLastColumn="0" w:lastRowFirstColumn="0" w:lastRowLastColumn="0"/>
        </w:trPr>
        <w:tc>
          <w:tcPr>
            <w:tcW w:w="2830" w:type="dxa"/>
          </w:tcPr>
          <w:p w14:paraId="32F735DB" w14:textId="77777777" w:rsidR="009937C7" w:rsidRPr="00F47E6D" w:rsidRDefault="009937C7" w:rsidP="006C78FB">
            <w:pPr>
              <w:rPr>
                <w:rFonts w:cs="Arial"/>
              </w:rPr>
            </w:pPr>
            <w:r w:rsidRPr="00F47E6D">
              <w:rPr>
                <w:rStyle w:val="st1"/>
                <w:rFonts w:cs="Arial"/>
              </w:rPr>
              <w:t>Wind Farm Maintenance/Operations</w:t>
            </w:r>
          </w:p>
        </w:tc>
        <w:tc>
          <w:tcPr>
            <w:tcW w:w="7626" w:type="dxa"/>
          </w:tcPr>
          <w:p w14:paraId="50D9DA44" w14:textId="77777777" w:rsidR="009937C7" w:rsidRPr="00F47E6D" w:rsidRDefault="009937C7" w:rsidP="006C78FB">
            <w:pPr>
              <w:rPr>
                <w:rStyle w:val="tgc"/>
                <w:rFonts w:cs="Arial"/>
              </w:rPr>
            </w:pPr>
            <w:r>
              <w:rPr>
                <w:rStyle w:val="tgc"/>
                <w:rFonts w:cs="Arial"/>
              </w:rPr>
              <w:t xml:space="preserve">Related to the ongoing process of ensuring the upkeep of the wind farm turbines for the life of the project. </w:t>
            </w:r>
          </w:p>
        </w:tc>
      </w:tr>
      <w:tr w:rsidR="009937C7" w:rsidRPr="00F47E6D" w14:paraId="5C0FC0AC" w14:textId="77777777" w:rsidTr="006C78FB">
        <w:trPr>
          <w:cnfStyle w:val="000000010000" w:firstRow="0" w:lastRow="0" w:firstColumn="0" w:lastColumn="0" w:oddVBand="0" w:evenVBand="0" w:oddHBand="0" w:evenHBand="1" w:firstRowFirstColumn="0" w:firstRowLastColumn="0" w:lastRowFirstColumn="0" w:lastRowLastColumn="0"/>
        </w:trPr>
        <w:tc>
          <w:tcPr>
            <w:tcW w:w="2830" w:type="dxa"/>
          </w:tcPr>
          <w:p w14:paraId="54005D6B" w14:textId="77777777" w:rsidR="009937C7" w:rsidRPr="00F47E6D" w:rsidRDefault="009937C7" w:rsidP="006C78FB">
            <w:pPr>
              <w:rPr>
                <w:rFonts w:cs="Arial"/>
                <w:lang w:val="en"/>
              </w:rPr>
            </w:pPr>
            <w:r w:rsidRPr="00F47E6D">
              <w:rPr>
                <w:rFonts w:cs="Arial"/>
              </w:rPr>
              <w:t>Wind Turbine</w:t>
            </w:r>
          </w:p>
        </w:tc>
        <w:tc>
          <w:tcPr>
            <w:tcW w:w="7626" w:type="dxa"/>
          </w:tcPr>
          <w:p w14:paraId="2D0CB886" w14:textId="77777777" w:rsidR="009937C7" w:rsidRPr="00F47E6D" w:rsidRDefault="009937C7" w:rsidP="006C78FB">
            <w:pPr>
              <w:rPr>
                <w:rStyle w:val="tgc"/>
                <w:rFonts w:cs="Arial"/>
              </w:rPr>
            </w:pPr>
            <w:r w:rsidRPr="00F47E6D">
              <w:rPr>
                <w:rStyle w:val="st1"/>
                <w:rFonts w:cs="Arial"/>
              </w:rPr>
              <w:t>Device with at least one moving part called a rotor assembly, which is a shaft or drum with blades attached, which is used to convert the wind</w:t>
            </w:r>
            <w:r>
              <w:rPr>
                <w:rStyle w:val="st1"/>
                <w:rFonts w:cs="Arial"/>
              </w:rPr>
              <w:t>’</w:t>
            </w:r>
            <w:r w:rsidRPr="00F47E6D">
              <w:rPr>
                <w:rStyle w:val="st1"/>
                <w:rFonts w:cs="Arial"/>
              </w:rPr>
              <w:t>s kinetic energy into electrical power</w:t>
            </w:r>
            <w:r>
              <w:rPr>
                <w:rStyle w:val="st1"/>
                <w:rFonts w:cs="Arial"/>
              </w:rPr>
              <w:t>.</w:t>
            </w:r>
          </w:p>
        </w:tc>
      </w:tr>
    </w:tbl>
    <w:p w14:paraId="635F7813" w14:textId="77777777" w:rsidR="009937C7" w:rsidRDefault="009937C7" w:rsidP="009937C7"/>
    <w:p w14:paraId="780EFDE9" w14:textId="77777777" w:rsidR="009937C7" w:rsidRDefault="009937C7" w:rsidP="00CE4A08"/>
    <w:p w14:paraId="52D289DF" w14:textId="77777777" w:rsidR="002A1DE1" w:rsidRDefault="002A1DE1" w:rsidP="00CE4A08"/>
    <w:p w14:paraId="07AFCEAB" w14:textId="77777777" w:rsidR="002A1DE1" w:rsidRDefault="002A1DE1" w:rsidP="00CE4A08"/>
    <w:p w14:paraId="07B1F9AD" w14:textId="77777777" w:rsidR="002A1DE1" w:rsidRPr="00CE4A08" w:rsidRDefault="002A1DE1" w:rsidP="00CE4A08"/>
    <w:sectPr w:rsidR="002A1DE1" w:rsidRPr="00CE4A08" w:rsidSect="00597E3B">
      <w:headerReference w:type="even" r:id="rId82"/>
      <w:headerReference w:type="default" r:id="rId83"/>
      <w:footerReference w:type="even" r:id="rId84"/>
      <w:footerReference w:type="default" r:id="rId85"/>
      <w:headerReference w:type="first" r:id="rId86"/>
      <w:footerReference w:type="first" r:id="rId87"/>
      <w:type w:val="evenPage"/>
      <w:pgSz w:w="11906" w:h="16838" w:code="9"/>
      <w:pgMar w:top="720" w:right="720" w:bottom="720" w:left="720"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9B07" w14:textId="77777777" w:rsidR="00BB7512" w:rsidRDefault="00BB7512" w:rsidP="005874E7">
      <w:pPr>
        <w:spacing w:after="0" w:line="240" w:lineRule="auto"/>
      </w:pPr>
      <w:r>
        <w:separator/>
      </w:r>
    </w:p>
  </w:endnote>
  <w:endnote w:type="continuationSeparator" w:id="0">
    <w:p w14:paraId="06720690" w14:textId="77777777" w:rsidR="00BB7512" w:rsidRDefault="00BB7512" w:rsidP="005874E7">
      <w:pPr>
        <w:spacing w:after="0" w:line="240" w:lineRule="auto"/>
      </w:pPr>
      <w:r>
        <w:continuationSeparator/>
      </w:r>
    </w:p>
  </w:endnote>
  <w:endnote w:type="continuationNotice" w:id="1">
    <w:p w14:paraId="43742B32" w14:textId="77777777" w:rsidR="00BB7512" w:rsidRDefault="00BB7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473111"/>
      <w:docPartObj>
        <w:docPartGallery w:val="Page Numbers (Bottom of Page)"/>
        <w:docPartUnique/>
      </w:docPartObj>
    </w:sdtPr>
    <w:sdtEndPr>
      <w:rPr>
        <w:noProof/>
      </w:rPr>
    </w:sdtEndPr>
    <w:sdtContent>
      <w:p w14:paraId="42CABC43" w14:textId="35356DD7" w:rsidR="00D55D79" w:rsidRPr="00BE2881" w:rsidRDefault="00BE2881" w:rsidP="00BE2881">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Pr>
            <w:rFonts w:ascii="Calibri Light" w:hAnsi="Calibri Light"/>
            <w:sz w:val="20"/>
            <w:szCs w:val="20"/>
          </w:rPr>
          <w:t>4</w:t>
        </w:r>
        <w:r w:rsidRPr="005257B7">
          <w:rPr>
            <w:rFonts w:ascii="Calibri Light" w:hAnsi="Calibri Light"/>
            <w:noProof/>
            <w:sz w:val="20"/>
            <w:szCs w:val="20"/>
          </w:rPr>
          <w:fldChar w:fldCharType="end"/>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2022 Annual Report</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328590"/>
      <w:docPartObj>
        <w:docPartGallery w:val="Page Numbers (Bottom of Page)"/>
        <w:docPartUnique/>
      </w:docPartObj>
    </w:sdtPr>
    <w:sdtEndPr>
      <w:rPr>
        <w:noProof/>
      </w:rPr>
    </w:sdtEndPr>
    <w:sdtContent>
      <w:p w14:paraId="4B5DFF87" w14:textId="51D809D0" w:rsidR="005A0D06" w:rsidRPr="006F2640" w:rsidRDefault="006F2640" w:rsidP="006F2640">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Pr>
            <w:rFonts w:ascii="Calibri Light" w:hAnsi="Calibri Light"/>
            <w:sz w:val="20"/>
            <w:szCs w:val="20"/>
          </w:rPr>
          <w:t>28</w:t>
        </w:r>
        <w:r w:rsidRPr="005257B7">
          <w:rPr>
            <w:rFonts w:ascii="Calibri Light" w:hAnsi="Calibri Light"/>
            <w:noProof/>
            <w:sz w:val="20"/>
            <w:szCs w:val="20"/>
          </w:rPr>
          <w:fldChar w:fldCharType="end"/>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2022 Annual Report</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6104" w14:textId="2ADAB388" w:rsidR="00597E3B" w:rsidRPr="00597E3B" w:rsidRDefault="00597E3B" w:rsidP="00597E3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064813"/>
      <w:docPartObj>
        <w:docPartGallery w:val="Page Numbers (Bottom of Page)"/>
        <w:docPartUnique/>
      </w:docPartObj>
    </w:sdtPr>
    <w:sdtEndPr>
      <w:rPr>
        <w:noProof/>
      </w:rPr>
    </w:sdtEndPr>
    <w:sdtContent>
      <w:p w14:paraId="5F0F5BD0" w14:textId="308A5258" w:rsidR="002B7244" w:rsidRPr="006F2640" w:rsidRDefault="002B7244" w:rsidP="002B7244">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Page 96</w:t>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2022 Annual Report</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5880" w14:textId="1D965229" w:rsidR="00597E3B" w:rsidRPr="00CC78BA" w:rsidRDefault="00597E3B" w:rsidP="00CC78BA">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Australian Energy Infrastructure Commissioner: 2022 Annual Report </w:t>
    </w:r>
    <w:r>
      <w:rPr>
        <w:rFonts w:ascii="Calibri Light" w:hAnsi="Calibri Light"/>
        <w:sz w:val="20"/>
        <w:szCs w:val="20"/>
      </w:rPr>
      <w:tab/>
      <w:t xml:space="preserve">            Page 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6152" w14:textId="77777777" w:rsidR="005A0D06" w:rsidRPr="0096116D" w:rsidRDefault="005A0D06" w:rsidP="00C90C7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03E6" w14:textId="77777777" w:rsidR="005A0D06" w:rsidRPr="006048D4" w:rsidRDefault="004C4253" w:rsidP="00C90C75">
    <w:pPr>
      <w:pStyle w:val="Footer"/>
      <w:jc w:val="center"/>
      <w:rPr>
        <w:rFonts w:ascii="Calibri" w:hAnsi="Calibri"/>
      </w:rPr>
    </w:pPr>
    <w:r>
      <w:rPr>
        <w:rFonts w:ascii="Calibri" w:hAnsi="Calibri"/>
        <w:sz w:val="20"/>
      </w:rPr>
      <w:pict w14:anchorId="146C23F1">
        <v:rect id="_x0000_i1026" style="width:481.9pt;height:1pt" o:hralign="center" o:hrstd="t" o:hrnoshade="t" o:hr="t" fillcolor="black [3213]" stroked="f"/>
      </w:pict>
    </w:r>
  </w:p>
  <w:p w14:paraId="3EFC3D63" w14:textId="77777777" w:rsidR="005A0D06" w:rsidRPr="006048D4" w:rsidRDefault="005A0D06" w:rsidP="00C90C75">
    <w:pPr>
      <w:pStyle w:val="Footer"/>
      <w:jc w:val="center"/>
      <w:rPr>
        <w:rFonts w:ascii="Calibri" w:hAnsi="Calibri"/>
      </w:rPr>
    </w:pPr>
    <w:r w:rsidRPr="006048D4">
      <w:rPr>
        <w:rFonts w:ascii="Calibri" w:hAnsi="Calibri"/>
      </w:rPr>
      <w:t>PO Box 24434, Melbourne VIC 3001</w:t>
    </w:r>
    <w:r w:rsidRPr="006048D4">
      <w:rPr>
        <w:rFonts w:ascii="Calibri" w:hAnsi="Calibri"/>
      </w:rPr>
      <w:br/>
      <w:t xml:space="preserve">1800 656 395 </w:t>
    </w:r>
    <w:r w:rsidRPr="006048D4">
      <w:rPr>
        <w:rFonts w:ascii="Calibri" w:hAnsi="Calibri"/>
      </w:rPr>
      <w:br/>
      <w:t>www.</w:t>
    </w:r>
    <w:r>
      <w:rPr>
        <w:rFonts w:ascii="Calibri" w:hAnsi="Calibri"/>
      </w:rPr>
      <w:t>aeic</w:t>
    </w:r>
    <w:r w:rsidRPr="006048D4">
      <w:rPr>
        <w:rFonts w:ascii="Calibri" w:hAnsi="Calibri"/>
      </w:rPr>
      <w:t>.gov.au</w:t>
    </w:r>
  </w:p>
  <w:p w14:paraId="6DCBC698" w14:textId="77777777" w:rsidR="005A0D06" w:rsidRPr="0096116D" w:rsidRDefault="005A0D06" w:rsidP="00C90C7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0436" w14:textId="3C325291" w:rsidR="005A0D06" w:rsidRPr="00CC78BA" w:rsidRDefault="00CC78BA" w:rsidP="00CC78BA">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Australian Energy Infrastructure Commissioner: 2022 Annual Report </w:t>
    </w:r>
    <w:r>
      <w:rPr>
        <w:rFonts w:ascii="Calibri Light" w:hAnsi="Calibri Light"/>
        <w:sz w:val="20"/>
        <w:szCs w:val="20"/>
      </w:rPr>
      <w:tab/>
      <w:t xml:space="preserve">            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Pr>
        <w:rFonts w:ascii="Calibri Light" w:hAnsi="Calibri Light"/>
        <w:sz w:val="20"/>
        <w:szCs w:val="20"/>
      </w:rPr>
      <w:t>1</w:t>
    </w:r>
    <w:r w:rsidRPr="005257B7">
      <w:rPr>
        <w:rFonts w:ascii="Calibri Light" w:hAnsi="Calibri Light"/>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357902"/>
      <w:docPartObj>
        <w:docPartGallery w:val="Page Numbers (Bottom of Page)"/>
        <w:docPartUnique/>
      </w:docPartObj>
    </w:sdtPr>
    <w:sdtEndPr>
      <w:rPr>
        <w:noProof/>
      </w:rPr>
    </w:sdtEndPr>
    <w:sdtContent>
      <w:p w14:paraId="042EC7B7" w14:textId="580F6A00" w:rsidR="005A0D06" w:rsidRPr="000F2F29" w:rsidRDefault="005A0D06" w:rsidP="000F2F29">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sidR="004F10B3">
          <w:rPr>
            <w:rFonts w:ascii="Calibri Light" w:hAnsi="Calibri Light"/>
            <w:noProof/>
            <w:sz w:val="20"/>
            <w:szCs w:val="20"/>
          </w:rPr>
          <w:t>4</w:t>
        </w:r>
        <w:r w:rsidRPr="005257B7">
          <w:rPr>
            <w:rFonts w:ascii="Calibri Light" w:hAnsi="Calibri Light"/>
            <w:noProof/>
            <w:sz w:val="20"/>
            <w:szCs w:val="20"/>
          </w:rPr>
          <w:fldChar w:fldCharType="end"/>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w:t>
        </w:r>
        <w:r w:rsidR="003365AB">
          <w:rPr>
            <w:rFonts w:ascii="Calibri Light" w:hAnsi="Calibri Light"/>
            <w:sz w:val="20"/>
            <w:szCs w:val="20"/>
          </w:rPr>
          <w:t>2</w:t>
        </w:r>
        <w:r>
          <w:rPr>
            <w:rFonts w:ascii="Calibri Light" w:hAnsi="Calibri Light"/>
            <w:sz w:val="20"/>
            <w:szCs w:val="20"/>
          </w:rPr>
          <w:t xml:space="preserve"> Annual Report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99AE" w14:textId="10CDA80F" w:rsidR="005A0D06" w:rsidRPr="005257B7" w:rsidRDefault="005A0D06" w:rsidP="00C90C75">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Australian Energy Infrastructure Commissioner: 202</w:t>
    </w:r>
    <w:r w:rsidR="003365AB">
      <w:rPr>
        <w:rFonts w:ascii="Calibri Light" w:hAnsi="Calibri Light"/>
        <w:sz w:val="20"/>
        <w:szCs w:val="20"/>
      </w:rPr>
      <w:t>2</w:t>
    </w:r>
    <w:r>
      <w:rPr>
        <w:rFonts w:ascii="Calibri Light" w:hAnsi="Calibri Light"/>
        <w:sz w:val="20"/>
        <w:szCs w:val="20"/>
      </w:rPr>
      <w:t xml:space="preserve"> Annual Report</w:t>
    </w:r>
    <w:r>
      <w:rPr>
        <w:rFonts w:ascii="Calibri Light" w:hAnsi="Calibri Light"/>
        <w:sz w:val="20"/>
        <w:szCs w:val="20"/>
      </w:rPr>
      <w:tab/>
      <w:t xml:space="preserve">            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sidR="004F10B3">
      <w:rPr>
        <w:rFonts w:ascii="Calibri Light" w:hAnsi="Calibri Light"/>
        <w:noProof/>
        <w:sz w:val="20"/>
        <w:szCs w:val="20"/>
      </w:rPr>
      <w:t>5</w:t>
    </w:r>
    <w:r w:rsidRPr="005257B7">
      <w:rPr>
        <w:rFonts w:ascii="Calibri Light" w:hAnsi="Calibri Light"/>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7694"/>
      <w:docPartObj>
        <w:docPartGallery w:val="Page Numbers (Bottom of Page)"/>
        <w:docPartUnique/>
      </w:docPartObj>
    </w:sdtPr>
    <w:sdtEndPr>
      <w:rPr>
        <w:noProof/>
      </w:rPr>
    </w:sdtEndPr>
    <w:sdtContent>
      <w:p w14:paraId="2E725F3C" w14:textId="4BCBE093" w:rsidR="005A0D06" w:rsidRPr="000F2F29" w:rsidRDefault="005A0D06" w:rsidP="000F2F29">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sidR="004F10B3">
          <w:rPr>
            <w:rFonts w:ascii="Calibri Light" w:hAnsi="Calibri Light"/>
            <w:noProof/>
            <w:sz w:val="20"/>
            <w:szCs w:val="20"/>
          </w:rPr>
          <w:t>6</w:t>
        </w:r>
        <w:r w:rsidRPr="005257B7">
          <w:rPr>
            <w:rFonts w:ascii="Calibri Light" w:hAnsi="Calibri Light"/>
            <w:noProof/>
            <w:sz w:val="20"/>
            <w:szCs w:val="20"/>
          </w:rPr>
          <w:fldChar w:fldCharType="end"/>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w:t>
        </w:r>
        <w:r w:rsidR="003365AB">
          <w:rPr>
            <w:rFonts w:ascii="Calibri Light" w:hAnsi="Calibri Light"/>
            <w:sz w:val="20"/>
            <w:szCs w:val="20"/>
          </w:rPr>
          <w:t>2</w:t>
        </w:r>
        <w:r>
          <w:rPr>
            <w:rFonts w:ascii="Calibri Light" w:hAnsi="Calibri Light"/>
            <w:sz w:val="20"/>
            <w:szCs w:val="20"/>
          </w:rPr>
          <w:t xml:space="preserve"> Annual Report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664950"/>
      <w:docPartObj>
        <w:docPartGallery w:val="Page Numbers (Bottom of Page)"/>
        <w:docPartUnique/>
      </w:docPartObj>
    </w:sdtPr>
    <w:sdtEndPr>
      <w:rPr>
        <w:noProof/>
      </w:rPr>
    </w:sdtEndPr>
    <w:sdtContent>
      <w:p w14:paraId="2EF74AD1" w14:textId="6A991EFC" w:rsidR="005A0D06" w:rsidRPr="000F2F29" w:rsidRDefault="005A0D06" w:rsidP="000F2F29">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 xml:space="preserve">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sidR="004F10B3">
          <w:rPr>
            <w:rFonts w:ascii="Calibri Light" w:hAnsi="Calibri Light"/>
            <w:noProof/>
            <w:sz w:val="20"/>
            <w:szCs w:val="20"/>
          </w:rPr>
          <w:t>16</w:t>
        </w:r>
        <w:r w:rsidRPr="005257B7">
          <w:rPr>
            <w:rFonts w:ascii="Calibri Light" w:hAnsi="Calibri Light"/>
            <w:noProof/>
            <w:sz w:val="20"/>
            <w:szCs w:val="20"/>
          </w:rPr>
          <w:fldChar w:fldCharType="end"/>
        </w:r>
        <w:r w:rsidRPr="005C613A">
          <w:rPr>
            <w:rFonts w:ascii="Calibri Light" w:hAnsi="Calibri Light"/>
            <w:sz w:val="20"/>
            <w:szCs w:val="20"/>
          </w:rPr>
          <w:t xml:space="preserve"> </w:t>
        </w:r>
        <w:r>
          <w:rPr>
            <w:rFonts w:ascii="Calibri Light" w:hAnsi="Calibri Light"/>
            <w:sz w:val="20"/>
            <w:szCs w:val="20"/>
          </w:rPr>
          <w:tab/>
        </w:r>
        <w:r>
          <w:rPr>
            <w:rFonts w:ascii="Calibri Light" w:hAnsi="Calibri Light"/>
            <w:sz w:val="20"/>
            <w:szCs w:val="20"/>
          </w:rPr>
          <w:tab/>
          <w:t>Australian Energy Infrastructure Commissioner: 202</w:t>
        </w:r>
        <w:r w:rsidR="003365AB">
          <w:rPr>
            <w:rFonts w:ascii="Calibri Light" w:hAnsi="Calibri Light"/>
            <w:sz w:val="20"/>
            <w:szCs w:val="20"/>
          </w:rPr>
          <w:t>2</w:t>
        </w:r>
        <w:r>
          <w:rPr>
            <w:rFonts w:ascii="Calibri Light" w:hAnsi="Calibri Light"/>
            <w:sz w:val="20"/>
            <w:szCs w:val="20"/>
          </w:rPr>
          <w:t xml:space="preserve"> Annual Report</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C71" w14:textId="5C99FAA8" w:rsidR="005A0D06" w:rsidRPr="0046728F" w:rsidRDefault="0046728F" w:rsidP="0046728F">
    <w:pPr>
      <w:pStyle w:val="Footer"/>
      <w:pBdr>
        <w:top w:val="single" w:sz="2" w:space="1" w:color="595959" w:themeColor="text1" w:themeTint="A6"/>
        <w:bottom w:val="single" w:sz="2" w:space="1" w:color="595959" w:themeColor="text1" w:themeTint="A6"/>
      </w:pBdr>
      <w:tabs>
        <w:tab w:val="clear" w:pos="9026"/>
        <w:tab w:val="right" w:pos="10490"/>
      </w:tabs>
      <w:spacing w:before="240"/>
      <w:rPr>
        <w:rFonts w:ascii="Calibri Light" w:hAnsi="Calibri Light"/>
        <w:sz w:val="20"/>
        <w:szCs w:val="20"/>
      </w:rPr>
    </w:pPr>
    <w:r>
      <w:rPr>
        <w:rFonts w:ascii="Calibri Light" w:hAnsi="Calibri Light"/>
        <w:sz w:val="20"/>
        <w:szCs w:val="20"/>
      </w:rPr>
      <w:t>Australian Energy Infrastructure Commissioner: 2022 Annual Report</w:t>
    </w:r>
    <w:r>
      <w:rPr>
        <w:rFonts w:ascii="Calibri Light" w:hAnsi="Calibri Light"/>
        <w:sz w:val="20"/>
        <w:szCs w:val="20"/>
      </w:rPr>
      <w:tab/>
      <w:t xml:space="preserve">            Page </w:t>
    </w:r>
    <w:r w:rsidRPr="005257B7">
      <w:rPr>
        <w:rFonts w:ascii="Calibri Light" w:hAnsi="Calibri Light"/>
        <w:sz w:val="20"/>
        <w:szCs w:val="20"/>
      </w:rPr>
      <w:fldChar w:fldCharType="begin"/>
    </w:r>
    <w:r w:rsidRPr="005257B7">
      <w:rPr>
        <w:rFonts w:ascii="Calibri Light" w:hAnsi="Calibri Light"/>
        <w:sz w:val="20"/>
        <w:szCs w:val="20"/>
      </w:rPr>
      <w:instrText xml:space="preserve"> PAGE   \* MERGEFORMAT </w:instrText>
    </w:r>
    <w:r w:rsidRPr="005257B7">
      <w:rPr>
        <w:rFonts w:ascii="Calibri Light" w:hAnsi="Calibri Light"/>
        <w:sz w:val="20"/>
        <w:szCs w:val="20"/>
      </w:rPr>
      <w:fldChar w:fldCharType="separate"/>
    </w:r>
    <w:r>
      <w:rPr>
        <w:rFonts w:ascii="Calibri Light" w:hAnsi="Calibri Light"/>
        <w:sz w:val="20"/>
        <w:szCs w:val="20"/>
      </w:rPr>
      <w:t>5</w:t>
    </w:r>
    <w:r w:rsidRPr="005257B7">
      <w:rPr>
        <w:rFonts w:ascii="Calibri Light" w:hAnsi="Calibri Light"/>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FFB7" w14:textId="77777777" w:rsidR="00BB7512" w:rsidRDefault="00BB7512" w:rsidP="005874E7">
      <w:pPr>
        <w:spacing w:after="0" w:line="240" w:lineRule="auto"/>
      </w:pPr>
      <w:r>
        <w:separator/>
      </w:r>
    </w:p>
  </w:footnote>
  <w:footnote w:type="continuationSeparator" w:id="0">
    <w:p w14:paraId="0851F588" w14:textId="77777777" w:rsidR="00BB7512" w:rsidRDefault="00BB7512" w:rsidP="005874E7">
      <w:pPr>
        <w:spacing w:after="0" w:line="240" w:lineRule="auto"/>
      </w:pPr>
      <w:r>
        <w:continuationSeparator/>
      </w:r>
    </w:p>
  </w:footnote>
  <w:footnote w:type="continuationNotice" w:id="1">
    <w:p w14:paraId="339EF9B3" w14:textId="77777777" w:rsidR="00BB7512" w:rsidRDefault="00BB7512">
      <w:pPr>
        <w:spacing w:after="0" w:line="240" w:lineRule="auto"/>
      </w:pPr>
    </w:p>
  </w:footnote>
  <w:footnote w:id="2">
    <w:p w14:paraId="5C6CC550" w14:textId="77777777" w:rsidR="00C66F7A" w:rsidRDefault="00C66F7A" w:rsidP="00C66F7A">
      <w:pPr>
        <w:pStyle w:val="FootnoteText"/>
      </w:pPr>
      <w:r>
        <w:rPr>
          <w:rStyle w:val="FootnoteReference"/>
        </w:rPr>
        <w:t>*</w:t>
      </w:r>
      <w:r>
        <w:t xml:space="preserve"> or background noise plus 5 </w:t>
      </w:r>
      <w:r w:rsidRPr="007672A1">
        <w:t>dB(A), whichever is the greater amount</w:t>
      </w:r>
      <w:r>
        <w:t>. Measurements of A-weighted sound pressure level are generally taken on the basis of LA90, 10-min.</w:t>
      </w:r>
    </w:p>
  </w:footnote>
  <w:footnote w:id="3">
    <w:p w14:paraId="53DA7B9B" w14:textId="77777777" w:rsidR="00C66F7A" w:rsidRPr="0068632D" w:rsidRDefault="00C66F7A" w:rsidP="00C66F7A">
      <w:pPr>
        <w:pStyle w:val="FootnoteText"/>
        <w:rPr>
          <w:sz w:val="2"/>
          <w:szCs w:val="2"/>
        </w:rPr>
      </w:pPr>
    </w:p>
  </w:footnote>
  <w:footnote w:id="4">
    <w:p w14:paraId="7FC4D893" w14:textId="77777777" w:rsidR="00C66F7A" w:rsidRPr="0068632D" w:rsidRDefault="00C66F7A" w:rsidP="00C66F7A">
      <w:pPr>
        <w:pStyle w:val="FootnoteText"/>
        <w:rPr>
          <w:sz w:val="2"/>
          <w:szCs w:val="2"/>
        </w:rPr>
      </w:pPr>
    </w:p>
  </w:footnote>
  <w:footnote w:id="5">
    <w:p w14:paraId="3DB5757D" w14:textId="77777777" w:rsidR="00C66F7A" w:rsidRPr="0068632D" w:rsidRDefault="00C66F7A" w:rsidP="00C66F7A">
      <w:pPr>
        <w:pStyle w:val="FootnoteText"/>
        <w:rPr>
          <w:sz w:val="2"/>
          <w:szCs w:val="2"/>
        </w:rPr>
      </w:pPr>
    </w:p>
  </w:footnote>
  <w:footnote w:id="6">
    <w:p w14:paraId="75692070" w14:textId="77777777" w:rsidR="00C66F7A" w:rsidRPr="0068632D" w:rsidRDefault="00C66F7A" w:rsidP="00C66F7A">
      <w:pPr>
        <w:pStyle w:val="FootnoteText"/>
        <w:rPr>
          <w:sz w:val="2"/>
          <w:szCs w:val="2"/>
        </w:rPr>
      </w:pPr>
    </w:p>
  </w:footnote>
  <w:footnote w:id="7">
    <w:p w14:paraId="5D0E5555" w14:textId="77777777" w:rsidR="00C66F7A" w:rsidRPr="0068632D" w:rsidRDefault="00C66F7A" w:rsidP="00C66F7A">
      <w:pPr>
        <w:pStyle w:val="FootnoteText"/>
        <w:rPr>
          <w:sz w:val="2"/>
          <w:szCs w:val="2"/>
        </w:rPr>
      </w:pPr>
    </w:p>
  </w:footnote>
  <w:footnote w:id="8">
    <w:p w14:paraId="09EC8668" w14:textId="6378E033" w:rsidR="00C66F7A" w:rsidRDefault="00C66F7A" w:rsidP="00C66F7A">
      <w:pPr>
        <w:pStyle w:val="FootnoteText"/>
      </w:pPr>
      <w:r>
        <w:rPr>
          <w:rStyle w:val="FootnoteReference"/>
        </w:rPr>
        <w:t>*</w:t>
      </w:r>
      <w:r>
        <w:t>LA</w:t>
      </w:r>
      <w:r w:rsidR="00FD7306">
        <w:t xml:space="preserve"> </w:t>
      </w:r>
      <w:r>
        <w:t>90, 10-min; or background noise plus 5</w:t>
      </w:r>
      <w:r w:rsidR="00FD7306">
        <w:t xml:space="preserve"> </w:t>
      </w:r>
      <w:r w:rsidRPr="007672A1">
        <w:t>dB(A), whichever is the greater 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AC4F" w14:textId="77777777" w:rsidR="005A0D06" w:rsidRPr="006048D4" w:rsidRDefault="005A0D06" w:rsidP="00C90C75">
    <w:pPr>
      <w:pStyle w:val="Header"/>
      <w:rPr>
        <w:rFonts w:ascii="Calibri" w:hAnsi="Calibri"/>
        <w:sz w:val="20"/>
      </w:rPr>
    </w:pPr>
  </w:p>
  <w:p w14:paraId="683947E3" w14:textId="77777777" w:rsidR="005A0D06" w:rsidRPr="0096116D" w:rsidRDefault="005A0D06" w:rsidP="00C90C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62DE" w14:textId="77777777" w:rsidR="005A0D06" w:rsidRDefault="005A0D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94AC" w14:textId="0A4D40FC" w:rsidR="005A0D06" w:rsidRPr="004B44A3" w:rsidRDefault="005A0D06" w:rsidP="004B44A3">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OVERVIEW</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336C" w14:textId="77777777" w:rsidR="005A0D06" w:rsidRPr="006F365A" w:rsidRDefault="005A0D06"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OVERVIEW</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B8D8" w14:textId="77777777" w:rsidR="005A0D06" w:rsidRPr="006F365A" w:rsidRDefault="005A0D06"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OVERVIEW</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6A14" w14:textId="77777777" w:rsidR="005A0D06" w:rsidRPr="004B44A3" w:rsidRDefault="005A0D06" w:rsidP="004B44A3">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COMPLAINT DATA</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89E9" w14:textId="496E5420" w:rsidR="005A0D06" w:rsidRPr="006F365A" w:rsidRDefault="005A0D06"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COMPLAINT DATA</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2126" w14:textId="77777777" w:rsidR="005A0D06" w:rsidRPr="006F365A" w:rsidRDefault="005A0D06"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WEBSITE DEVELOPMENT STAGES</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0752" w14:textId="1D4025F9" w:rsidR="005A0D06" w:rsidRPr="00082F5D" w:rsidRDefault="00032D57" w:rsidP="00082F5D">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032D57">
      <w:rPr>
        <w:rFonts w:ascii="Calibri Light" w:hAnsi="Calibri Light"/>
        <w:b/>
        <w:color w:val="595959" w:themeColor="text1" w:themeTint="A6"/>
        <w:sz w:val="20"/>
        <w:szCs w:val="20"/>
        <w:lang w:val="en-US"/>
      </w:rPr>
      <w:t>STAKEHOLDER ENGAGEMENT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DCB6" w14:textId="72A8E40D" w:rsidR="005A0D06" w:rsidRPr="006F365A" w:rsidRDefault="00032D57"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032D57">
      <w:rPr>
        <w:rFonts w:ascii="Calibri Light" w:hAnsi="Calibri Light"/>
        <w:b/>
        <w:color w:val="595959" w:themeColor="text1" w:themeTint="A6"/>
        <w:sz w:val="20"/>
        <w:szCs w:val="20"/>
        <w:lang w:val="en-US"/>
      </w:rPr>
      <w:t>STAKEHOLDER ENGAGEMENT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CD0E" w14:textId="77777777" w:rsidR="005A0D06" w:rsidRDefault="005A0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02C9" w14:textId="77777777" w:rsidR="005A0D06" w:rsidRDefault="005A0D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168B" w14:textId="2D9AD65F" w:rsidR="00032D57" w:rsidRPr="00082F5D" w:rsidRDefault="00032D57" w:rsidP="00082F5D">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032D57">
      <w:rPr>
        <w:rFonts w:ascii="Calibri Light" w:hAnsi="Calibri Light"/>
        <w:b/>
        <w:color w:val="595959" w:themeColor="text1" w:themeTint="A6"/>
        <w:sz w:val="20"/>
        <w:szCs w:val="20"/>
        <w:lang w:val="en-US"/>
      </w:rPr>
      <w:t>LARGE-SCALE TRANSMISSION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A167" w14:textId="32188B68" w:rsidR="00032D57" w:rsidRPr="006F365A" w:rsidRDefault="00032D57"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032D57">
      <w:rPr>
        <w:rFonts w:ascii="Calibri Light" w:hAnsi="Calibri Light"/>
        <w:b/>
        <w:color w:val="595959" w:themeColor="text1" w:themeTint="A6"/>
        <w:sz w:val="20"/>
        <w:szCs w:val="20"/>
        <w:lang w:val="en-US"/>
      </w:rPr>
      <w:t>LARGE-SCALE TRANSMISSION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79C4" w14:textId="7061FC5A" w:rsidR="005A0D06" w:rsidRPr="006F365A" w:rsidRDefault="00E2772E" w:rsidP="00DD77A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E2772E">
      <w:rPr>
        <w:rFonts w:ascii="Calibri Light" w:hAnsi="Calibri Light"/>
        <w:b/>
        <w:color w:val="595959" w:themeColor="text1" w:themeTint="A6"/>
        <w:sz w:val="20"/>
        <w:szCs w:val="20"/>
        <w:lang w:val="en-US"/>
      </w:rPr>
      <w:t>APPENDIX A: UPDATED OBSERVATIONS AND RECOMMENDATIONS – 2022</w:t>
    </w:r>
    <w:r w:rsidR="005A0D06">
      <w:rPr>
        <w:rFonts w:ascii="Calibri Light" w:hAnsi="Calibri Light"/>
        <w:b/>
        <w:color w:val="595959" w:themeColor="text1" w:themeTint="A6"/>
        <w:sz w:val="20"/>
        <w:szCs w:val="20"/>
        <w:lang w:val="en-US"/>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D59D" w14:textId="360E30D8" w:rsidR="005A0D06" w:rsidRPr="000C775F" w:rsidRDefault="00E2772E" w:rsidP="000C775F">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sidRPr="00E2772E">
      <w:rPr>
        <w:rFonts w:ascii="Calibri Light" w:hAnsi="Calibri Light"/>
        <w:b/>
        <w:color w:val="595959" w:themeColor="text1" w:themeTint="A6"/>
        <w:sz w:val="20"/>
        <w:szCs w:val="20"/>
        <w:lang w:val="en-US"/>
      </w:rPr>
      <w:t>APPENDIX A: UPDATED OBSERVATIONS AND RECOMMENDATIONS – 2022</w:t>
    </w:r>
    <w:r w:rsidR="005A0D06">
      <w:rPr>
        <w:rFonts w:ascii="Calibri Light" w:hAnsi="Calibri Light"/>
        <w:b/>
        <w:color w:val="595959" w:themeColor="text1" w:themeTint="A6"/>
        <w:sz w:val="20"/>
        <w:szCs w:val="20"/>
        <w:lang w:val="en-US"/>
      </w:rPr>
      <w:tab/>
    </w:r>
    <w:r w:rsidR="005A0D06">
      <w:rPr>
        <w:rFonts w:ascii="Calibri Light" w:hAnsi="Calibri Light"/>
        <w:b/>
        <w:color w:val="595959" w:themeColor="text1" w:themeTint="A6"/>
        <w:sz w:val="20"/>
        <w:szCs w:val="20"/>
        <w:lang w:val="en-US"/>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45CA" w14:textId="77777777" w:rsidR="005A0D06" w:rsidRDefault="005A0D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1429" w14:textId="2BFA5119" w:rsidR="00722AE4" w:rsidRPr="006F365A" w:rsidRDefault="00722AE4" w:rsidP="00DD77A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APPENDIX B: TERMS OF REFERENCE 2021-25</w:t>
    </w:r>
    <w:r>
      <w:rPr>
        <w:rFonts w:ascii="Calibri Light" w:hAnsi="Calibri Light"/>
        <w:b/>
        <w:color w:val="595959" w:themeColor="text1" w:themeTint="A6"/>
        <w:sz w:val="20"/>
        <w:szCs w:val="20"/>
        <w:lang w:val="en-US"/>
      </w:rPr>
      <w:tab/>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4510" w14:textId="363515EC" w:rsidR="00722AE4" w:rsidRPr="006F365A" w:rsidRDefault="00722AE4" w:rsidP="00DD77A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APPENDIX C: SUBMISSION TO AEMO’S DRAFT 2022 INTREGRATED SYSTEM PLAN</w:t>
    </w:r>
    <w:r>
      <w:rPr>
        <w:rFonts w:ascii="Calibri Light" w:hAnsi="Calibri Light"/>
        <w:b/>
        <w:color w:val="595959" w:themeColor="text1" w:themeTint="A6"/>
        <w:sz w:val="20"/>
        <w:szCs w:val="20"/>
        <w:lang w:val="en-US"/>
      </w:rPr>
      <w:tab/>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2CD5" w14:textId="2DB68421" w:rsidR="00722AE4" w:rsidRPr="000C775F" w:rsidRDefault="00722AE4" w:rsidP="000C775F">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APPENDIX C: SUBMISSION TO AEMO’S DRAFT 2022 INTREGRATED SYSTEM PLAN</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FDD5" w14:textId="6811A21D" w:rsidR="009937C7" w:rsidRPr="002A1DE1" w:rsidRDefault="009937C7" w:rsidP="002A1DE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F254" w14:textId="2A12340C" w:rsidR="004F2BC2" w:rsidRPr="000C775F" w:rsidRDefault="004F2BC2" w:rsidP="000C775F">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APPENDIX D: GLOSSARY</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DA52" w14:textId="77777777" w:rsidR="005A0D06" w:rsidRDefault="005A0D0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C393" w14:textId="6A130E3F" w:rsidR="00032D57" w:rsidRPr="00032D57" w:rsidRDefault="00032D57" w:rsidP="00032D57">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APPENDIX D: GLOSSARY</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6BAE" w14:textId="77777777" w:rsidR="005A0D06" w:rsidRDefault="005A0D06" w:rsidP="00C90C75">
    <w:pPr>
      <w:spacing w:after="0"/>
      <w:jc w:val="center"/>
      <w:rPr>
        <w:rFonts w:ascii="Calibri" w:hAnsi="Calibri"/>
        <w:b/>
        <w:sz w:val="28"/>
        <w:szCs w:val="28"/>
      </w:rPr>
    </w:pPr>
    <w:r>
      <w:rPr>
        <w:rFonts w:ascii="Times New Roman" w:hAnsi="Times New Roman"/>
        <w:b/>
        <w:noProof/>
        <w:sz w:val="36"/>
        <w:szCs w:val="36"/>
        <w:lang w:eastAsia="en-AU"/>
      </w:rPr>
      <w:drawing>
        <wp:inline distT="0" distB="0" distL="0" distR="0" wp14:anchorId="728AE88C" wp14:editId="5608295C">
          <wp:extent cx="857250" cy="723900"/>
          <wp:effectExtent l="19050" t="0" r="0" b="0"/>
          <wp:docPr id="20" name="Picture 20" descr="Crest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 good!"/>
                  <pic:cNvPicPr>
                    <a:picLocks noChangeAspect="1" noChangeArrowheads="1"/>
                  </pic:cNvPicPr>
                </pic:nvPicPr>
                <pic:blipFill>
                  <a:blip r:embed="rId1"/>
                  <a:srcRect l="6934" t="9615" r="4741"/>
                  <a:stretch>
                    <a:fillRect/>
                  </a:stretch>
                </pic:blipFill>
                <pic:spPr bwMode="auto">
                  <a:xfrm>
                    <a:off x="0" y="0"/>
                    <a:ext cx="857250" cy="723900"/>
                  </a:xfrm>
                  <a:prstGeom prst="rect">
                    <a:avLst/>
                  </a:prstGeom>
                  <a:noFill/>
                  <a:ln w="9525">
                    <a:noFill/>
                    <a:miter lim="800000"/>
                    <a:headEnd/>
                    <a:tailEnd/>
                  </a:ln>
                </pic:spPr>
              </pic:pic>
            </a:graphicData>
          </a:graphic>
        </wp:inline>
      </w:drawing>
    </w:r>
  </w:p>
  <w:p w14:paraId="3708CC93" w14:textId="77777777" w:rsidR="005A0D06" w:rsidRPr="006048D4" w:rsidRDefault="005A0D06" w:rsidP="00C90C75">
    <w:pPr>
      <w:spacing w:after="0"/>
      <w:jc w:val="center"/>
      <w:rPr>
        <w:rFonts w:ascii="Calibri" w:hAnsi="Calibri"/>
        <w:b/>
        <w:sz w:val="28"/>
        <w:szCs w:val="28"/>
      </w:rPr>
    </w:pPr>
    <w:r w:rsidRPr="006048D4">
      <w:rPr>
        <w:rFonts w:ascii="Calibri" w:hAnsi="Calibri"/>
        <w:b/>
        <w:sz w:val="28"/>
        <w:szCs w:val="28"/>
      </w:rPr>
      <w:t xml:space="preserve">Office of the </w:t>
    </w:r>
    <w:r>
      <w:rPr>
        <w:rFonts w:ascii="Calibri" w:hAnsi="Calibri"/>
        <w:b/>
        <w:sz w:val="28"/>
        <w:szCs w:val="28"/>
      </w:rPr>
      <w:t>Australian Energy Infrastructure Commissioner</w:t>
    </w:r>
  </w:p>
  <w:p w14:paraId="679CFF7D" w14:textId="77777777" w:rsidR="005A0D06" w:rsidRPr="006048D4" w:rsidRDefault="004C4253" w:rsidP="00C90C75">
    <w:pPr>
      <w:pStyle w:val="Header"/>
      <w:rPr>
        <w:rFonts w:ascii="Calibri" w:hAnsi="Calibri"/>
        <w:sz w:val="20"/>
      </w:rPr>
    </w:pPr>
    <w:r>
      <w:rPr>
        <w:rFonts w:ascii="Calibri" w:hAnsi="Calibri"/>
        <w:sz w:val="20"/>
      </w:rPr>
      <w:pict w14:anchorId="12279AD9">
        <v:rect id="_x0000_i1025" style="width:481.9pt;height:1pt" o:hralign="center" o:hrstd="t" o:hrnoshade="t" o:hr="t" fillcolor="black [3213]" stroked="f"/>
      </w:pict>
    </w:r>
  </w:p>
  <w:p w14:paraId="0D024152" w14:textId="77777777" w:rsidR="005A0D06" w:rsidRPr="0096116D" w:rsidRDefault="005A0D06" w:rsidP="00C90C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A3EA" w14:textId="77777777" w:rsidR="005A0D06" w:rsidRDefault="005A0D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5AC0" w14:textId="77777777" w:rsidR="005A0D06" w:rsidRDefault="005A0D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E17B" w14:textId="77777777" w:rsidR="005A0D06" w:rsidRPr="004B44A3" w:rsidRDefault="005A0D06" w:rsidP="004B44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818D" w14:textId="30876A62" w:rsidR="005A0D06" w:rsidRPr="004B44A3" w:rsidRDefault="005A0D06" w:rsidP="004B44A3">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COMMISSIONER’S REVIEW</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42A" w14:textId="5D4C4CC0" w:rsidR="005A0D06" w:rsidRPr="00C1107C" w:rsidRDefault="005A0D06" w:rsidP="00C90C75">
    <w:pPr>
      <w:pStyle w:val="Header"/>
      <w:pBdr>
        <w:top w:val="single" w:sz="2" w:space="1" w:color="595959" w:themeColor="text1" w:themeTint="A6"/>
        <w:bottom w:val="single" w:sz="2" w:space="1" w:color="595959" w:themeColor="text1" w:themeTint="A6"/>
      </w:pBdr>
      <w:spacing w:after="240"/>
      <w:rPr>
        <w:rFonts w:ascii="Calibri Light" w:hAnsi="Calibri Light"/>
        <w:b/>
        <w:color w:val="595959" w:themeColor="text1" w:themeTint="A6"/>
        <w:sz w:val="20"/>
        <w:szCs w:val="20"/>
        <w:lang w:val="en-US"/>
      </w:rPr>
    </w:pPr>
    <w:r>
      <w:rPr>
        <w:rFonts w:ascii="Calibri Light" w:hAnsi="Calibri Light"/>
        <w:b/>
        <w:color w:val="595959" w:themeColor="text1" w:themeTint="A6"/>
        <w:sz w:val="20"/>
        <w:szCs w:val="20"/>
        <w:lang w:val="en-US"/>
      </w:rPr>
      <w:t>COMMISSIONER’S REVIEW</w:t>
    </w:r>
    <w:r>
      <w:rPr>
        <w:rFonts w:ascii="Calibri Light" w:hAnsi="Calibri Light"/>
        <w:b/>
        <w:color w:val="595959" w:themeColor="text1" w:themeTint="A6"/>
        <w:sz w:val="20"/>
        <w:szCs w:val="20"/>
        <w:lang w:val="en-US"/>
      </w:rPr>
      <w:tab/>
    </w:r>
    <w:r>
      <w:rPr>
        <w:rFonts w:ascii="Calibri Light" w:hAnsi="Calibri Light"/>
        <w:b/>
        <w:color w:val="595959" w:themeColor="text1" w:themeTint="A6"/>
        <w:sz w:val="20"/>
        <w:szCs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866718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ED447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5C87C0A"/>
    <w:multiLevelType w:val="hybridMultilevel"/>
    <w:tmpl w:val="BD70F2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A85F1D"/>
    <w:multiLevelType w:val="hybridMultilevel"/>
    <w:tmpl w:val="6EF88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05A7A"/>
    <w:multiLevelType w:val="hybridMultilevel"/>
    <w:tmpl w:val="8E1A2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5D6F62"/>
    <w:multiLevelType w:val="hybridMultilevel"/>
    <w:tmpl w:val="C51A2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A212A"/>
    <w:multiLevelType w:val="hybridMultilevel"/>
    <w:tmpl w:val="58924E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DD4DA1"/>
    <w:multiLevelType w:val="hybridMultilevel"/>
    <w:tmpl w:val="CD20D93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BB938B3"/>
    <w:multiLevelType w:val="hybridMultilevel"/>
    <w:tmpl w:val="F41C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3A4CB5"/>
    <w:multiLevelType w:val="hybridMultilevel"/>
    <w:tmpl w:val="1E309F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94D33BC"/>
    <w:multiLevelType w:val="hybridMultilevel"/>
    <w:tmpl w:val="007293B2"/>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2" w15:restartNumberingAfterBreak="0">
    <w:nsid w:val="2BD41C6D"/>
    <w:multiLevelType w:val="hybridMultilevel"/>
    <w:tmpl w:val="6EE2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0734E"/>
    <w:multiLevelType w:val="hybridMultilevel"/>
    <w:tmpl w:val="1CF06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8B337A"/>
    <w:multiLevelType w:val="hybridMultilevel"/>
    <w:tmpl w:val="06DA3BB0"/>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470316"/>
    <w:multiLevelType w:val="hybridMultilevel"/>
    <w:tmpl w:val="A954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186802"/>
    <w:multiLevelType w:val="hybridMultilevel"/>
    <w:tmpl w:val="58205FB6"/>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A340AF8"/>
    <w:multiLevelType w:val="hybridMultilevel"/>
    <w:tmpl w:val="0A6E9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B55AA4"/>
    <w:multiLevelType w:val="hybridMultilevel"/>
    <w:tmpl w:val="435A20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D675E43"/>
    <w:multiLevelType w:val="hybridMultilevel"/>
    <w:tmpl w:val="11F402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18D0F17"/>
    <w:multiLevelType w:val="hybridMultilevel"/>
    <w:tmpl w:val="8110C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047CE7"/>
    <w:multiLevelType w:val="multilevel"/>
    <w:tmpl w:val="209ED6A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100C08"/>
    <w:multiLevelType w:val="hybridMultilevel"/>
    <w:tmpl w:val="856860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A3C2D"/>
    <w:multiLevelType w:val="hybridMultilevel"/>
    <w:tmpl w:val="B95C82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713378D"/>
    <w:multiLevelType w:val="hybridMultilevel"/>
    <w:tmpl w:val="1E1ECE54"/>
    <w:lvl w:ilvl="0" w:tplc="1F08E77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522597"/>
    <w:multiLevelType w:val="hybridMultilevel"/>
    <w:tmpl w:val="774E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B80D98"/>
    <w:multiLevelType w:val="hybridMultilevel"/>
    <w:tmpl w:val="63E4B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C25DF4"/>
    <w:multiLevelType w:val="hybridMultilevel"/>
    <w:tmpl w:val="50926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56429"/>
    <w:multiLevelType w:val="multilevel"/>
    <w:tmpl w:val="E898CC72"/>
    <w:numStyleLink w:val="KeyPoints"/>
  </w:abstractNum>
  <w:abstractNum w:abstractNumId="31" w15:restartNumberingAfterBreak="0">
    <w:nsid w:val="67852629"/>
    <w:multiLevelType w:val="hybridMultilevel"/>
    <w:tmpl w:val="C660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84F68"/>
    <w:multiLevelType w:val="hybridMultilevel"/>
    <w:tmpl w:val="42E25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E91DB9"/>
    <w:multiLevelType w:val="hybridMultilevel"/>
    <w:tmpl w:val="FB1878EE"/>
    <w:lvl w:ilvl="0" w:tplc="0C090001">
      <w:start w:val="1"/>
      <w:numFmt w:val="bullet"/>
      <w:lvlText w:val=""/>
      <w:lvlJc w:val="left"/>
      <w:pPr>
        <w:ind w:left="1944" w:hanging="360"/>
      </w:pPr>
      <w:rPr>
        <w:rFonts w:ascii="Symbol" w:hAnsi="Symbol" w:hint="default"/>
      </w:rPr>
    </w:lvl>
    <w:lvl w:ilvl="1" w:tplc="0C090003" w:tentative="1">
      <w:start w:val="1"/>
      <w:numFmt w:val="bullet"/>
      <w:lvlText w:val="o"/>
      <w:lvlJc w:val="left"/>
      <w:pPr>
        <w:ind w:left="2664" w:hanging="360"/>
      </w:pPr>
      <w:rPr>
        <w:rFonts w:ascii="Courier New" w:hAnsi="Courier New" w:cs="Courier New" w:hint="default"/>
      </w:rPr>
    </w:lvl>
    <w:lvl w:ilvl="2" w:tplc="0C090005" w:tentative="1">
      <w:start w:val="1"/>
      <w:numFmt w:val="bullet"/>
      <w:lvlText w:val=""/>
      <w:lvlJc w:val="left"/>
      <w:pPr>
        <w:ind w:left="3384" w:hanging="360"/>
      </w:pPr>
      <w:rPr>
        <w:rFonts w:ascii="Wingdings" w:hAnsi="Wingdings" w:hint="default"/>
      </w:rPr>
    </w:lvl>
    <w:lvl w:ilvl="3" w:tplc="0C090001" w:tentative="1">
      <w:start w:val="1"/>
      <w:numFmt w:val="bullet"/>
      <w:lvlText w:val=""/>
      <w:lvlJc w:val="left"/>
      <w:pPr>
        <w:ind w:left="4104" w:hanging="360"/>
      </w:pPr>
      <w:rPr>
        <w:rFonts w:ascii="Symbol" w:hAnsi="Symbol" w:hint="default"/>
      </w:rPr>
    </w:lvl>
    <w:lvl w:ilvl="4" w:tplc="0C090003" w:tentative="1">
      <w:start w:val="1"/>
      <w:numFmt w:val="bullet"/>
      <w:lvlText w:val="o"/>
      <w:lvlJc w:val="left"/>
      <w:pPr>
        <w:ind w:left="4824" w:hanging="360"/>
      </w:pPr>
      <w:rPr>
        <w:rFonts w:ascii="Courier New" w:hAnsi="Courier New" w:cs="Courier New" w:hint="default"/>
      </w:rPr>
    </w:lvl>
    <w:lvl w:ilvl="5" w:tplc="0C090005" w:tentative="1">
      <w:start w:val="1"/>
      <w:numFmt w:val="bullet"/>
      <w:lvlText w:val=""/>
      <w:lvlJc w:val="left"/>
      <w:pPr>
        <w:ind w:left="5544" w:hanging="360"/>
      </w:pPr>
      <w:rPr>
        <w:rFonts w:ascii="Wingdings" w:hAnsi="Wingdings" w:hint="default"/>
      </w:rPr>
    </w:lvl>
    <w:lvl w:ilvl="6" w:tplc="0C090001" w:tentative="1">
      <w:start w:val="1"/>
      <w:numFmt w:val="bullet"/>
      <w:lvlText w:val=""/>
      <w:lvlJc w:val="left"/>
      <w:pPr>
        <w:ind w:left="6264" w:hanging="360"/>
      </w:pPr>
      <w:rPr>
        <w:rFonts w:ascii="Symbol" w:hAnsi="Symbol" w:hint="default"/>
      </w:rPr>
    </w:lvl>
    <w:lvl w:ilvl="7" w:tplc="0C090003" w:tentative="1">
      <w:start w:val="1"/>
      <w:numFmt w:val="bullet"/>
      <w:lvlText w:val="o"/>
      <w:lvlJc w:val="left"/>
      <w:pPr>
        <w:ind w:left="6984" w:hanging="360"/>
      </w:pPr>
      <w:rPr>
        <w:rFonts w:ascii="Courier New" w:hAnsi="Courier New" w:cs="Courier New" w:hint="default"/>
      </w:rPr>
    </w:lvl>
    <w:lvl w:ilvl="8" w:tplc="0C090005" w:tentative="1">
      <w:start w:val="1"/>
      <w:numFmt w:val="bullet"/>
      <w:lvlText w:val=""/>
      <w:lvlJc w:val="left"/>
      <w:pPr>
        <w:ind w:left="7704" w:hanging="360"/>
      </w:pPr>
      <w:rPr>
        <w:rFonts w:ascii="Wingdings" w:hAnsi="Wingdings" w:hint="default"/>
      </w:rPr>
    </w:lvl>
  </w:abstractNum>
  <w:abstractNum w:abstractNumId="34" w15:restartNumberingAfterBreak="0">
    <w:nsid w:val="6C5C5676"/>
    <w:multiLevelType w:val="hybridMultilevel"/>
    <w:tmpl w:val="8B6AEC2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D2329EA"/>
    <w:multiLevelType w:val="hybridMultilevel"/>
    <w:tmpl w:val="743C9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DFE6AD5"/>
    <w:multiLevelType w:val="hybridMultilevel"/>
    <w:tmpl w:val="BF20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206F69"/>
    <w:multiLevelType w:val="singleLevel"/>
    <w:tmpl w:val="0C090003"/>
    <w:lvl w:ilvl="0">
      <w:start w:val="1"/>
      <w:numFmt w:val="bullet"/>
      <w:pStyle w:val="ListBullet4"/>
      <w:lvlText w:val="o"/>
      <w:lvlJc w:val="left"/>
      <w:pPr>
        <w:ind w:left="369" w:hanging="369"/>
      </w:pPr>
      <w:rPr>
        <w:rFonts w:ascii="Courier New" w:hAnsi="Courier New" w:cs="Courier New" w:hint="default"/>
      </w:rPr>
    </w:lvl>
  </w:abstractNum>
  <w:abstractNum w:abstractNumId="38" w15:restartNumberingAfterBreak="0">
    <w:nsid w:val="73735A86"/>
    <w:multiLevelType w:val="hybridMultilevel"/>
    <w:tmpl w:val="38B0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A83D87"/>
    <w:multiLevelType w:val="hybridMultilevel"/>
    <w:tmpl w:val="5B4626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96A2821"/>
    <w:multiLevelType w:val="hybridMultilevel"/>
    <w:tmpl w:val="D2E66F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AC0519"/>
    <w:multiLevelType w:val="hybridMultilevel"/>
    <w:tmpl w:val="73EA4DEE"/>
    <w:lvl w:ilvl="0" w:tplc="0C090001">
      <w:start w:val="1"/>
      <w:numFmt w:val="bullet"/>
      <w:lvlText w:val=""/>
      <w:lvlJc w:val="left"/>
      <w:pPr>
        <w:ind w:left="2120" w:hanging="360"/>
      </w:pPr>
      <w:rPr>
        <w:rFonts w:ascii="Symbol" w:hAnsi="Symbol" w:hint="default"/>
      </w:rPr>
    </w:lvl>
    <w:lvl w:ilvl="1" w:tplc="0C090003" w:tentative="1">
      <w:start w:val="1"/>
      <w:numFmt w:val="bullet"/>
      <w:lvlText w:val="o"/>
      <w:lvlJc w:val="left"/>
      <w:pPr>
        <w:ind w:left="2840" w:hanging="360"/>
      </w:pPr>
      <w:rPr>
        <w:rFonts w:ascii="Courier New" w:hAnsi="Courier New" w:cs="Courier New" w:hint="default"/>
      </w:rPr>
    </w:lvl>
    <w:lvl w:ilvl="2" w:tplc="0C090005" w:tentative="1">
      <w:start w:val="1"/>
      <w:numFmt w:val="bullet"/>
      <w:lvlText w:val=""/>
      <w:lvlJc w:val="left"/>
      <w:pPr>
        <w:ind w:left="3560" w:hanging="360"/>
      </w:pPr>
      <w:rPr>
        <w:rFonts w:ascii="Wingdings" w:hAnsi="Wingdings" w:hint="default"/>
      </w:rPr>
    </w:lvl>
    <w:lvl w:ilvl="3" w:tplc="0C090001" w:tentative="1">
      <w:start w:val="1"/>
      <w:numFmt w:val="bullet"/>
      <w:lvlText w:val=""/>
      <w:lvlJc w:val="left"/>
      <w:pPr>
        <w:ind w:left="4280" w:hanging="360"/>
      </w:pPr>
      <w:rPr>
        <w:rFonts w:ascii="Symbol" w:hAnsi="Symbol" w:hint="default"/>
      </w:rPr>
    </w:lvl>
    <w:lvl w:ilvl="4" w:tplc="0C090003" w:tentative="1">
      <w:start w:val="1"/>
      <w:numFmt w:val="bullet"/>
      <w:lvlText w:val="o"/>
      <w:lvlJc w:val="left"/>
      <w:pPr>
        <w:ind w:left="5000" w:hanging="360"/>
      </w:pPr>
      <w:rPr>
        <w:rFonts w:ascii="Courier New" w:hAnsi="Courier New" w:cs="Courier New" w:hint="default"/>
      </w:rPr>
    </w:lvl>
    <w:lvl w:ilvl="5" w:tplc="0C090005" w:tentative="1">
      <w:start w:val="1"/>
      <w:numFmt w:val="bullet"/>
      <w:lvlText w:val=""/>
      <w:lvlJc w:val="left"/>
      <w:pPr>
        <w:ind w:left="5720" w:hanging="360"/>
      </w:pPr>
      <w:rPr>
        <w:rFonts w:ascii="Wingdings" w:hAnsi="Wingdings" w:hint="default"/>
      </w:rPr>
    </w:lvl>
    <w:lvl w:ilvl="6" w:tplc="0C090001" w:tentative="1">
      <w:start w:val="1"/>
      <w:numFmt w:val="bullet"/>
      <w:lvlText w:val=""/>
      <w:lvlJc w:val="left"/>
      <w:pPr>
        <w:ind w:left="6440" w:hanging="360"/>
      </w:pPr>
      <w:rPr>
        <w:rFonts w:ascii="Symbol" w:hAnsi="Symbol" w:hint="default"/>
      </w:rPr>
    </w:lvl>
    <w:lvl w:ilvl="7" w:tplc="0C090003" w:tentative="1">
      <w:start w:val="1"/>
      <w:numFmt w:val="bullet"/>
      <w:lvlText w:val="o"/>
      <w:lvlJc w:val="left"/>
      <w:pPr>
        <w:ind w:left="7160" w:hanging="360"/>
      </w:pPr>
      <w:rPr>
        <w:rFonts w:ascii="Courier New" w:hAnsi="Courier New" w:cs="Courier New" w:hint="default"/>
      </w:rPr>
    </w:lvl>
    <w:lvl w:ilvl="8" w:tplc="0C090005" w:tentative="1">
      <w:start w:val="1"/>
      <w:numFmt w:val="bullet"/>
      <w:lvlText w:val=""/>
      <w:lvlJc w:val="left"/>
      <w:pPr>
        <w:ind w:left="7880" w:hanging="360"/>
      </w:pPr>
      <w:rPr>
        <w:rFonts w:ascii="Wingdings" w:hAnsi="Wingdings" w:hint="default"/>
      </w:rPr>
    </w:lvl>
  </w:abstractNum>
  <w:abstractNum w:abstractNumId="43" w15:restartNumberingAfterBreak="0">
    <w:nsid w:val="7D4B6A46"/>
    <w:multiLevelType w:val="multilevel"/>
    <w:tmpl w:val="B8DE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057BF"/>
    <w:multiLevelType w:val="hybridMultilevel"/>
    <w:tmpl w:val="FE64EA4C"/>
    <w:lvl w:ilvl="0" w:tplc="0C090001">
      <w:start w:val="1"/>
      <w:numFmt w:val="bullet"/>
      <w:lvlText w:val=""/>
      <w:lvlJc w:val="left"/>
      <w:pPr>
        <w:ind w:left="1296" w:hanging="360"/>
      </w:pPr>
      <w:rPr>
        <w:rFonts w:ascii="Symbol" w:hAnsi="Symbol" w:hint="default"/>
      </w:rPr>
    </w:lvl>
    <w:lvl w:ilvl="1" w:tplc="0C090003">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num w:numId="1" w16cid:durableId="1854539360">
    <w:abstractNumId w:val="40"/>
  </w:num>
  <w:num w:numId="2" w16cid:durableId="1608662469">
    <w:abstractNumId w:val="2"/>
  </w:num>
  <w:num w:numId="3" w16cid:durableId="1939099277">
    <w:abstractNumId w:val="16"/>
  </w:num>
  <w:num w:numId="4" w16cid:durableId="1429933667">
    <w:abstractNumId w:val="14"/>
  </w:num>
  <w:num w:numId="5" w16cid:durableId="476536571">
    <w:abstractNumId w:val="30"/>
    <w:lvlOverride w:ilvl="0">
      <w:lvl w:ilvl="0">
        <w:start w:val="1"/>
        <w:numFmt w:val="decimal"/>
        <w:pStyle w:val="ListNumber"/>
        <w:lvlText w:val="%1."/>
        <w:lvlJc w:val="left"/>
        <w:pPr>
          <w:ind w:left="369" w:hanging="369"/>
        </w:pPr>
        <w:rPr>
          <w:rFonts w:ascii="Calibri Light" w:hAnsi="Calibri Light" w:hint="default"/>
          <w:sz w:val="22"/>
        </w:rPr>
      </w:lvl>
    </w:lvlOverride>
  </w:num>
  <w:num w:numId="6" w16cid:durableId="1300769054">
    <w:abstractNumId w:val="37"/>
  </w:num>
  <w:num w:numId="7" w16cid:durableId="834221272">
    <w:abstractNumId w:val="5"/>
  </w:num>
  <w:num w:numId="8" w16cid:durableId="1409182978">
    <w:abstractNumId w:val="23"/>
  </w:num>
  <w:num w:numId="9" w16cid:durableId="700279035">
    <w:abstractNumId w:val="20"/>
  </w:num>
  <w:num w:numId="10" w16cid:durableId="1431315054">
    <w:abstractNumId w:val="25"/>
  </w:num>
  <w:num w:numId="11" w16cid:durableId="68693379">
    <w:abstractNumId w:val="33"/>
  </w:num>
  <w:num w:numId="12" w16cid:durableId="121384424">
    <w:abstractNumId w:val="21"/>
  </w:num>
  <w:num w:numId="13" w16cid:durableId="740952960">
    <w:abstractNumId w:val="8"/>
  </w:num>
  <w:num w:numId="14" w16cid:durableId="1599634368">
    <w:abstractNumId w:val="34"/>
  </w:num>
  <w:num w:numId="15" w16cid:durableId="1481531036">
    <w:abstractNumId w:val="1"/>
  </w:num>
  <w:num w:numId="16" w16cid:durableId="1714621481">
    <w:abstractNumId w:val="6"/>
  </w:num>
  <w:num w:numId="17" w16cid:durableId="1590887013">
    <w:abstractNumId w:val="39"/>
  </w:num>
  <w:num w:numId="18" w16cid:durableId="2127969065">
    <w:abstractNumId w:val="17"/>
  </w:num>
  <w:num w:numId="19" w16cid:durableId="1053964243">
    <w:abstractNumId w:val="28"/>
  </w:num>
  <w:num w:numId="20" w16cid:durableId="561404480">
    <w:abstractNumId w:val="13"/>
  </w:num>
  <w:num w:numId="21" w16cid:durableId="1757357567">
    <w:abstractNumId w:val="10"/>
  </w:num>
  <w:num w:numId="22" w16cid:durableId="644238955">
    <w:abstractNumId w:val="41"/>
  </w:num>
  <w:num w:numId="23" w16cid:durableId="471678422">
    <w:abstractNumId w:val="31"/>
  </w:num>
  <w:num w:numId="24" w16cid:durableId="2060323584">
    <w:abstractNumId w:val="12"/>
  </w:num>
  <w:num w:numId="25" w16cid:durableId="140467400">
    <w:abstractNumId w:val="3"/>
  </w:num>
  <w:num w:numId="26" w16cid:durableId="151458756">
    <w:abstractNumId w:val="11"/>
  </w:num>
  <w:num w:numId="27" w16cid:durableId="982270162">
    <w:abstractNumId w:val="24"/>
  </w:num>
  <w:num w:numId="28" w16cid:durableId="1061830016">
    <w:abstractNumId w:val="42"/>
  </w:num>
  <w:num w:numId="29" w16cid:durableId="1750076897">
    <w:abstractNumId w:val="36"/>
  </w:num>
  <w:num w:numId="30" w16cid:durableId="1599483288">
    <w:abstractNumId w:val="29"/>
  </w:num>
  <w:num w:numId="31" w16cid:durableId="1987011455">
    <w:abstractNumId w:val="4"/>
  </w:num>
  <w:num w:numId="32" w16cid:durableId="1775704393">
    <w:abstractNumId w:val="27"/>
  </w:num>
  <w:num w:numId="33" w16cid:durableId="232863279">
    <w:abstractNumId w:val="44"/>
  </w:num>
  <w:num w:numId="34" w16cid:durableId="768239712">
    <w:abstractNumId w:val="9"/>
  </w:num>
  <w:num w:numId="35" w16cid:durableId="1916862831">
    <w:abstractNumId w:val="26"/>
  </w:num>
  <w:num w:numId="36" w16cid:durableId="141897468">
    <w:abstractNumId w:val="32"/>
  </w:num>
  <w:num w:numId="37" w16cid:durableId="1132748254">
    <w:abstractNumId w:val="22"/>
  </w:num>
  <w:num w:numId="38" w16cid:durableId="776870137">
    <w:abstractNumId w:val="43"/>
  </w:num>
  <w:num w:numId="39" w16cid:durableId="1273709099">
    <w:abstractNumId w:val="7"/>
  </w:num>
  <w:num w:numId="40" w16cid:durableId="2136749289">
    <w:abstractNumId w:val="19"/>
  </w:num>
  <w:num w:numId="41" w16cid:durableId="1765229328">
    <w:abstractNumId w:val="38"/>
  </w:num>
  <w:num w:numId="42" w16cid:durableId="1251160354">
    <w:abstractNumId w:val="0"/>
  </w:num>
  <w:num w:numId="43" w16cid:durableId="1084038049">
    <w:abstractNumId w:val="15"/>
  </w:num>
  <w:num w:numId="44" w16cid:durableId="1130509962">
    <w:abstractNumId w:val="18"/>
  </w:num>
  <w:num w:numId="45" w16cid:durableId="1789425517">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4E7"/>
    <w:rsid w:val="000004F8"/>
    <w:rsid w:val="000008CA"/>
    <w:rsid w:val="0000125B"/>
    <w:rsid w:val="00001BFC"/>
    <w:rsid w:val="0000225B"/>
    <w:rsid w:val="00002404"/>
    <w:rsid w:val="00002BB9"/>
    <w:rsid w:val="00003F56"/>
    <w:rsid w:val="000041E8"/>
    <w:rsid w:val="00004C8D"/>
    <w:rsid w:val="000061DF"/>
    <w:rsid w:val="000073EC"/>
    <w:rsid w:val="0000770C"/>
    <w:rsid w:val="00007830"/>
    <w:rsid w:val="00007C66"/>
    <w:rsid w:val="00010428"/>
    <w:rsid w:val="00010811"/>
    <w:rsid w:val="00010DA7"/>
    <w:rsid w:val="00010DC6"/>
    <w:rsid w:val="00011191"/>
    <w:rsid w:val="00011946"/>
    <w:rsid w:val="000126FB"/>
    <w:rsid w:val="000128E6"/>
    <w:rsid w:val="00012A95"/>
    <w:rsid w:val="00012BD7"/>
    <w:rsid w:val="00012DEC"/>
    <w:rsid w:val="0001304D"/>
    <w:rsid w:val="0001336F"/>
    <w:rsid w:val="00013C79"/>
    <w:rsid w:val="00013CA8"/>
    <w:rsid w:val="00013D5D"/>
    <w:rsid w:val="00013DDE"/>
    <w:rsid w:val="00014694"/>
    <w:rsid w:val="000150E4"/>
    <w:rsid w:val="00015404"/>
    <w:rsid w:val="00015598"/>
    <w:rsid w:val="000159C6"/>
    <w:rsid w:val="00015D8A"/>
    <w:rsid w:val="000160E7"/>
    <w:rsid w:val="0001612D"/>
    <w:rsid w:val="00016231"/>
    <w:rsid w:val="00016645"/>
    <w:rsid w:val="0001670F"/>
    <w:rsid w:val="00017DD8"/>
    <w:rsid w:val="00020C41"/>
    <w:rsid w:val="00021100"/>
    <w:rsid w:val="00021833"/>
    <w:rsid w:val="00022194"/>
    <w:rsid w:val="00022423"/>
    <w:rsid w:val="00023606"/>
    <w:rsid w:val="00023727"/>
    <w:rsid w:val="000237A1"/>
    <w:rsid w:val="00024212"/>
    <w:rsid w:val="00024A28"/>
    <w:rsid w:val="00024A2E"/>
    <w:rsid w:val="00024BDF"/>
    <w:rsid w:val="00024CC5"/>
    <w:rsid w:val="00025F68"/>
    <w:rsid w:val="0002634C"/>
    <w:rsid w:val="00026DAE"/>
    <w:rsid w:val="000274D3"/>
    <w:rsid w:val="00027692"/>
    <w:rsid w:val="0002774F"/>
    <w:rsid w:val="000277FC"/>
    <w:rsid w:val="00027BA3"/>
    <w:rsid w:val="000308E5"/>
    <w:rsid w:val="00030A2F"/>
    <w:rsid w:val="000313AE"/>
    <w:rsid w:val="0003161D"/>
    <w:rsid w:val="0003174B"/>
    <w:rsid w:val="0003221A"/>
    <w:rsid w:val="0003276E"/>
    <w:rsid w:val="00032D57"/>
    <w:rsid w:val="0003315A"/>
    <w:rsid w:val="00033D1F"/>
    <w:rsid w:val="0003404C"/>
    <w:rsid w:val="00035843"/>
    <w:rsid w:val="00035BDA"/>
    <w:rsid w:val="000363BA"/>
    <w:rsid w:val="000363FE"/>
    <w:rsid w:val="00036731"/>
    <w:rsid w:val="000374EC"/>
    <w:rsid w:val="00037FB7"/>
    <w:rsid w:val="00040103"/>
    <w:rsid w:val="0004061C"/>
    <w:rsid w:val="0004068E"/>
    <w:rsid w:val="000406EE"/>
    <w:rsid w:val="00040858"/>
    <w:rsid w:val="00040930"/>
    <w:rsid w:val="00040B52"/>
    <w:rsid w:val="0004320C"/>
    <w:rsid w:val="0004329C"/>
    <w:rsid w:val="00044144"/>
    <w:rsid w:val="00044E29"/>
    <w:rsid w:val="0004538B"/>
    <w:rsid w:val="00045B31"/>
    <w:rsid w:val="00045C90"/>
    <w:rsid w:val="00046944"/>
    <w:rsid w:val="00046EF9"/>
    <w:rsid w:val="00047242"/>
    <w:rsid w:val="000477E2"/>
    <w:rsid w:val="00047A53"/>
    <w:rsid w:val="00047B1D"/>
    <w:rsid w:val="00050479"/>
    <w:rsid w:val="00051653"/>
    <w:rsid w:val="00052034"/>
    <w:rsid w:val="00052322"/>
    <w:rsid w:val="00052B0F"/>
    <w:rsid w:val="000535EA"/>
    <w:rsid w:val="000539E1"/>
    <w:rsid w:val="00053AB3"/>
    <w:rsid w:val="00054666"/>
    <w:rsid w:val="0005480D"/>
    <w:rsid w:val="000549BA"/>
    <w:rsid w:val="00054E43"/>
    <w:rsid w:val="000554E5"/>
    <w:rsid w:val="00055815"/>
    <w:rsid w:val="000561D0"/>
    <w:rsid w:val="00056876"/>
    <w:rsid w:val="00056BE4"/>
    <w:rsid w:val="0005733A"/>
    <w:rsid w:val="00057AF4"/>
    <w:rsid w:val="00057BBA"/>
    <w:rsid w:val="00057EE9"/>
    <w:rsid w:val="00057F15"/>
    <w:rsid w:val="00060094"/>
    <w:rsid w:val="000604EB"/>
    <w:rsid w:val="000604EF"/>
    <w:rsid w:val="000605D9"/>
    <w:rsid w:val="000608CB"/>
    <w:rsid w:val="00060E6E"/>
    <w:rsid w:val="000619A0"/>
    <w:rsid w:val="00061B07"/>
    <w:rsid w:val="00061D1D"/>
    <w:rsid w:val="00063C1C"/>
    <w:rsid w:val="00063D6A"/>
    <w:rsid w:val="000644ED"/>
    <w:rsid w:val="00065C1A"/>
    <w:rsid w:val="00065C26"/>
    <w:rsid w:val="0006622E"/>
    <w:rsid w:val="000669F3"/>
    <w:rsid w:val="00067355"/>
    <w:rsid w:val="0006744B"/>
    <w:rsid w:val="00067681"/>
    <w:rsid w:val="00067FDE"/>
    <w:rsid w:val="00070176"/>
    <w:rsid w:val="00070234"/>
    <w:rsid w:val="00070306"/>
    <w:rsid w:val="00070426"/>
    <w:rsid w:val="00070E1F"/>
    <w:rsid w:val="00070F51"/>
    <w:rsid w:val="00070FE7"/>
    <w:rsid w:val="000711DD"/>
    <w:rsid w:val="00071536"/>
    <w:rsid w:val="000718B5"/>
    <w:rsid w:val="00071AC0"/>
    <w:rsid w:val="00071F68"/>
    <w:rsid w:val="00072FA9"/>
    <w:rsid w:val="000730A3"/>
    <w:rsid w:val="000738E4"/>
    <w:rsid w:val="0007459C"/>
    <w:rsid w:val="00074E69"/>
    <w:rsid w:val="00074F44"/>
    <w:rsid w:val="00075990"/>
    <w:rsid w:val="00075A40"/>
    <w:rsid w:val="00076A95"/>
    <w:rsid w:val="00076F49"/>
    <w:rsid w:val="000774CA"/>
    <w:rsid w:val="0007752D"/>
    <w:rsid w:val="00077822"/>
    <w:rsid w:val="00077DA8"/>
    <w:rsid w:val="00080931"/>
    <w:rsid w:val="00080CEC"/>
    <w:rsid w:val="00080ECC"/>
    <w:rsid w:val="0008172B"/>
    <w:rsid w:val="00081E08"/>
    <w:rsid w:val="00082332"/>
    <w:rsid w:val="000825B6"/>
    <w:rsid w:val="00082D20"/>
    <w:rsid w:val="00082F5D"/>
    <w:rsid w:val="000832CB"/>
    <w:rsid w:val="00083AFE"/>
    <w:rsid w:val="00083E24"/>
    <w:rsid w:val="00083FC3"/>
    <w:rsid w:val="00084366"/>
    <w:rsid w:val="000844B6"/>
    <w:rsid w:val="000847FB"/>
    <w:rsid w:val="0008610A"/>
    <w:rsid w:val="000864C8"/>
    <w:rsid w:val="00086919"/>
    <w:rsid w:val="00086A5D"/>
    <w:rsid w:val="00086B76"/>
    <w:rsid w:val="00086D63"/>
    <w:rsid w:val="00086D8F"/>
    <w:rsid w:val="00087A2D"/>
    <w:rsid w:val="0009073C"/>
    <w:rsid w:val="00090870"/>
    <w:rsid w:val="00090EB1"/>
    <w:rsid w:val="000914E7"/>
    <w:rsid w:val="00091590"/>
    <w:rsid w:val="00091D95"/>
    <w:rsid w:val="0009224B"/>
    <w:rsid w:val="000925B2"/>
    <w:rsid w:val="00092D03"/>
    <w:rsid w:val="00092E0D"/>
    <w:rsid w:val="00093162"/>
    <w:rsid w:val="000933A0"/>
    <w:rsid w:val="00093AFB"/>
    <w:rsid w:val="000945B7"/>
    <w:rsid w:val="0009535D"/>
    <w:rsid w:val="000953ED"/>
    <w:rsid w:val="00095A00"/>
    <w:rsid w:val="00095CF2"/>
    <w:rsid w:val="00095E3A"/>
    <w:rsid w:val="00095E67"/>
    <w:rsid w:val="0009678D"/>
    <w:rsid w:val="00096A1A"/>
    <w:rsid w:val="000A0214"/>
    <w:rsid w:val="000A05A6"/>
    <w:rsid w:val="000A0A10"/>
    <w:rsid w:val="000A14BB"/>
    <w:rsid w:val="000A25E9"/>
    <w:rsid w:val="000A29E5"/>
    <w:rsid w:val="000A373B"/>
    <w:rsid w:val="000A4290"/>
    <w:rsid w:val="000A4556"/>
    <w:rsid w:val="000A4878"/>
    <w:rsid w:val="000A67DB"/>
    <w:rsid w:val="000A7230"/>
    <w:rsid w:val="000A7725"/>
    <w:rsid w:val="000B0675"/>
    <w:rsid w:val="000B06D6"/>
    <w:rsid w:val="000B16A2"/>
    <w:rsid w:val="000B185B"/>
    <w:rsid w:val="000B2354"/>
    <w:rsid w:val="000B34CB"/>
    <w:rsid w:val="000B3F8B"/>
    <w:rsid w:val="000B42CC"/>
    <w:rsid w:val="000B4EA7"/>
    <w:rsid w:val="000B592A"/>
    <w:rsid w:val="000B5FAF"/>
    <w:rsid w:val="000B7776"/>
    <w:rsid w:val="000B77BB"/>
    <w:rsid w:val="000C004D"/>
    <w:rsid w:val="000C11EC"/>
    <w:rsid w:val="000C1905"/>
    <w:rsid w:val="000C196D"/>
    <w:rsid w:val="000C1D10"/>
    <w:rsid w:val="000C2353"/>
    <w:rsid w:val="000C2922"/>
    <w:rsid w:val="000C2A42"/>
    <w:rsid w:val="000C3427"/>
    <w:rsid w:val="000C3729"/>
    <w:rsid w:val="000C3931"/>
    <w:rsid w:val="000C3E31"/>
    <w:rsid w:val="000C4AD1"/>
    <w:rsid w:val="000C4F83"/>
    <w:rsid w:val="000C5848"/>
    <w:rsid w:val="000C59BC"/>
    <w:rsid w:val="000C61D6"/>
    <w:rsid w:val="000C65CA"/>
    <w:rsid w:val="000C6FB1"/>
    <w:rsid w:val="000C775F"/>
    <w:rsid w:val="000C7906"/>
    <w:rsid w:val="000C7B41"/>
    <w:rsid w:val="000C7FA7"/>
    <w:rsid w:val="000D0598"/>
    <w:rsid w:val="000D07D9"/>
    <w:rsid w:val="000D08C6"/>
    <w:rsid w:val="000D154B"/>
    <w:rsid w:val="000D1913"/>
    <w:rsid w:val="000D1B67"/>
    <w:rsid w:val="000D1E5B"/>
    <w:rsid w:val="000D1EA9"/>
    <w:rsid w:val="000D39A3"/>
    <w:rsid w:val="000D3B4B"/>
    <w:rsid w:val="000D4299"/>
    <w:rsid w:val="000D435C"/>
    <w:rsid w:val="000D45B8"/>
    <w:rsid w:val="000D4B6D"/>
    <w:rsid w:val="000D55BA"/>
    <w:rsid w:val="000D6A82"/>
    <w:rsid w:val="000D6AB8"/>
    <w:rsid w:val="000D6DE5"/>
    <w:rsid w:val="000D6F4D"/>
    <w:rsid w:val="000D6F68"/>
    <w:rsid w:val="000D7163"/>
    <w:rsid w:val="000D7AD6"/>
    <w:rsid w:val="000E0300"/>
    <w:rsid w:val="000E0817"/>
    <w:rsid w:val="000E159B"/>
    <w:rsid w:val="000E16D4"/>
    <w:rsid w:val="000E1D28"/>
    <w:rsid w:val="000E2152"/>
    <w:rsid w:val="000E2BC3"/>
    <w:rsid w:val="000E2DE0"/>
    <w:rsid w:val="000E30CE"/>
    <w:rsid w:val="000E35E5"/>
    <w:rsid w:val="000E3E35"/>
    <w:rsid w:val="000E4263"/>
    <w:rsid w:val="000E4312"/>
    <w:rsid w:val="000E48AB"/>
    <w:rsid w:val="000E5203"/>
    <w:rsid w:val="000E5C06"/>
    <w:rsid w:val="000E61E6"/>
    <w:rsid w:val="000E666B"/>
    <w:rsid w:val="000E668F"/>
    <w:rsid w:val="000E6E18"/>
    <w:rsid w:val="000E6FEC"/>
    <w:rsid w:val="000E7259"/>
    <w:rsid w:val="000E78F9"/>
    <w:rsid w:val="000E7FD8"/>
    <w:rsid w:val="000F0188"/>
    <w:rsid w:val="000F1242"/>
    <w:rsid w:val="000F1793"/>
    <w:rsid w:val="000F1985"/>
    <w:rsid w:val="000F1C26"/>
    <w:rsid w:val="000F1C30"/>
    <w:rsid w:val="000F1D88"/>
    <w:rsid w:val="000F1EA4"/>
    <w:rsid w:val="000F2F29"/>
    <w:rsid w:val="000F32C5"/>
    <w:rsid w:val="000F3680"/>
    <w:rsid w:val="000F3850"/>
    <w:rsid w:val="000F3937"/>
    <w:rsid w:val="000F3BD4"/>
    <w:rsid w:val="000F3E7D"/>
    <w:rsid w:val="000F4579"/>
    <w:rsid w:val="000F4DE7"/>
    <w:rsid w:val="000F516F"/>
    <w:rsid w:val="000F5631"/>
    <w:rsid w:val="000F61AB"/>
    <w:rsid w:val="000F7758"/>
    <w:rsid w:val="00100678"/>
    <w:rsid w:val="00100C16"/>
    <w:rsid w:val="0010162B"/>
    <w:rsid w:val="00101AED"/>
    <w:rsid w:val="00102043"/>
    <w:rsid w:val="00102E5C"/>
    <w:rsid w:val="00102FE4"/>
    <w:rsid w:val="001040F8"/>
    <w:rsid w:val="00104C1F"/>
    <w:rsid w:val="001051F8"/>
    <w:rsid w:val="00105276"/>
    <w:rsid w:val="001054B4"/>
    <w:rsid w:val="00105D0F"/>
    <w:rsid w:val="00106950"/>
    <w:rsid w:val="00106D3C"/>
    <w:rsid w:val="0010703F"/>
    <w:rsid w:val="001071DF"/>
    <w:rsid w:val="00107848"/>
    <w:rsid w:val="0011070C"/>
    <w:rsid w:val="00111058"/>
    <w:rsid w:val="0011192E"/>
    <w:rsid w:val="00111A15"/>
    <w:rsid w:val="00111AB8"/>
    <w:rsid w:val="0011236F"/>
    <w:rsid w:val="0011253E"/>
    <w:rsid w:val="001125B0"/>
    <w:rsid w:val="001129B7"/>
    <w:rsid w:val="00112CCD"/>
    <w:rsid w:val="0011370A"/>
    <w:rsid w:val="0011375A"/>
    <w:rsid w:val="00114DC8"/>
    <w:rsid w:val="001156FA"/>
    <w:rsid w:val="00116524"/>
    <w:rsid w:val="001169FF"/>
    <w:rsid w:val="00117353"/>
    <w:rsid w:val="0011735E"/>
    <w:rsid w:val="0011762E"/>
    <w:rsid w:val="001208BE"/>
    <w:rsid w:val="001209F9"/>
    <w:rsid w:val="00122421"/>
    <w:rsid w:val="00122B1F"/>
    <w:rsid w:val="00122F28"/>
    <w:rsid w:val="001231ED"/>
    <w:rsid w:val="0012378A"/>
    <w:rsid w:val="00124CA6"/>
    <w:rsid w:val="00124FBB"/>
    <w:rsid w:val="00125386"/>
    <w:rsid w:val="00126404"/>
    <w:rsid w:val="00126705"/>
    <w:rsid w:val="00126A6C"/>
    <w:rsid w:val="00127135"/>
    <w:rsid w:val="0012781D"/>
    <w:rsid w:val="00127B22"/>
    <w:rsid w:val="00127DA6"/>
    <w:rsid w:val="00130ABA"/>
    <w:rsid w:val="00131081"/>
    <w:rsid w:val="00131411"/>
    <w:rsid w:val="00132612"/>
    <w:rsid w:val="001327DB"/>
    <w:rsid w:val="00132B10"/>
    <w:rsid w:val="00133A74"/>
    <w:rsid w:val="00133D83"/>
    <w:rsid w:val="0013429A"/>
    <w:rsid w:val="00134997"/>
    <w:rsid w:val="00134C44"/>
    <w:rsid w:val="00135823"/>
    <w:rsid w:val="0013583D"/>
    <w:rsid w:val="00135B37"/>
    <w:rsid w:val="00135C1F"/>
    <w:rsid w:val="00135DA3"/>
    <w:rsid w:val="00136053"/>
    <w:rsid w:val="00136E17"/>
    <w:rsid w:val="00140612"/>
    <w:rsid w:val="0014077D"/>
    <w:rsid w:val="00140A22"/>
    <w:rsid w:val="00140FAA"/>
    <w:rsid w:val="00141314"/>
    <w:rsid w:val="001414E5"/>
    <w:rsid w:val="00141896"/>
    <w:rsid w:val="00141A83"/>
    <w:rsid w:val="00141BC7"/>
    <w:rsid w:val="00142998"/>
    <w:rsid w:val="00142DE7"/>
    <w:rsid w:val="00142FDA"/>
    <w:rsid w:val="00143049"/>
    <w:rsid w:val="00143111"/>
    <w:rsid w:val="00143207"/>
    <w:rsid w:val="00143313"/>
    <w:rsid w:val="00143D49"/>
    <w:rsid w:val="00144D45"/>
    <w:rsid w:val="00145356"/>
    <w:rsid w:val="00145944"/>
    <w:rsid w:val="001459BB"/>
    <w:rsid w:val="00145FBE"/>
    <w:rsid w:val="00146144"/>
    <w:rsid w:val="00146601"/>
    <w:rsid w:val="00147261"/>
    <w:rsid w:val="00147367"/>
    <w:rsid w:val="00147B92"/>
    <w:rsid w:val="001509DE"/>
    <w:rsid w:val="00150A90"/>
    <w:rsid w:val="00150EE7"/>
    <w:rsid w:val="00151117"/>
    <w:rsid w:val="00151CE3"/>
    <w:rsid w:val="00152035"/>
    <w:rsid w:val="001534F0"/>
    <w:rsid w:val="00154694"/>
    <w:rsid w:val="00154BD1"/>
    <w:rsid w:val="00154D60"/>
    <w:rsid w:val="00155454"/>
    <w:rsid w:val="001556F0"/>
    <w:rsid w:val="00155C9D"/>
    <w:rsid w:val="00156170"/>
    <w:rsid w:val="001571CF"/>
    <w:rsid w:val="0016057F"/>
    <w:rsid w:val="00160624"/>
    <w:rsid w:val="00160BE4"/>
    <w:rsid w:val="0016124D"/>
    <w:rsid w:val="001613A5"/>
    <w:rsid w:val="00161BC9"/>
    <w:rsid w:val="00161CB1"/>
    <w:rsid w:val="00161E63"/>
    <w:rsid w:val="001621C4"/>
    <w:rsid w:val="00162C1A"/>
    <w:rsid w:val="00162ECD"/>
    <w:rsid w:val="00162FA1"/>
    <w:rsid w:val="00163092"/>
    <w:rsid w:val="0016310C"/>
    <w:rsid w:val="00163C56"/>
    <w:rsid w:val="00164365"/>
    <w:rsid w:val="0016443A"/>
    <w:rsid w:val="00164765"/>
    <w:rsid w:val="001647EC"/>
    <w:rsid w:val="00164AFC"/>
    <w:rsid w:val="00164C9A"/>
    <w:rsid w:val="00165213"/>
    <w:rsid w:val="00165225"/>
    <w:rsid w:val="001653C9"/>
    <w:rsid w:val="00165B60"/>
    <w:rsid w:val="00165EFA"/>
    <w:rsid w:val="001660C2"/>
    <w:rsid w:val="001665C0"/>
    <w:rsid w:val="001669AD"/>
    <w:rsid w:val="00166EC5"/>
    <w:rsid w:val="001670E0"/>
    <w:rsid w:val="0016741C"/>
    <w:rsid w:val="00167ACA"/>
    <w:rsid w:val="001702E0"/>
    <w:rsid w:val="0017092D"/>
    <w:rsid w:val="00170B37"/>
    <w:rsid w:val="00170B6E"/>
    <w:rsid w:val="00171CED"/>
    <w:rsid w:val="00172873"/>
    <w:rsid w:val="001728DE"/>
    <w:rsid w:val="00172D72"/>
    <w:rsid w:val="00173327"/>
    <w:rsid w:val="0017359D"/>
    <w:rsid w:val="00173C54"/>
    <w:rsid w:val="00173E3C"/>
    <w:rsid w:val="00174120"/>
    <w:rsid w:val="0017429D"/>
    <w:rsid w:val="00174405"/>
    <w:rsid w:val="00174911"/>
    <w:rsid w:val="00174E4D"/>
    <w:rsid w:val="00175FC6"/>
    <w:rsid w:val="00176628"/>
    <w:rsid w:val="00177037"/>
    <w:rsid w:val="00177680"/>
    <w:rsid w:val="00177D01"/>
    <w:rsid w:val="00177F2F"/>
    <w:rsid w:val="00180EBD"/>
    <w:rsid w:val="0018149E"/>
    <w:rsid w:val="001815C1"/>
    <w:rsid w:val="0018160E"/>
    <w:rsid w:val="00181FE7"/>
    <w:rsid w:val="00182EB8"/>
    <w:rsid w:val="001831F6"/>
    <w:rsid w:val="00183A15"/>
    <w:rsid w:val="00183AC5"/>
    <w:rsid w:val="00183DFB"/>
    <w:rsid w:val="0018479E"/>
    <w:rsid w:val="00187DE8"/>
    <w:rsid w:val="001903CE"/>
    <w:rsid w:val="001907DF"/>
    <w:rsid w:val="00190EBE"/>
    <w:rsid w:val="001913E9"/>
    <w:rsid w:val="0019146B"/>
    <w:rsid w:val="001919DE"/>
    <w:rsid w:val="00192201"/>
    <w:rsid w:val="001925A4"/>
    <w:rsid w:val="00192606"/>
    <w:rsid w:val="00192E68"/>
    <w:rsid w:val="00193C03"/>
    <w:rsid w:val="001945E9"/>
    <w:rsid w:val="00194C0B"/>
    <w:rsid w:val="00194C44"/>
    <w:rsid w:val="001956B4"/>
    <w:rsid w:val="00195723"/>
    <w:rsid w:val="00195FCD"/>
    <w:rsid w:val="001968C0"/>
    <w:rsid w:val="001A0125"/>
    <w:rsid w:val="001A041D"/>
    <w:rsid w:val="001A04B0"/>
    <w:rsid w:val="001A09A6"/>
    <w:rsid w:val="001A0C0E"/>
    <w:rsid w:val="001A1756"/>
    <w:rsid w:val="001A1C97"/>
    <w:rsid w:val="001A2185"/>
    <w:rsid w:val="001A234E"/>
    <w:rsid w:val="001A255E"/>
    <w:rsid w:val="001A3187"/>
    <w:rsid w:val="001A3640"/>
    <w:rsid w:val="001A3A3F"/>
    <w:rsid w:val="001A3E6D"/>
    <w:rsid w:val="001A3F6C"/>
    <w:rsid w:val="001A4278"/>
    <w:rsid w:val="001A5FDB"/>
    <w:rsid w:val="001A6A0D"/>
    <w:rsid w:val="001A6C25"/>
    <w:rsid w:val="001A7307"/>
    <w:rsid w:val="001A736A"/>
    <w:rsid w:val="001A755D"/>
    <w:rsid w:val="001A7708"/>
    <w:rsid w:val="001A772F"/>
    <w:rsid w:val="001A795E"/>
    <w:rsid w:val="001A79BD"/>
    <w:rsid w:val="001A7BA8"/>
    <w:rsid w:val="001A7D9A"/>
    <w:rsid w:val="001B03D7"/>
    <w:rsid w:val="001B0419"/>
    <w:rsid w:val="001B05E8"/>
    <w:rsid w:val="001B0CDF"/>
    <w:rsid w:val="001B13A9"/>
    <w:rsid w:val="001B24F7"/>
    <w:rsid w:val="001B2E31"/>
    <w:rsid w:val="001B324F"/>
    <w:rsid w:val="001B36B5"/>
    <w:rsid w:val="001B4052"/>
    <w:rsid w:val="001B4401"/>
    <w:rsid w:val="001B4A02"/>
    <w:rsid w:val="001B4D0A"/>
    <w:rsid w:val="001B5110"/>
    <w:rsid w:val="001B5600"/>
    <w:rsid w:val="001B5E7B"/>
    <w:rsid w:val="001B5F85"/>
    <w:rsid w:val="001B6D98"/>
    <w:rsid w:val="001B7267"/>
    <w:rsid w:val="001B7572"/>
    <w:rsid w:val="001B78C4"/>
    <w:rsid w:val="001C0B94"/>
    <w:rsid w:val="001C19BE"/>
    <w:rsid w:val="001C223B"/>
    <w:rsid w:val="001C2C9C"/>
    <w:rsid w:val="001C30B7"/>
    <w:rsid w:val="001C3EEE"/>
    <w:rsid w:val="001C4116"/>
    <w:rsid w:val="001C4B73"/>
    <w:rsid w:val="001C4F1D"/>
    <w:rsid w:val="001C53A4"/>
    <w:rsid w:val="001C5706"/>
    <w:rsid w:val="001C5C22"/>
    <w:rsid w:val="001C6541"/>
    <w:rsid w:val="001C681A"/>
    <w:rsid w:val="001C681F"/>
    <w:rsid w:val="001C6876"/>
    <w:rsid w:val="001C69DC"/>
    <w:rsid w:val="001C6F9E"/>
    <w:rsid w:val="001C7299"/>
    <w:rsid w:val="001C7E31"/>
    <w:rsid w:val="001D06A0"/>
    <w:rsid w:val="001D08FA"/>
    <w:rsid w:val="001D0DEC"/>
    <w:rsid w:val="001D1173"/>
    <w:rsid w:val="001D2028"/>
    <w:rsid w:val="001D22D1"/>
    <w:rsid w:val="001D25BB"/>
    <w:rsid w:val="001D2907"/>
    <w:rsid w:val="001D3000"/>
    <w:rsid w:val="001D328F"/>
    <w:rsid w:val="001D32DD"/>
    <w:rsid w:val="001D3961"/>
    <w:rsid w:val="001D3967"/>
    <w:rsid w:val="001D3DD7"/>
    <w:rsid w:val="001D3F31"/>
    <w:rsid w:val="001D4861"/>
    <w:rsid w:val="001D4D60"/>
    <w:rsid w:val="001D533E"/>
    <w:rsid w:val="001D54CF"/>
    <w:rsid w:val="001D605F"/>
    <w:rsid w:val="001D6743"/>
    <w:rsid w:val="001D6A18"/>
    <w:rsid w:val="001D6D8F"/>
    <w:rsid w:val="001D6ED9"/>
    <w:rsid w:val="001D6FDB"/>
    <w:rsid w:val="001D704D"/>
    <w:rsid w:val="001D7769"/>
    <w:rsid w:val="001D77FB"/>
    <w:rsid w:val="001D7C5F"/>
    <w:rsid w:val="001E14AB"/>
    <w:rsid w:val="001E1A6B"/>
    <w:rsid w:val="001E1E69"/>
    <w:rsid w:val="001E2791"/>
    <w:rsid w:val="001E2A7D"/>
    <w:rsid w:val="001E2C14"/>
    <w:rsid w:val="001E37C1"/>
    <w:rsid w:val="001E3CF6"/>
    <w:rsid w:val="001E4212"/>
    <w:rsid w:val="001E4298"/>
    <w:rsid w:val="001E44EF"/>
    <w:rsid w:val="001E47E7"/>
    <w:rsid w:val="001E4999"/>
    <w:rsid w:val="001E4AAE"/>
    <w:rsid w:val="001E4E94"/>
    <w:rsid w:val="001E4F30"/>
    <w:rsid w:val="001E531E"/>
    <w:rsid w:val="001E5DE2"/>
    <w:rsid w:val="001E5F89"/>
    <w:rsid w:val="001E6127"/>
    <w:rsid w:val="001E713C"/>
    <w:rsid w:val="001E7884"/>
    <w:rsid w:val="001E7A26"/>
    <w:rsid w:val="001E7D36"/>
    <w:rsid w:val="001F02C6"/>
    <w:rsid w:val="001F0380"/>
    <w:rsid w:val="001F0D91"/>
    <w:rsid w:val="001F1505"/>
    <w:rsid w:val="001F1909"/>
    <w:rsid w:val="001F1B67"/>
    <w:rsid w:val="001F1F44"/>
    <w:rsid w:val="001F2503"/>
    <w:rsid w:val="001F27CC"/>
    <w:rsid w:val="001F2B02"/>
    <w:rsid w:val="001F2BF8"/>
    <w:rsid w:val="001F2D10"/>
    <w:rsid w:val="001F2DF8"/>
    <w:rsid w:val="001F35E0"/>
    <w:rsid w:val="001F3E88"/>
    <w:rsid w:val="001F3EEF"/>
    <w:rsid w:val="001F43B7"/>
    <w:rsid w:val="001F51C4"/>
    <w:rsid w:val="001F5EC9"/>
    <w:rsid w:val="001F6589"/>
    <w:rsid w:val="001F7065"/>
    <w:rsid w:val="0020012E"/>
    <w:rsid w:val="00200644"/>
    <w:rsid w:val="002007E4"/>
    <w:rsid w:val="0020096D"/>
    <w:rsid w:val="00201886"/>
    <w:rsid w:val="00201F0C"/>
    <w:rsid w:val="00202281"/>
    <w:rsid w:val="002023AC"/>
    <w:rsid w:val="00202D8B"/>
    <w:rsid w:val="00203766"/>
    <w:rsid w:val="00203776"/>
    <w:rsid w:val="00203A05"/>
    <w:rsid w:val="00203F64"/>
    <w:rsid w:val="0020427F"/>
    <w:rsid w:val="00204BCF"/>
    <w:rsid w:val="0020526F"/>
    <w:rsid w:val="0020599A"/>
    <w:rsid w:val="00205A7A"/>
    <w:rsid w:val="00206DCE"/>
    <w:rsid w:val="00206F39"/>
    <w:rsid w:val="002078AB"/>
    <w:rsid w:val="002078D6"/>
    <w:rsid w:val="00207E95"/>
    <w:rsid w:val="002108F8"/>
    <w:rsid w:val="00210C22"/>
    <w:rsid w:val="00211525"/>
    <w:rsid w:val="00211D65"/>
    <w:rsid w:val="002120E7"/>
    <w:rsid w:val="0021215E"/>
    <w:rsid w:val="00212AF3"/>
    <w:rsid w:val="002135B4"/>
    <w:rsid w:val="00214024"/>
    <w:rsid w:val="00214497"/>
    <w:rsid w:val="00214EEE"/>
    <w:rsid w:val="0021506B"/>
    <w:rsid w:val="00215376"/>
    <w:rsid w:val="00215A90"/>
    <w:rsid w:val="00215B64"/>
    <w:rsid w:val="00215E11"/>
    <w:rsid w:val="00215FC0"/>
    <w:rsid w:val="00216032"/>
    <w:rsid w:val="002165F2"/>
    <w:rsid w:val="00216BF4"/>
    <w:rsid w:val="002173F6"/>
    <w:rsid w:val="0022021D"/>
    <w:rsid w:val="00220536"/>
    <w:rsid w:val="00221467"/>
    <w:rsid w:val="002215BD"/>
    <w:rsid w:val="00221C11"/>
    <w:rsid w:val="00222F6A"/>
    <w:rsid w:val="00223D2E"/>
    <w:rsid w:val="00224634"/>
    <w:rsid w:val="00224BAD"/>
    <w:rsid w:val="002252D1"/>
    <w:rsid w:val="0022534F"/>
    <w:rsid w:val="0022537A"/>
    <w:rsid w:val="002254AB"/>
    <w:rsid w:val="0022565D"/>
    <w:rsid w:val="00226042"/>
    <w:rsid w:val="0022646F"/>
    <w:rsid w:val="002278A8"/>
    <w:rsid w:val="00227BC6"/>
    <w:rsid w:val="00230875"/>
    <w:rsid w:val="002309B1"/>
    <w:rsid w:val="00231F99"/>
    <w:rsid w:val="002320B6"/>
    <w:rsid w:val="002325CE"/>
    <w:rsid w:val="00232E81"/>
    <w:rsid w:val="00233815"/>
    <w:rsid w:val="002338B6"/>
    <w:rsid w:val="002338B8"/>
    <w:rsid w:val="00233CA3"/>
    <w:rsid w:val="00233EE8"/>
    <w:rsid w:val="0023507D"/>
    <w:rsid w:val="002350B7"/>
    <w:rsid w:val="002359EF"/>
    <w:rsid w:val="0023637E"/>
    <w:rsid w:val="00236394"/>
    <w:rsid w:val="002367F4"/>
    <w:rsid w:val="00237A64"/>
    <w:rsid w:val="00237A82"/>
    <w:rsid w:val="00240076"/>
    <w:rsid w:val="0024008E"/>
    <w:rsid w:val="002406E8"/>
    <w:rsid w:val="0024097A"/>
    <w:rsid w:val="00240D2C"/>
    <w:rsid w:val="00240DD8"/>
    <w:rsid w:val="002417CF"/>
    <w:rsid w:val="00241BD8"/>
    <w:rsid w:val="00241D80"/>
    <w:rsid w:val="002426C1"/>
    <w:rsid w:val="002428BB"/>
    <w:rsid w:val="00242FB5"/>
    <w:rsid w:val="00243120"/>
    <w:rsid w:val="002432C2"/>
    <w:rsid w:val="0024356C"/>
    <w:rsid w:val="00244208"/>
    <w:rsid w:val="0024448A"/>
    <w:rsid w:val="00244998"/>
    <w:rsid w:val="00244E35"/>
    <w:rsid w:val="00245389"/>
    <w:rsid w:val="00245766"/>
    <w:rsid w:val="00245DF0"/>
    <w:rsid w:val="00245EAB"/>
    <w:rsid w:val="00246425"/>
    <w:rsid w:val="00246552"/>
    <w:rsid w:val="002466CF"/>
    <w:rsid w:val="00246797"/>
    <w:rsid w:val="00246B3D"/>
    <w:rsid w:val="00247347"/>
    <w:rsid w:val="00250DD9"/>
    <w:rsid w:val="00251216"/>
    <w:rsid w:val="00251346"/>
    <w:rsid w:val="0025138A"/>
    <w:rsid w:val="002515EC"/>
    <w:rsid w:val="002518BA"/>
    <w:rsid w:val="0025228E"/>
    <w:rsid w:val="00252A00"/>
    <w:rsid w:val="00252AEC"/>
    <w:rsid w:val="00252B26"/>
    <w:rsid w:val="0025301E"/>
    <w:rsid w:val="0025372B"/>
    <w:rsid w:val="00254A5F"/>
    <w:rsid w:val="00254AF2"/>
    <w:rsid w:val="002552E6"/>
    <w:rsid w:val="00255F6D"/>
    <w:rsid w:val="002569FE"/>
    <w:rsid w:val="00257064"/>
    <w:rsid w:val="0025735C"/>
    <w:rsid w:val="002579DD"/>
    <w:rsid w:val="00260637"/>
    <w:rsid w:val="00260C5F"/>
    <w:rsid w:val="00260F3B"/>
    <w:rsid w:val="002612A3"/>
    <w:rsid w:val="00261B46"/>
    <w:rsid w:val="002624BA"/>
    <w:rsid w:val="002633C5"/>
    <w:rsid w:val="00263504"/>
    <w:rsid w:val="0026395F"/>
    <w:rsid w:val="00263C39"/>
    <w:rsid w:val="00264765"/>
    <w:rsid w:val="00264A69"/>
    <w:rsid w:val="00264E8F"/>
    <w:rsid w:val="00265ECB"/>
    <w:rsid w:val="00266458"/>
    <w:rsid w:val="0026662E"/>
    <w:rsid w:val="00266C8B"/>
    <w:rsid w:val="00267424"/>
    <w:rsid w:val="00267426"/>
    <w:rsid w:val="00267E73"/>
    <w:rsid w:val="0027111D"/>
    <w:rsid w:val="002713F6"/>
    <w:rsid w:val="002716C0"/>
    <w:rsid w:val="00271822"/>
    <w:rsid w:val="00271CE3"/>
    <w:rsid w:val="0027283A"/>
    <w:rsid w:val="00272BF7"/>
    <w:rsid w:val="00272D09"/>
    <w:rsid w:val="00274341"/>
    <w:rsid w:val="0027571C"/>
    <w:rsid w:val="002759C5"/>
    <w:rsid w:val="002761A1"/>
    <w:rsid w:val="00276835"/>
    <w:rsid w:val="0027687B"/>
    <w:rsid w:val="00276E2B"/>
    <w:rsid w:val="0027719B"/>
    <w:rsid w:val="002776FF"/>
    <w:rsid w:val="0027794C"/>
    <w:rsid w:val="00277E7D"/>
    <w:rsid w:val="002803CC"/>
    <w:rsid w:val="002804D9"/>
    <w:rsid w:val="0028168A"/>
    <w:rsid w:val="00281C38"/>
    <w:rsid w:val="00282A51"/>
    <w:rsid w:val="00282F44"/>
    <w:rsid w:val="002830C8"/>
    <w:rsid w:val="002840A9"/>
    <w:rsid w:val="00284482"/>
    <w:rsid w:val="002847E1"/>
    <w:rsid w:val="0028488C"/>
    <w:rsid w:val="00285E72"/>
    <w:rsid w:val="00286B75"/>
    <w:rsid w:val="0028737D"/>
    <w:rsid w:val="002878C3"/>
    <w:rsid w:val="002879A1"/>
    <w:rsid w:val="00287C24"/>
    <w:rsid w:val="00290C8F"/>
    <w:rsid w:val="00290CC4"/>
    <w:rsid w:val="00290EF3"/>
    <w:rsid w:val="002921D4"/>
    <w:rsid w:val="0029285C"/>
    <w:rsid w:val="002931E6"/>
    <w:rsid w:val="00293209"/>
    <w:rsid w:val="002932F2"/>
    <w:rsid w:val="00293450"/>
    <w:rsid w:val="00293832"/>
    <w:rsid w:val="00294579"/>
    <w:rsid w:val="002950A9"/>
    <w:rsid w:val="00295544"/>
    <w:rsid w:val="00295B7E"/>
    <w:rsid w:val="00295C98"/>
    <w:rsid w:val="00295F59"/>
    <w:rsid w:val="00297217"/>
    <w:rsid w:val="00297442"/>
    <w:rsid w:val="00297489"/>
    <w:rsid w:val="00297514"/>
    <w:rsid w:val="00297B43"/>
    <w:rsid w:val="00297C0C"/>
    <w:rsid w:val="002A0A75"/>
    <w:rsid w:val="002A1475"/>
    <w:rsid w:val="002A156F"/>
    <w:rsid w:val="002A1C2A"/>
    <w:rsid w:val="002A1DE1"/>
    <w:rsid w:val="002A2135"/>
    <w:rsid w:val="002A223E"/>
    <w:rsid w:val="002A2A7C"/>
    <w:rsid w:val="002A2AD5"/>
    <w:rsid w:val="002A3A2D"/>
    <w:rsid w:val="002A410E"/>
    <w:rsid w:val="002A41B8"/>
    <w:rsid w:val="002A54DC"/>
    <w:rsid w:val="002A5D27"/>
    <w:rsid w:val="002A6011"/>
    <w:rsid w:val="002A60E7"/>
    <w:rsid w:val="002A63CB"/>
    <w:rsid w:val="002A6479"/>
    <w:rsid w:val="002A668F"/>
    <w:rsid w:val="002A6706"/>
    <w:rsid w:val="002A6762"/>
    <w:rsid w:val="002A67CD"/>
    <w:rsid w:val="002A6B6E"/>
    <w:rsid w:val="002A6FB5"/>
    <w:rsid w:val="002A70E8"/>
    <w:rsid w:val="002A7C21"/>
    <w:rsid w:val="002A7D00"/>
    <w:rsid w:val="002B04A4"/>
    <w:rsid w:val="002B0B91"/>
    <w:rsid w:val="002B0D1B"/>
    <w:rsid w:val="002B0DB2"/>
    <w:rsid w:val="002B1437"/>
    <w:rsid w:val="002B2010"/>
    <w:rsid w:val="002B214E"/>
    <w:rsid w:val="002B21E5"/>
    <w:rsid w:val="002B2233"/>
    <w:rsid w:val="002B2C2A"/>
    <w:rsid w:val="002B2E31"/>
    <w:rsid w:val="002B30FF"/>
    <w:rsid w:val="002B3AFE"/>
    <w:rsid w:val="002B3FB4"/>
    <w:rsid w:val="002B4280"/>
    <w:rsid w:val="002B46BA"/>
    <w:rsid w:val="002B48DE"/>
    <w:rsid w:val="002B6066"/>
    <w:rsid w:val="002B64F7"/>
    <w:rsid w:val="002B6C16"/>
    <w:rsid w:val="002B6CBB"/>
    <w:rsid w:val="002B7244"/>
    <w:rsid w:val="002C01BF"/>
    <w:rsid w:val="002C0554"/>
    <w:rsid w:val="002C07B7"/>
    <w:rsid w:val="002C0940"/>
    <w:rsid w:val="002C0D50"/>
    <w:rsid w:val="002C0E03"/>
    <w:rsid w:val="002C153D"/>
    <w:rsid w:val="002C1B6A"/>
    <w:rsid w:val="002C1C98"/>
    <w:rsid w:val="002C27F1"/>
    <w:rsid w:val="002C30AF"/>
    <w:rsid w:val="002C372F"/>
    <w:rsid w:val="002C38B7"/>
    <w:rsid w:val="002C38EC"/>
    <w:rsid w:val="002C3B2D"/>
    <w:rsid w:val="002C4320"/>
    <w:rsid w:val="002C4CBC"/>
    <w:rsid w:val="002C4E77"/>
    <w:rsid w:val="002C58C0"/>
    <w:rsid w:val="002C70C7"/>
    <w:rsid w:val="002C7B40"/>
    <w:rsid w:val="002D0344"/>
    <w:rsid w:val="002D13A0"/>
    <w:rsid w:val="002D1788"/>
    <w:rsid w:val="002D214A"/>
    <w:rsid w:val="002D2343"/>
    <w:rsid w:val="002D3012"/>
    <w:rsid w:val="002D355C"/>
    <w:rsid w:val="002D3606"/>
    <w:rsid w:val="002D4470"/>
    <w:rsid w:val="002D4543"/>
    <w:rsid w:val="002D5042"/>
    <w:rsid w:val="002D507D"/>
    <w:rsid w:val="002D544D"/>
    <w:rsid w:val="002D5A92"/>
    <w:rsid w:val="002D5D1B"/>
    <w:rsid w:val="002D63CA"/>
    <w:rsid w:val="002D6963"/>
    <w:rsid w:val="002D6DD0"/>
    <w:rsid w:val="002D7001"/>
    <w:rsid w:val="002D726F"/>
    <w:rsid w:val="002D7CEA"/>
    <w:rsid w:val="002D7D4A"/>
    <w:rsid w:val="002E0121"/>
    <w:rsid w:val="002E08ED"/>
    <w:rsid w:val="002E0D5D"/>
    <w:rsid w:val="002E13ED"/>
    <w:rsid w:val="002E1427"/>
    <w:rsid w:val="002E19F7"/>
    <w:rsid w:val="002E1CF1"/>
    <w:rsid w:val="002E226F"/>
    <w:rsid w:val="002E2477"/>
    <w:rsid w:val="002E25FC"/>
    <w:rsid w:val="002E47B8"/>
    <w:rsid w:val="002E48D9"/>
    <w:rsid w:val="002E4B44"/>
    <w:rsid w:val="002E4DBF"/>
    <w:rsid w:val="002E4DF0"/>
    <w:rsid w:val="002E5188"/>
    <w:rsid w:val="002E5F1A"/>
    <w:rsid w:val="002E62D6"/>
    <w:rsid w:val="002E62EE"/>
    <w:rsid w:val="002E641E"/>
    <w:rsid w:val="002E6A42"/>
    <w:rsid w:val="002E70D7"/>
    <w:rsid w:val="002E71C1"/>
    <w:rsid w:val="002E750D"/>
    <w:rsid w:val="002E7D46"/>
    <w:rsid w:val="002F02FC"/>
    <w:rsid w:val="002F06D6"/>
    <w:rsid w:val="002F0B0D"/>
    <w:rsid w:val="002F0C3B"/>
    <w:rsid w:val="002F122C"/>
    <w:rsid w:val="002F15DC"/>
    <w:rsid w:val="002F1699"/>
    <w:rsid w:val="002F1C70"/>
    <w:rsid w:val="002F1D0F"/>
    <w:rsid w:val="002F32FB"/>
    <w:rsid w:val="002F3729"/>
    <w:rsid w:val="002F3E2F"/>
    <w:rsid w:val="002F3E54"/>
    <w:rsid w:val="002F4477"/>
    <w:rsid w:val="002F4CF5"/>
    <w:rsid w:val="002F614B"/>
    <w:rsid w:val="002F637C"/>
    <w:rsid w:val="002F662C"/>
    <w:rsid w:val="002F6EC9"/>
    <w:rsid w:val="002F72F3"/>
    <w:rsid w:val="002F7A05"/>
    <w:rsid w:val="002F7AF4"/>
    <w:rsid w:val="003002D5"/>
    <w:rsid w:val="0030071F"/>
    <w:rsid w:val="00300762"/>
    <w:rsid w:val="003007E4"/>
    <w:rsid w:val="003009DB"/>
    <w:rsid w:val="00300B6E"/>
    <w:rsid w:val="00300DD1"/>
    <w:rsid w:val="003019F1"/>
    <w:rsid w:val="0030240F"/>
    <w:rsid w:val="00302553"/>
    <w:rsid w:val="00302E12"/>
    <w:rsid w:val="00304241"/>
    <w:rsid w:val="003044F0"/>
    <w:rsid w:val="00304F3A"/>
    <w:rsid w:val="0030506C"/>
    <w:rsid w:val="0030509C"/>
    <w:rsid w:val="003050F6"/>
    <w:rsid w:val="00305A4D"/>
    <w:rsid w:val="003065CB"/>
    <w:rsid w:val="00306731"/>
    <w:rsid w:val="003074B3"/>
    <w:rsid w:val="003074BE"/>
    <w:rsid w:val="00310271"/>
    <w:rsid w:val="00310A62"/>
    <w:rsid w:val="00310CB5"/>
    <w:rsid w:val="003111D8"/>
    <w:rsid w:val="00311766"/>
    <w:rsid w:val="003119B7"/>
    <w:rsid w:val="0031210B"/>
    <w:rsid w:val="003136CE"/>
    <w:rsid w:val="00314962"/>
    <w:rsid w:val="00314C7C"/>
    <w:rsid w:val="00314F52"/>
    <w:rsid w:val="00315029"/>
    <w:rsid w:val="00315A91"/>
    <w:rsid w:val="00315D09"/>
    <w:rsid w:val="00316809"/>
    <w:rsid w:val="00316AEB"/>
    <w:rsid w:val="0031741D"/>
    <w:rsid w:val="00317BD0"/>
    <w:rsid w:val="00320549"/>
    <w:rsid w:val="003209B3"/>
    <w:rsid w:val="00320E47"/>
    <w:rsid w:val="0032273D"/>
    <w:rsid w:val="00323163"/>
    <w:rsid w:val="0032340B"/>
    <w:rsid w:val="00323444"/>
    <w:rsid w:val="0032384D"/>
    <w:rsid w:val="00324094"/>
    <w:rsid w:val="0032432E"/>
    <w:rsid w:val="00324632"/>
    <w:rsid w:val="003254D7"/>
    <w:rsid w:val="00325A0E"/>
    <w:rsid w:val="00325B21"/>
    <w:rsid w:val="00326042"/>
    <w:rsid w:val="00326A7F"/>
    <w:rsid w:val="0032768E"/>
    <w:rsid w:val="003277C3"/>
    <w:rsid w:val="00331981"/>
    <w:rsid w:val="00331A6D"/>
    <w:rsid w:val="00331D03"/>
    <w:rsid w:val="00332064"/>
    <w:rsid w:val="003327C9"/>
    <w:rsid w:val="003329B0"/>
    <w:rsid w:val="00332E48"/>
    <w:rsid w:val="00333EC7"/>
    <w:rsid w:val="00334984"/>
    <w:rsid w:val="00334C9B"/>
    <w:rsid w:val="00335649"/>
    <w:rsid w:val="00335910"/>
    <w:rsid w:val="0033593F"/>
    <w:rsid w:val="00336228"/>
    <w:rsid w:val="003365AB"/>
    <w:rsid w:val="00336D55"/>
    <w:rsid w:val="00337615"/>
    <w:rsid w:val="00337B60"/>
    <w:rsid w:val="00337BA4"/>
    <w:rsid w:val="00340F26"/>
    <w:rsid w:val="003414CB"/>
    <w:rsid w:val="00341DD4"/>
    <w:rsid w:val="0034296F"/>
    <w:rsid w:val="00342E52"/>
    <w:rsid w:val="0034368A"/>
    <w:rsid w:val="00343FC9"/>
    <w:rsid w:val="00344ACE"/>
    <w:rsid w:val="00345358"/>
    <w:rsid w:val="00345B39"/>
    <w:rsid w:val="00345CFC"/>
    <w:rsid w:val="00346149"/>
    <w:rsid w:val="00346865"/>
    <w:rsid w:val="00346B53"/>
    <w:rsid w:val="00346BBF"/>
    <w:rsid w:val="003479AA"/>
    <w:rsid w:val="00347EDD"/>
    <w:rsid w:val="0035117A"/>
    <w:rsid w:val="00351390"/>
    <w:rsid w:val="00351571"/>
    <w:rsid w:val="00352050"/>
    <w:rsid w:val="003529A0"/>
    <w:rsid w:val="003529E4"/>
    <w:rsid w:val="00352F39"/>
    <w:rsid w:val="003537AB"/>
    <w:rsid w:val="00353BC0"/>
    <w:rsid w:val="0035453D"/>
    <w:rsid w:val="0035453F"/>
    <w:rsid w:val="003545CF"/>
    <w:rsid w:val="00354E19"/>
    <w:rsid w:val="003550A4"/>
    <w:rsid w:val="00355862"/>
    <w:rsid w:val="00355C5F"/>
    <w:rsid w:val="00356074"/>
    <w:rsid w:val="00356AFE"/>
    <w:rsid w:val="00356DDE"/>
    <w:rsid w:val="003570F4"/>
    <w:rsid w:val="003571C8"/>
    <w:rsid w:val="00357643"/>
    <w:rsid w:val="0035793F"/>
    <w:rsid w:val="0036016D"/>
    <w:rsid w:val="003605D4"/>
    <w:rsid w:val="00360F11"/>
    <w:rsid w:val="00361597"/>
    <w:rsid w:val="00361939"/>
    <w:rsid w:val="0036197B"/>
    <w:rsid w:val="00361CC0"/>
    <w:rsid w:val="00361CD6"/>
    <w:rsid w:val="00362586"/>
    <w:rsid w:val="003628DA"/>
    <w:rsid w:val="00363513"/>
    <w:rsid w:val="003639C7"/>
    <w:rsid w:val="0036406A"/>
    <w:rsid w:val="003641A5"/>
    <w:rsid w:val="00364939"/>
    <w:rsid w:val="00364BC7"/>
    <w:rsid w:val="00364DCB"/>
    <w:rsid w:val="00365784"/>
    <w:rsid w:val="003659EE"/>
    <w:rsid w:val="00366BF9"/>
    <w:rsid w:val="00367120"/>
    <w:rsid w:val="003673FA"/>
    <w:rsid w:val="00367D0F"/>
    <w:rsid w:val="003700EE"/>
    <w:rsid w:val="0037026C"/>
    <w:rsid w:val="00370CD6"/>
    <w:rsid w:val="00371562"/>
    <w:rsid w:val="00371BE5"/>
    <w:rsid w:val="00372146"/>
    <w:rsid w:val="003724D2"/>
    <w:rsid w:val="00372A12"/>
    <w:rsid w:val="00372F9B"/>
    <w:rsid w:val="00373672"/>
    <w:rsid w:val="003736C4"/>
    <w:rsid w:val="00375C7C"/>
    <w:rsid w:val="00375DCA"/>
    <w:rsid w:val="00375F5B"/>
    <w:rsid w:val="00376899"/>
    <w:rsid w:val="0037745A"/>
    <w:rsid w:val="00377E68"/>
    <w:rsid w:val="00380608"/>
    <w:rsid w:val="00380BD1"/>
    <w:rsid w:val="003813FD"/>
    <w:rsid w:val="00381B4A"/>
    <w:rsid w:val="00381CD5"/>
    <w:rsid w:val="00381EFE"/>
    <w:rsid w:val="00382392"/>
    <w:rsid w:val="003827DD"/>
    <w:rsid w:val="00382C32"/>
    <w:rsid w:val="00383691"/>
    <w:rsid w:val="00383C69"/>
    <w:rsid w:val="00383F9F"/>
    <w:rsid w:val="00385338"/>
    <w:rsid w:val="00385D58"/>
    <w:rsid w:val="003861BD"/>
    <w:rsid w:val="00386DE6"/>
    <w:rsid w:val="0038770F"/>
    <w:rsid w:val="00387948"/>
    <w:rsid w:val="00387B50"/>
    <w:rsid w:val="00387DED"/>
    <w:rsid w:val="0039082B"/>
    <w:rsid w:val="00391088"/>
    <w:rsid w:val="00391349"/>
    <w:rsid w:val="003916B2"/>
    <w:rsid w:val="00391FA9"/>
    <w:rsid w:val="0039346A"/>
    <w:rsid w:val="00394013"/>
    <w:rsid w:val="003943CA"/>
    <w:rsid w:val="00394E2B"/>
    <w:rsid w:val="00395879"/>
    <w:rsid w:val="00395B61"/>
    <w:rsid w:val="00396011"/>
    <w:rsid w:val="0039634B"/>
    <w:rsid w:val="00396564"/>
    <w:rsid w:val="00396710"/>
    <w:rsid w:val="00396D0D"/>
    <w:rsid w:val="00396D94"/>
    <w:rsid w:val="00396FAD"/>
    <w:rsid w:val="00397330"/>
    <w:rsid w:val="003977E6"/>
    <w:rsid w:val="00397A44"/>
    <w:rsid w:val="00397A9D"/>
    <w:rsid w:val="003A01AD"/>
    <w:rsid w:val="003A087C"/>
    <w:rsid w:val="003A0969"/>
    <w:rsid w:val="003A1A56"/>
    <w:rsid w:val="003A1D50"/>
    <w:rsid w:val="003A22BB"/>
    <w:rsid w:val="003A3DFE"/>
    <w:rsid w:val="003A40DB"/>
    <w:rsid w:val="003A43BC"/>
    <w:rsid w:val="003A454D"/>
    <w:rsid w:val="003A49E5"/>
    <w:rsid w:val="003A4F89"/>
    <w:rsid w:val="003A513B"/>
    <w:rsid w:val="003A5780"/>
    <w:rsid w:val="003A59EF"/>
    <w:rsid w:val="003A5AC5"/>
    <w:rsid w:val="003A5D23"/>
    <w:rsid w:val="003A5D36"/>
    <w:rsid w:val="003A5D71"/>
    <w:rsid w:val="003A5FC2"/>
    <w:rsid w:val="003A600D"/>
    <w:rsid w:val="003A64CD"/>
    <w:rsid w:val="003A6EF2"/>
    <w:rsid w:val="003A7059"/>
    <w:rsid w:val="003A719C"/>
    <w:rsid w:val="003A7545"/>
    <w:rsid w:val="003A777C"/>
    <w:rsid w:val="003B06FB"/>
    <w:rsid w:val="003B1174"/>
    <w:rsid w:val="003B1F0A"/>
    <w:rsid w:val="003B23DC"/>
    <w:rsid w:val="003B23DF"/>
    <w:rsid w:val="003B2545"/>
    <w:rsid w:val="003B2B06"/>
    <w:rsid w:val="003B2C74"/>
    <w:rsid w:val="003B2E0E"/>
    <w:rsid w:val="003B305D"/>
    <w:rsid w:val="003B328F"/>
    <w:rsid w:val="003B3F29"/>
    <w:rsid w:val="003B3F72"/>
    <w:rsid w:val="003B3FB4"/>
    <w:rsid w:val="003B40D0"/>
    <w:rsid w:val="003B4255"/>
    <w:rsid w:val="003B44D9"/>
    <w:rsid w:val="003B47B4"/>
    <w:rsid w:val="003B4A65"/>
    <w:rsid w:val="003B4D89"/>
    <w:rsid w:val="003B5604"/>
    <w:rsid w:val="003B560A"/>
    <w:rsid w:val="003B5931"/>
    <w:rsid w:val="003B5DA1"/>
    <w:rsid w:val="003B61ED"/>
    <w:rsid w:val="003B66B5"/>
    <w:rsid w:val="003B6BDB"/>
    <w:rsid w:val="003B6E29"/>
    <w:rsid w:val="003B6EA5"/>
    <w:rsid w:val="003B7002"/>
    <w:rsid w:val="003C06CA"/>
    <w:rsid w:val="003C06D4"/>
    <w:rsid w:val="003C0896"/>
    <w:rsid w:val="003C0C76"/>
    <w:rsid w:val="003C0D8B"/>
    <w:rsid w:val="003C109F"/>
    <w:rsid w:val="003C1423"/>
    <w:rsid w:val="003C15DF"/>
    <w:rsid w:val="003C178B"/>
    <w:rsid w:val="003C2236"/>
    <w:rsid w:val="003C310E"/>
    <w:rsid w:val="003C31AC"/>
    <w:rsid w:val="003C34D6"/>
    <w:rsid w:val="003C40FE"/>
    <w:rsid w:val="003C41BE"/>
    <w:rsid w:val="003C4315"/>
    <w:rsid w:val="003C435B"/>
    <w:rsid w:val="003C5045"/>
    <w:rsid w:val="003C5A46"/>
    <w:rsid w:val="003C5A76"/>
    <w:rsid w:val="003C5F9F"/>
    <w:rsid w:val="003C6C9A"/>
    <w:rsid w:val="003C6DA3"/>
    <w:rsid w:val="003C6DFF"/>
    <w:rsid w:val="003C7BB2"/>
    <w:rsid w:val="003D021D"/>
    <w:rsid w:val="003D2067"/>
    <w:rsid w:val="003D2214"/>
    <w:rsid w:val="003D236C"/>
    <w:rsid w:val="003D270A"/>
    <w:rsid w:val="003D378B"/>
    <w:rsid w:val="003D3962"/>
    <w:rsid w:val="003D3CC8"/>
    <w:rsid w:val="003D3FBD"/>
    <w:rsid w:val="003D3FBE"/>
    <w:rsid w:val="003D4D44"/>
    <w:rsid w:val="003D511E"/>
    <w:rsid w:val="003D55C3"/>
    <w:rsid w:val="003D5719"/>
    <w:rsid w:val="003D5C93"/>
    <w:rsid w:val="003D642E"/>
    <w:rsid w:val="003D67D3"/>
    <w:rsid w:val="003D6887"/>
    <w:rsid w:val="003D710F"/>
    <w:rsid w:val="003D727A"/>
    <w:rsid w:val="003D79A3"/>
    <w:rsid w:val="003E0061"/>
    <w:rsid w:val="003E0435"/>
    <w:rsid w:val="003E0BC8"/>
    <w:rsid w:val="003E0F56"/>
    <w:rsid w:val="003E128F"/>
    <w:rsid w:val="003E12C5"/>
    <w:rsid w:val="003E17E2"/>
    <w:rsid w:val="003E2010"/>
    <w:rsid w:val="003E23E9"/>
    <w:rsid w:val="003E2990"/>
    <w:rsid w:val="003E2F95"/>
    <w:rsid w:val="003E391A"/>
    <w:rsid w:val="003E3C0F"/>
    <w:rsid w:val="003E53CB"/>
    <w:rsid w:val="003E5BDB"/>
    <w:rsid w:val="003E5C20"/>
    <w:rsid w:val="003E5F75"/>
    <w:rsid w:val="003E5F8C"/>
    <w:rsid w:val="003E5FC5"/>
    <w:rsid w:val="003E7CCB"/>
    <w:rsid w:val="003F0EB4"/>
    <w:rsid w:val="003F2343"/>
    <w:rsid w:val="003F235E"/>
    <w:rsid w:val="003F2452"/>
    <w:rsid w:val="003F255B"/>
    <w:rsid w:val="003F2AF7"/>
    <w:rsid w:val="003F2D00"/>
    <w:rsid w:val="003F2FE4"/>
    <w:rsid w:val="003F373C"/>
    <w:rsid w:val="003F39AB"/>
    <w:rsid w:val="003F3EF9"/>
    <w:rsid w:val="003F432C"/>
    <w:rsid w:val="003F4630"/>
    <w:rsid w:val="003F605A"/>
    <w:rsid w:val="003F6111"/>
    <w:rsid w:val="003F6B59"/>
    <w:rsid w:val="003F6CA0"/>
    <w:rsid w:val="003F7288"/>
    <w:rsid w:val="003F7E9A"/>
    <w:rsid w:val="00400156"/>
    <w:rsid w:val="00400E60"/>
    <w:rsid w:val="00401A6C"/>
    <w:rsid w:val="00401CB3"/>
    <w:rsid w:val="0040204C"/>
    <w:rsid w:val="004023FB"/>
    <w:rsid w:val="00402E34"/>
    <w:rsid w:val="00403523"/>
    <w:rsid w:val="004037CD"/>
    <w:rsid w:val="00403929"/>
    <w:rsid w:val="00403C4D"/>
    <w:rsid w:val="00403F20"/>
    <w:rsid w:val="00404047"/>
    <w:rsid w:val="00404105"/>
    <w:rsid w:val="00404326"/>
    <w:rsid w:val="0040443C"/>
    <w:rsid w:val="00404FC2"/>
    <w:rsid w:val="00405531"/>
    <w:rsid w:val="00405707"/>
    <w:rsid w:val="004059FC"/>
    <w:rsid w:val="00405CE1"/>
    <w:rsid w:val="004060A3"/>
    <w:rsid w:val="004061F8"/>
    <w:rsid w:val="004065EC"/>
    <w:rsid w:val="004068B9"/>
    <w:rsid w:val="0040747B"/>
    <w:rsid w:val="004077CD"/>
    <w:rsid w:val="00407A9C"/>
    <w:rsid w:val="00407C7D"/>
    <w:rsid w:val="00410B79"/>
    <w:rsid w:val="004110B8"/>
    <w:rsid w:val="00411488"/>
    <w:rsid w:val="00411839"/>
    <w:rsid w:val="00411F50"/>
    <w:rsid w:val="00412928"/>
    <w:rsid w:val="00412E8D"/>
    <w:rsid w:val="00413D5B"/>
    <w:rsid w:val="00413DBE"/>
    <w:rsid w:val="004140D2"/>
    <w:rsid w:val="004146C5"/>
    <w:rsid w:val="00414A71"/>
    <w:rsid w:val="00414CCC"/>
    <w:rsid w:val="004151F7"/>
    <w:rsid w:val="00415F44"/>
    <w:rsid w:val="00415FFC"/>
    <w:rsid w:val="00416552"/>
    <w:rsid w:val="004168EB"/>
    <w:rsid w:val="00416A3D"/>
    <w:rsid w:val="00417BC5"/>
    <w:rsid w:val="00417C01"/>
    <w:rsid w:val="00417E78"/>
    <w:rsid w:val="00420193"/>
    <w:rsid w:val="0042057A"/>
    <w:rsid w:val="0042062D"/>
    <w:rsid w:val="00420C8B"/>
    <w:rsid w:val="00420DD7"/>
    <w:rsid w:val="00421C90"/>
    <w:rsid w:val="00422160"/>
    <w:rsid w:val="00422670"/>
    <w:rsid w:val="0042279D"/>
    <w:rsid w:val="00423470"/>
    <w:rsid w:val="00423681"/>
    <w:rsid w:val="00423A2B"/>
    <w:rsid w:val="00424658"/>
    <w:rsid w:val="00424AF7"/>
    <w:rsid w:val="00425201"/>
    <w:rsid w:val="0042523C"/>
    <w:rsid w:val="004255D6"/>
    <w:rsid w:val="00425A42"/>
    <w:rsid w:val="00425AA4"/>
    <w:rsid w:val="00426380"/>
    <w:rsid w:val="00426ED9"/>
    <w:rsid w:val="00426FBC"/>
    <w:rsid w:val="00427778"/>
    <w:rsid w:val="00427975"/>
    <w:rsid w:val="004300DB"/>
    <w:rsid w:val="00430D5D"/>
    <w:rsid w:val="00430EC9"/>
    <w:rsid w:val="004313D2"/>
    <w:rsid w:val="004314B5"/>
    <w:rsid w:val="00431ACD"/>
    <w:rsid w:val="00431F60"/>
    <w:rsid w:val="004331A7"/>
    <w:rsid w:val="004332E2"/>
    <w:rsid w:val="0043339D"/>
    <w:rsid w:val="004334C7"/>
    <w:rsid w:val="00433A2D"/>
    <w:rsid w:val="00434259"/>
    <w:rsid w:val="0043467B"/>
    <w:rsid w:val="00434F8B"/>
    <w:rsid w:val="0043522C"/>
    <w:rsid w:val="00435AE9"/>
    <w:rsid w:val="00436A9A"/>
    <w:rsid w:val="004370C2"/>
    <w:rsid w:val="00437631"/>
    <w:rsid w:val="00437F6B"/>
    <w:rsid w:val="004400B1"/>
    <w:rsid w:val="0044051C"/>
    <w:rsid w:val="0044067D"/>
    <w:rsid w:val="00440812"/>
    <w:rsid w:val="004409D2"/>
    <w:rsid w:val="00440EB8"/>
    <w:rsid w:val="00441231"/>
    <w:rsid w:val="00441268"/>
    <w:rsid w:val="0044134D"/>
    <w:rsid w:val="00441389"/>
    <w:rsid w:val="00441465"/>
    <w:rsid w:val="00441503"/>
    <w:rsid w:val="00441D1F"/>
    <w:rsid w:val="00442666"/>
    <w:rsid w:val="004435E4"/>
    <w:rsid w:val="004438DA"/>
    <w:rsid w:val="004442DE"/>
    <w:rsid w:val="00444419"/>
    <w:rsid w:val="004449E4"/>
    <w:rsid w:val="00444AD7"/>
    <w:rsid w:val="00445396"/>
    <w:rsid w:val="004458DF"/>
    <w:rsid w:val="00445BBC"/>
    <w:rsid w:val="00445C3F"/>
    <w:rsid w:val="00445FE4"/>
    <w:rsid w:val="00446263"/>
    <w:rsid w:val="0044640C"/>
    <w:rsid w:val="004464C9"/>
    <w:rsid w:val="00446D2E"/>
    <w:rsid w:val="00447050"/>
    <w:rsid w:val="004506E3"/>
    <w:rsid w:val="00450DFD"/>
    <w:rsid w:val="00450E84"/>
    <w:rsid w:val="00450FB2"/>
    <w:rsid w:val="00451966"/>
    <w:rsid w:val="00451A96"/>
    <w:rsid w:val="00451D48"/>
    <w:rsid w:val="00451F8E"/>
    <w:rsid w:val="00452478"/>
    <w:rsid w:val="0045294C"/>
    <w:rsid w:val="00452EA3"/>
    <w:rsid w:val="00453089"/>
    <w:rsid w:val="0045322A"/>
    <w:rsid w:val="004533BE"/>
    <w:rsid w:val="00453489"/>
    <w:rsid w:val="00453BE6"/>
    <w:rsid w:val="00454853"/>
    <w:rsid w:val="0045506D"/>
    <w:rsid w:val="004553F3"/>
    <w:rsid w:val="004556AF"/>
    <w:rsid w:val="004560EE"/>
    <w:rsid w:val="00456E0F"/>
    <w:rsid w:val="00456FC5"/>
    <w:rsid w:val="0045760C"/>
    <w:rsid w:val="00457AD1"/>
    <w:rsid w:val="0046002E"/>
    <w:rsid w:val="004606F6"/>
    <w:rsid w:val="00460DD9"/>
    <w:rsid w:val="00460F02"/>
    <w:rsid w:val="00461D3D"/>
    <w:rsid w:val="00462269"/>
    <w:rsid w:val="00463258"/>
    <w:rsid w:val="00463598"/>
    <w:rsid w:val="0046359B"/>
    <w:rsid w:val="0046365A"/>
    <w:rsid w:val="00463677"/>
    <w:rsid w:val="004644C1"/>
    <w:rsid w:val="004645B4"/>
    <w:rsid w:val="00464702"/>
    <w:rsid w:val="004647DB"/>
    <w:rsid w:val="00465159"/>
    <w:rsid w:val="0046524D"/>
    <w:rsid w:val="0046588A"/>
    <w:rsid w:val="00465B70"/>
    <w:rsid w:val="00465DB1"/>
    <w:rsid w:val="00466460"/>
    <w:rsid w:val="00466B7F"/>
    <w:rsid w:val="0046728F"/>
    <w:rsid w:val="0046752B"/>
    <w:rsid w:val="00467BD6"/>
    <w:rsid w:val="004700C5"/>
    <w:rsid w:val="004702A8"/>
    <w:rsid w:val="004705EE"/>
    <w:rsid w:val="00470E24"/>
    <w:rsid w:val="0047107B"/>
    <w:rsid w:val="0047191A"/>
    <w:rsid w:val="00471C3D"/>
    <w:rsid w:val="00471FA9"/>
    <w:rsid w:val="00472047"/>
    <w:rsid w:val="004722A5"/>
    <w:rsid w:val="0047239C"/>
    <w:rsid w:val="00472609"/>
    <w:rsid w:val="004726FB"/>
    <w:rsid w:val="0047270A"/>
    <w:rsid w:val="00472A30"/>
    <w:rsid w:val="00472EC8"/>
    <w:rsid w:val="004730A1"/>
    <w:rsid w:val="004731CF"/>
    <w:rsid w:val="004735AD"/>
    <w:rsid w:val="0047375F"/>
    <w:rsid w:val="0047410B"/>
    <w:rsid w:val="0047449D"/>
    <w:rsid w:val="00474668"/>
    <w:rsid w:val="0047473C"/>
    <w:rsid w:val="00474CB5"/>
    <w:rsid w:val="00474FE5"/>
    <w:rsid w:val="004750A6"/>
    <w:rsid w:val="0047587F"/>
    <w:rsid w:val="00475C12"/>
    <w:rsid w:val="004760C0"/>
    <w:rsid w:val="00476175"/>
    <w:rsid w:val="004767EA"/>
    <w:rsid w:val="00476893"/>
    <w:rsid w:val="00476BBF"/>
    <w:rsid w:val="0047729D"/>
    <w:rsid w:val="004801EC"/>
    <w:rsid w:val="0048035A"/>
    <w:rsid w:val="004811F0"/>
    <w:rsid w:val="00481414"/>
    <w:rsid w:val="00481573"/>
    <w:rsid w:val="0048221E"/>
    <w:rsid w:val="00482A63"/>
    <w:rsid w:val="00482B8B"/>
    <w:rsid w:val="00483769"/>
    <w:rsid w:val="004837A3"/>
    <w:rsid w:val="004838D2"/>
    <w:rsid w:val="00483978"/>
    <w:rsid w:val="00484439"/>
    <w:rsid w:val="004845DF"/>
    <w:rsid w:val="0048465E"/>
    <w:rsid w:val="004849A2"/>
    <w:rsid w:val="00484DDC"/>
    <w:rsid w:val="0048526F"/>
    <w:rsid w:val="00485D96"/>
    <w:rsid w:val="00485DC5"/>
    <w:rsid w:val="004864C7"/>
    <w:rsid w:val="004865B0"/>
    <w:rsid w:val="00486961"/>
    <w:rsid w:val="00486AE3"/>
    <w:rsid w:val="00486EB5"/>
    <w:rsid w:val="0048759C"/>
    <w:rsid w:val="00487C01"/>
    <w:rsid w:val="00487DFD"/>
    <w:rsid w:val="00487E03"/>
    <w:rsid w:val="0049089E"/>
    <w:rsid w:val="00491A6E"/>
    <w:rsid w:val="004921F5"/>
    <w:rsid w:val="0049224F"/>
    <w:rsid w:val="0049304D"/>
    <w:rsid w:val="004937AF"/>
    <w:rsid w:val="0049414C"/>
    <w:rsid w:val="00494C34"/>
    <w:rsid w:val="00494ED6"/>
    <w:rsid w:val="00494F27"/>
    <w:rsid w:val="004950C8"/>
    <w:rsid w:val="0049568B"/>
    <w:rsid w:val="00495D96"/>
    <w:rsid w:val="00495E67"/>
    <w:rsid w:val="0049797D"/>
    <w:rsid w:val="00497B20"/>
    <w:rsid w:val="00497BF8"/>
    <w:rsid w:val="00497CE0"/>
    <w:rsid w:val="00497E06"/>
    <w:rsid w:val="004A0058"/>
    <w:rsid w:val="004A0718"/>
    <w:rsid w:val="004A07FB"/>
    <w:rsid w:val="004A1CDB"/>
    <w:rsid w:val="004A1D96"/>
    <w:rsid w:val="004A2BA6"/>
    <w:rsid w:val="004A2D71"/>
    <w:rsid w:val="004A3212"/>
    <w:rsid w:val="004A3609"/>
    <w:rsid w:val="004A37DA"/>
    <w:rsid w:val="004A4956"/>
    <w:rsid w:val="004A7E8C"/>
    <w:rsid w:val="004B0377"/>
    <w:rsid w:val="004B03D9"/>
    <w:rsid w:val="004B04F6"/>
    <w:rsid w:val="004B1D4B"/>
    <w:rsid w:val="004B1F53"/>
    <w:rsid w:val="004B36EC"/>
    <w:rsid w:val="004B3AB7"/>
    <w:rsid w:val="004B44A3"/>
    <w:rsid w:val="004B4B97"/>
    <w:rsid w:val="004B599F"/>
    <w:rsid w:val="004B6628"/>
    <w:rsid w:val="004B6B08"/>
    <w:rsid w:val="004B6D22"/>
    <w:rsid w:val="004B7015"/>
    <w:rsid w:val="004B707A"/>
    <w:rsid w:val="004B710C"/>
    <w:rsid w:val="004B7448"/>
    <w:rsid w:val="004B7B74"/>
    <w:rsid w:val="004B7E7A"/>
    <w:rsid w:val="004C0D10"/>
    <w:rsid w:val="004C15E0"/>
    <w:rsid w:val="004C1A8D"/>
    <w:rsid w:val="004C1F4E"/>
    <w:rsid w:val="004C2437"/>
    <w:rsid w:val="004C31A6"/>
    <w:rsid w:val="004C4253"/>
    <w:rsid w:val="004C46F0"/>
    <w:rsid w:val="004C4C19"/>
    <w:rsid w:val="004C521A"/>
    <w:rsid w:val="004C55D1"/>
    <w:rsid w:val="004C57DF"/>
    <w:rsid w:val="004C5A7B"/>
    <w:rsid w:val="004C5B3C"/>
    <w:rsid w:val="004C5CFF"/>
    <w:rsid w:val="004C64F1"/>
    <w:rsid w:val="004C6D4A"/>
    <w:rsid w:val="004C72EB"/>
    <w:rsid w:val="004C7C5D"/>
    <w:rsid w:val="004D06A0"/>
    <w:rsid w:val="004D0F84"/>
    <w:rsid w:val="004D12E1"/>
    <w:rsid w:val="004D1A46"/>
    <w:rsid w:val="004D1E73"/>
    <w:rsid w:val="004D22B2"/>
    <w:rsid w:val="004D25A1"/>
    <w:rsid w:val="004D29C5"/>
    <w:rsid w:val="004D2A27"/>
    <w:rsid w:val="004D2E17"/>
    <w:rsid w:val="004D3150"/>
    <w:rsid w:val="004D3882"/>
    <w:rsid w:val="004D3CEA"/>
    <w:rsid w:val="004D3F94"/>
    <w:rsid w:val="004D4408"/>
    <w:rsid w:val="004D599D"/>
    <w:rsid w:val="004D61CB"/>
    <w:rsid w:val="004D682B"/>
    <w:rsid w:val="004D6AF5"/>
    <w:rsid w:val="004D6CBA"/>
    <w:rsid w:val="004D6E8C"/>
    <w:rsid w:val="004D7080"/>
    <w:rsid w:val="004D710E"/>
    <w:rsid w:val="004E01E6"/>
    <w:rsid w:val="004E0EB9"/>
    <w:rsid w:val="004E17AC"/>
    <w:rsid w:val="004E1E7B"/>
    <w:rsid w:val="004E2635"/>
    <w:rsid w:val="004E35C1"/>
    <w:rsid w:val="004E37F6"/>
    <w:rsid w:val="004E3922"/>
    <w:rsid w:val="004E3A3C"/>
    <w:rsid w:val="004E404D"/>
    <w:rsid w:val="004E40B1"/>
    <w:rsid w:val="004E42AA"/>
    <w:rsid w:val="004E43E9"/>
    <w:rsid w:val="004E5DCA"/>
    <w:rsid w:val="004E61B1"/>
    <w:rsid w:val="004E657F"/>
    <w:rsid w:val="004E6FEA"/>
    <w:rsid w:val="004F09A3"/>
    <w:rsid w:val="004F0AC3"/>
    <w:rsid w:val="004F0ACB"/>
    <w:rsid w:val="004F10B3"/>
    <w:rsid w:val="004F1843"/>
    <w:rsid w:val="004F1B99"/>
    <w:rsid w:val="004F1CCC"/>
    <w:rsid w:val="004F21F7"/>
    <w:rsid w:val="004F2886"/>
    <w:rsid w:val="004F2BC2"/>
    <w:rsid w:val="004F2C4C"/>
    <w:rsid w:val="004F3435"/>
    <w:rsid w:val="004F348D"/>
    <w:rsid w:val="004F398B"/>
    <w:rsid w:val="004F39C3"/>
    <w:rsid w:val="004F40C0"/>
    <w:rsid w:val="004F456C"/>
    <w:rsid w:val="004F4870"/>
    <w:rsid w:val="004F4CDA"/>
    <w:rsid w:val="004F5262"/>
    <w:rsid w:val="004F5892"/>
    <w:rsid w:val="004F5F3D"/>
    <w:rsid w:val="004F5FA4"/>
    <w:rsid w:val="004F61A9"/>
    <w:rsid w:val="004F62BB"/>
    <w:rsid w:val="004F65E8"/>
    <w:rsid w:val="004F6D5B"/>
    <w:rsid w:val="004F70A1"/>
    <w:rsid w:val="004F72F9"/>
    <w:rsid w:val="00500DFA"/>
    <w:rsid w:val="00500F66"/>
    <w:rsid w:val="00501785"/>
    <w:rsid w:val="00501D42"/>
    <w:rsid w:val="0050245A"/>
    <w:rsid w:val="00502739"/>
    <w:rsid w:val="00502C75"/>
    <w:rsid w:val="0050308E"/>
    <w:rsid w:val="00503446"/>
    <w:rsid w:val="00503846"/>
    <w:rsid w:val="0050394A"/>
    <w:rsid w:val="005039C3"/>
    <w:rsid w:val="00504158"/>
    <w:rsid w:val="005041EB"/>
    <w:rsid w:val="00505049"/>
    <w:rsid w:val="00506C67"/>
    <w:rsid w:val="00506D17"/>
    <w:rsid w:val="00506FA4"/>
    <w:rsid w:val="005077F9"/>
    <w:rsid w:val="00507D88"/>
    <w:rsid w:val="00507FDB"/>
    <w:rsid w:val="0051053D"/>
    <w:rsid w:val="0051160C"/>
    <w:rsid w:val="005116C8"/>
    <w:rsid w:val="005117DA"/>
    <w:rsid w:val="0051194D"/>
    <w:rsid w:val="0051215F"/>
    <w:rsid w:val="00512AE0"/>
    <w:rsid w:val="00512B42"/>
    <w:rsid w:val="00512F3A"/>
    <w:rsid w:val="0051475C"/>
    <w:rsid w:val="00514B1B"/>
    <w:rsid w:val="0051512C"/>
    <w:rsid w:val="0051713D"/>
    <w:rsid w:val="00517663"/>
    <w:rsid w:val="00517FE9"/>
    <w:rsid w:val="00520020"/>
    <w:rsid w:val="0052032C"/>
    <w:rsid w:val="00520699"/>
    <w:rsid w:val="00520871"/>
    <w:rsid w:val="005208CC"/>
    <w:rsid w:val="005210A6"/>
    <w:rsid w:val="0052117D"/>
    <w:rsid w:val="00521310"/>
    <w:rsid w:val="00521ACC"/>
    <w:rsid w:val="00522215"/>
    <w:rsid w:val="0052278E"/>
    <w:rsid w:val="00522822"/>
    <w:rsid w:val="005238AA"/>
    <w:rsid w:val="0052452B"/>
    <w:rsid w:val="00524656"/>
    <w:rsid w:val="005249F8"/>
    <w:rsid w:val="00524B79"/>
    <w:rsid w:val="005250B2"/>
    <w:rsid w:val="00526406"/>
    <w:rsid w:val="00526432"/>
    <w:rsid w:val="005273B0"/>
    <w:rsid w:val="00527830"/>
    <w:rsid w:val="0052797A"/>
    <w:rsid w:val="00527D7D"/>
    <w:rsid w:val="00527D82"/>
    <w:rsid w:val="005302ED"/>
    <w:rsid w:val="00530763"/>
    <w:rsid w:val="0053103B"/>
    <w:rsid w:val="005312A2"/>
    <w:rsid w:val="0053141F"/>
    <w:rsid w:val="005314AD"/>
    <w:rsid w:val="00532021"/>
    <w:rsid w:val="0053252D"/>
    <w:rsid w:val="00533F26"/>
    <w:rsid w:val="00534244"/>
    <w:rsid w:val="0053432D"/>
    <w:rsid w:val="0053437E"/>
    <w:rsid w:val="0053472B"/>
    <w:rsid w:val="00534B00"/>
    <w:rsid w:val="00535088"/>
    <w:rsid w:val="005352F9"/>
    <w:rsid w:val="00535768"/>
    <w:rsid w:val="0053596B"/>
    <w:rsid w:val="0053639B"/>
    <w:rsid w:val="0053676B"/>
    <w:rsid w:val="00537257"/>
    <w:rsid w:val="005373F2"/>
    <w:rsid w:val="00537D8B"/>
    <w:rsid w:val="005400CC"/>
    <w:rsid w:val="005404E2"/>
    <w:rsid w:val="005405B9"/>
    <w:rsid w:val="00540716"/>
    <w:rsid w:val="00540DA2"/>
    <w:rsid w:val="00540DE8"/>
    <w:rsid w:val="0054101D"/>
    <w:rsid w:val="00541766"/>
    <w:rsid w:val="00541DCE"/>
    <w:rsid w:val="00541EDF"/>
    <w:rsid w:val="005420C1"/>
    <w:rsid w:val="00543EEE"/>
    <w:rsid w:val="00544265"/>
    <w:rsid w:val="00544646"/>
    <w:rsid w:val="00544A75"/>
    <w:rsid w:val="0054510B"/>
    <w:rsid w:val="0054642B"/>
    <w:rsid w:val="00546A42"/>
    <w:rsid w:val="00547612"/>
    <w:rsid w:val="00547CD6"/>
    <w:rsid w:val="0055005B"/>
    <w:rsid w:val="00550CAA"/>
    <w:rsid w:val="005513DB"/>
    <w:rsid w:val="00551871"/>
    <w:rsid w:val="005518A4"/>
    <w:rsid w:val="00552420"/>
    <w:rsid w:val="00552604"/>
    <w:rsid w:val="0055286F"/>
    <w:rsid w:val="005539B6"/>
    <w:rsid w:val="0055410F"/>
    <w:rsid w:val="00554300"/>
    <w:rsid w:val="005552F9"/>
    <w:rsid w:val="00555309"/>
    <w:rsid w:val="0055534C"/>
    <w:rsid w:val="005553F6"/>
    <w:rsid w:val="0055605C"/>
    <w:rsid w:val="0055614D"/>
    <w:rsid w:val="005561DF"/>
    <w:rsid w:val="00556425"/>
    <w:rsid w:val="005573B9"/>
    <w:rsid w:val="0055747C"/>
    <w:rsid w:val="00557E79"/>
    <w:rsid w:val="00560C43"/>
    <w:rsid w:val="005612D4"/>
    <w:rsid w:val="00561333"/>
    <w:rsid w:val="005613F0"/>
    <w:rsid w:val="005614C1"/>
    <w:rsid w:val="005616E4"/>
    <w:rsid w:val="005618DC"/>
    <w:rsid w:val="00561935"/>
    <w:rsid w:val="005625D5"/>
    <w:rsid w:val="00562B02"/>
    <w:rsid w:val="00562FBA"/>
    <w:rsid w:val="00563A75"/>
    <w:rsid w:val="00564075"/>
    <w:rsid w:val="00564C40"/>
    <w:rsid w:val="00564E91"/>
    <w:rsid w:val="00565009"/>
    <w:rsid w:val="005651DF"/>
    <w:rsid w:val="005659D3"/>
    <w:rsid w:val="00565A7B"/>
    <w:rsid w:val="0056666D"/>
    <w:rsid w:val="00566F65"/>
    <w:rsid w:val="00567DD4"/>
    <w:rsid w:val="00567FE6"/>
    <w:rsid w:val="00570DAC"/>
    <w:rsid w:val="0057254D"/>
    <w:rsid w:val="0057274C"/>
    <w:rsid w:val="00572A26"/>
    <w:rsid w:val="00572A3F"/>
    <w:rsid w:val="0057369E"/>
    <w:rsid w:val="00573723"/>
    <w:rsid w:val="00573894"/>
    <w:rsid w:val="00573BAC"/>
    <w:rsid w:val="005741BA"/>
    <w:rsid w:val="00574557"/>
    <w:rsid w:val="00574CBF"/>
    <w:rsid w:val="00575038"/>
    <w:rsid w:val="005751A1"/>
    <w:rsid w:val="005754DD"/>
    <w:rsid w:val="005755B6"/>
    <w:rsid w:val="00576051"/>
    <w:rsid w:val="0057702E"/>
    <w:rsid w:val="005773CE"/>
    <w:rsid w:val="0057754E"/>
    <w:rsid w:val="00577D13"/>
    <w:rsid w:val="00577F83"/>
    <w:rsid w:val="00580B28"/>
    <w:rsid w:val="00581629"/>
    <w:rsid w:val="00581966"/>
    <w:rsid w:val="0058216F"/>
    <w:rsid w:val="0058219A"/>
    <w:rsid w:val="00582332"/>
    <w:rsid w:val="00582810"/>
    <w:rsid w:val="00582E23"/>
    <w:rsid w:val="00583545"/>
    <w:rsid w:val="005837C5"/>
    <w:rsid w:val="00583CE8"/>
    <w:rsid w:val="005842DE"/>
    <w:rsid w:val="0058455E"/>
    <w:rsid w:val="0058518B"/>
    <w:rsid w:val="005857DE"/>
    <w:rsid w:val="005860A8"/>
    <w:rsid w:val="0058620A"/>
    <w:rsid w:val="00586A15"/>
    <w:rsid w:val="00586F4B"/>
    <w:rsid w:val="005871FE"/>
    <w:rsid w:val="005874E7"/>
    <w:rsid w:val="005875C0"/>
    <w:rsid w:val="005878C1"/>
    <w:rsid w:val="005902C8"/>
    <w:rsid w:val="005904E8"/>
    <w:rsid w:val="0059059B"/>
    <w:rsid w:val="00591BB4"/>
    <w:rsid w:val="0059207F"/>
    <w:rsid w:val="005920B0"/>
    <w:rsid w:val="0059219E"/>
    <w:rsid w:val="0059268E"/>
    <w:rsid w:val="00592A70"/>
    <w:rsid w:val="00592DFA"/>
    <w:rsid w:val="00593192"/>
    <w:rsid w:val="0059323D"/>
    <w:rsid w:val="00593814"/>
    <w:rsid w:val="005938C3"/>
    <w:rsid w:val="005938F4"/>
    <w:rsid w:val="00593C79"/>
    <w:rsid w:val="00594553"/>
    <w:rsid w:val="00594566"/>
    <w:rsid w:val="005958C3"/>
    <w:rsid w:val="00595921"/>
    <w:rsid w:val="0059602C"/>
    <w:rsid w:val="00596ADE"/>
    <w:rsid w:val="00596C61"/>
    <w:rsid w:val="00596F10"/>
    <w:rsid w:val="00596FAE"/>
    <w:rsid w:val="00596FF5"/>
    <w:rsid w:val="00597E3B"/>
    <w:rsid w:val="005A04A7"/>
    <w:rsid w:val="005A0A52"/>
    <w:rsid w:val="005A0D06"/>
    <w:rsid w:val="005A0E9F"/>
    <w:rsid w:val="005A1D70"/>
    <w:rsid w:val="005A1F10"/>
    <w:rsid w:val="005A2256"/>
    <w:rsid w:val="005A22B1"/>
    <w:rsid w:val="005A32A2"/>
    <w:rsid w:val="005A3380"/>
    <w:rsid w:val="005A3B2A"/>
    <w:rsid w:val="005A3C58"/>
    <w:rsid w:val="005A40CE"/>
    <w:rsid w:val="005A41F1"/>
    <w:rsid w:val="005A46BC"/>
    <w:rsid w:val="005A49D2"/>
    <w:rsid w:val="005A49F3"/>
    <w:rsid w:val="005A4F76"/>
    <w:rsid w:val="005A5127"/>
    <w:rsid w:val="005A55E9"/>
    <w:rsid w:val="005A5B16"/>
    <w:rsid w:val="005A6468"/>
    <w:rsid w:val="005A6A5D"/>
    <w:rsid w:val="005A6C5D"/>
    <w:rsid w:val="005A6EEB"/>
    <w:rsid w:val="005A77BC"/>
    <w:rsid w:val="005A7F1F"/>
    <w:rsid w:val="005B0030"/>
    <w:rsid w:val="005B134A"/>
    <w:rsid w:val="005B2958"/>
    <w:rsid w:val="005B2D47"/>
    <w:rsid w:val="005B30B4"/>
    <w:rsid w:val="005B4202"/>
    <w:rsid w:val="005B42AA"/>
    <w:rsid w:val="005B507F"/>
    <w:rsid w:val="005B50C7"/>
    <w:rsid w:val="005B55AB"/>
    <w:rsid w:val="005B5C8F"/>
    <w:rsid w:val="005B63E7"/>
    <w:rsid w:val="005B67C5"/>
    <w:rsid w:val="005B6BCA"/>
    <w:rsid w:val="005B6EC6"/>
    <w:rsid w:val="005B6F95"/>
    <w:rsid w:val="005B70CD"/>
    <w:rsid w:val="005B74DF"/>
    <w:rsid w:val="005B7DA2"/>
    <w:rsid w:val="005B7DB8"/>
    <w:rsid w:val="005C0F2F"/>
    <w:rsid w:val="005C1B59"/>
    <w:rsid w:val="005C2571"/>
    <w:rsid w:val="005C326E"/>
    <w:rsid w:val="005C332C"/>
    <w:rsid w:val="005C39C9"/>
    <w:rsid w:val="005C3BEA"/>
    <w:rsid w:val="005C43A2"/>
    <w:rsid w:val="005C44AD"/>
    <w:rsid w:val="005C47F8"/>
    <w:rsid w:val="005C4D30"/>
    <w:rsid w:val="005C5D3B"/>
    <w:rsid w:val="005C5D50"/>
    <w:rsid w:val="005C5F86"/>
    <w:rsid w:val="005C60A1"/>
    <w:rsid w:val="005C662E"/>
    <w:rsid w:val="005C693B"/>
    <w:rsid w:val="005C6D3A"/>
    <w:rsid w:val="005C6D9E"/>
    <w:rsid w:val="005C7097"/>
    <w:rsid w:val="005C7B7A"/>
    <w:rsid w:val="005D0573"/>
    <w:rsid w:val="005D0BAA"/>
    <w:rsid w:val="005D0CE8"/>
    <w:rsid w:val="005D2778"/>
    <w:rsid w:val="005D2BBB"/>
    <w:rsid w:val="005D3175"/>
    <w:rsid w:val="005D3B09"/>
    <w:rsid w:val="005D3B94"/>
    <w:rsid w:val="005D3BDC"/>
    <w:rsid w:val="005D4D48"/>
    <w:rsid w:val="005D535B"/>
    <w:rsid w:val="005D542C"/>
    <w:rsid w:val="005D575A"/>
    <w:rsid w:val="005D59C9"/>
    <w:rsid w:val="005D5A7E"/>
    <w:rsid w:val="005D617C"/>
    <w:rsid w:val="005D6BB7"/>
    <w:rsid w:val="005D6F29"/>
    <w:rsid w:val="005D72FC"/>
    <w:rsid w:val="005D7CDF"/>
    <w:rsid w:val="005E01F0"/>
    <w:rsid w:val="005E01FD"/>
    <w:rsid w:val="005E0434"/>
    <w:rsid w:val="005E070C"/>
    <w:rsid w:val="005E13FE"/>
    <w:rsid w:val="005E1525"/>
    <w:rsid w:val="005E1CA9"/>
    <w:rsid w:val="005E1D14"/>
    <w:rsid w:val="005E1E4D"/>
    <w:rsid w:val="005E20F5"/>
    <w:rsid w:val="005E291A"/>
    <w:rsid w:val="005E2A2D"/>
    <w:rsid w:val="005E2B10"/>
    <w:rsid w:val="005E31F9"/>
    <w:rsid w:val="005E3FF7"/>
    <w:rsid w:val="005E409F"/>
    <w:rsid w:val="005E43AD"/>
    <w:rsid w:val="005E460C"/>
    <w:rsid w:val="005E46F3"/>
    <w:rsid w:val="005E49B7"/>
    <w:rsid w:val="005E4E76"/>
    <w:rsid w:val="005E538C"/>
    <w:rsid w:val="005E55A1"/>
    <w:rsid w:val="005E5C15"/>
    <w:rsid w:val="005E5D92"/>
    <w:rsid w:val="005E5E94"/>
    <w:rsid w:val="005E6AF5"/>
    <w:rsid w:val="005E6E6D"/>
    <w:rsid w:val="005E7B23"/>
    <w:rsid w:val="005E7C4A"/>
    <w:rsid w:val="005F026F"/>
    <w:rsid w:val="005F06C5"/>
    <w:rsid w:val="005F07A6"/>
    <w:rsid w:val="005F0D6E"/>
    <w:rsid w:val="005F0F60"/>
    <w:rsid w:val="005F1069"/>
    <w:rsid w:val="005F1B46"/>
    <w:rsid w:val="005F1CED"/>
    <w:rsid w:val="005F2184"/>
    <w:rsid w:val="005F227B"/>
    <w:rsid w:val="005F3366"/>
    <w:rsid w:val="005F36F2"/>
    <w:rsid w:val="005F3984"/>
    <w:rsid w:val="005F4016"/>
    <w:rsid w:val="005F40CC"/>
    <w:rsid w:val="005F40DE"/>
    <w:rsid w:val="005F42D1"/>
    <w:rsid w:val="005F486B"/>
    <w:rsid w:val="005F4B54"/>
    <w:rsid w:val="005F4EF7"/>
    <w:rsid w:val="005F5380"/>
    <w:rsid w:val="005F5472"/>
    <w:rsid w:val="005F5C28"/>
    <w:rsid w:val="005F6285"/>
    <w:rsid w:val="005F6467"/>
    <w:rsid w:val="005F71FE"/>
    <w:rsid w:val="005F7673"/>
    <w:rsid w:val="005F7763"/>
    <w:rsid w:val="005F7A00"/>
    <w:rsid w:val="005F7B02"/>
    <w:rsid w:val="0060032F"/>
    <w:rsid w:val="00600547"/>
    <w:rsid w:val="0060090A"/>
    <w:rsid w:val="00600BDB"/>
    <w:rsid w:val="00600C95"/>
    <w:rsid w:val="00601CE5"/>
    <w:rsid w:val="00601D85"/>
    <w:rsid w:val="00602B11"/>
    <w:rsid w:val="00602D53"/>
    <w:rsid w:val="006033AD"/>
    <w:rsid w:val="006039EB"/>
    <w:rsid w:val="00603C1E"/>
    <w:rsid w:val="00603D5F"/>
    <w:rsid w:val="00603FCB"/>
    <w:rsid w:val="006041B0"/>
    <w:rsid w:val="006042A2"/>
    <w:rsid w:val="00604561"/>
    <w:rsid w:val="006045E1"/>
    <w:rsid w:val="00604767"/>
    <w:rsid w:val="0060539E"/>
    <w:rsid w:val="00605607"/>
    <w:rsid w:val="00605E6D"/>
    <w:rsid w:val="006072A8"/>
    <w:rsid w:val="00607556"/>
    <w:rsid w:val="0060769A"/>
    <w:rsid w:val="00607C38"/>
    <w:rsid w:val="0061124A"/>
    <w:rsid w:val="00611251"/>
    <w:rsid w:val="00611325"/>
    <w:rsid w:val="00611663"/>
    <w:rsid w:val="00611D14"/>
    <w:rsid w:val="00611F97"/>
    <w:rsid w:val="00611FC9"/>
    <w:rsid w:val="0061222D"/>
    <w:rsid w:val="00612297"/>
    <w:rsid w:val="006126E3"/>
    <w:rsid w:val="00613B90"/>
    <w:rsid w:val="00614244"/>
    <w:rsid w:val="006142AD"/>
    <w:rsid w:val="0061509B"/>
    <w:rsid w:val="0061549A"/>
    <w:rsid w:val="0061645B"/>
    <w:rsid w:val="006174FB"/>
    <w:rsid w:val="00617930"/>
    <w:rsid w:val="00617B64"/>
    <w:rsid w:val="0062005C"/>
    <w:rsid w:val="00620586"/>
    <w:rsid w:val="00620D72"/>
    <w:rsid w:val="0062133B"/>
    <w:rsid w:val="00621A43"/>
    <w:rsid w:val="00621D5C"/>
    <w:rsid w:val="00622024"/>
    <w:rsid w:val="00622E63"/>
    <w:rsid w:val="0062358A"/>
    <w:rsid w:val="006238A3"/>
    <w:rsid w:val="006242ED"/>
    <w:rsid w:val="00624E0E"/>
    <w:rsid w:val="006251A9"/>
    <w:rsid w:val="00625895"/>
    <w:rsid w:val="00625A0A"/>
    <w:rsid w:val="00625B80"/>
    <w:rsid w:val="00625C2E"/>
    <w:rsid w:val="00625DA0"/>
    <w:rsid w:val="00625F7B"/>
    <w:rsid w:val="006260B0"/>
    <w:rsid w:val="00626624"/>
    <w:rsid w:val="00627724"/>
    <w:rsid w:val="00627870"/>
    <w:rsid w:val="00627DE0"/>
    <w:rsid w:val="00627F2B"/>
    <w:rsid w:val="006303AF"/>
    <w:rsid w:val="00630F90"/>
    <w:rsid w:val="00631D4B"/>
    <w:rsid w:val="006325D3"/>
    <w:rsid w:val="00632D25"/>
    <w:rsid w:val="006332BC"/>
    <w:rsid w:val="00633382"/>
    <w:rsid w:val="00633651"/>
    <w:rsid w:val="00633739"/>
    <w:rsid w:val="00633CE0"/>
    <w:rsid w:val="00633ED3"/>
    <w:rsid w:val="00635190"/>
    <w:rsid w:val="0063594D"/>
    <w:rsid w:val="00636209"/>
    <w:rsid w:val="00636515"/>
    <w:rsid w:val="006365DE"/>
    <w:rsid w:val="0063692E"/>
    <w:rsid w:val="00636CAA"/>
    <w:rsid w:val="00636FD0"/>
    <w:rsid w:val="0063739E"/>
    <w:rsid w:val="00637C2D"/>
    <w:rsid w:val="006405E6"/>
    <w:rsid w:val="0064066D"/>
    <w:rsid w:val="00640DF0"/>
    <w:rsid w:val="00641693"/>
    <w:rsid w:val="00641E5B"/>
    <w:rsid w:val="00642BB2"/>
    <w:rsid w:val="00642F84"/>
    <w:rsid w:val="006432C3"/>
    <w:rsid w:val="0064366E"/>
    <w:rsid w:val="00643AA7"/>
    <w:rsid w:val="00643B9C"/>
    <w:rsid w:val="00643E4B"/>
    <w:rsid w:val="00644170"/>
    <w:rsid w:val="0064486F"/>
    <w:rsid w:val="00644B1D"/>
    <w:rsid w:val="00645092"/>
    <w:rsid w:val="00645B61"/>
    <w:rsid w:val="00645FC1"/>
    <w:rsid w:val="00646458"/>
    <w:rsid w:val="006464A3"/>
    <w:rsid w:val="006464AE"/>
    <w:rsid w:val="00646B4E"/>
    <w:rsid w:val="00647B51"/>
    <w:rsid w:val="006502F8"/>
    <w:rsid w:val="006510C8"/>
    <w:rsid w:val="006519D1"/>
    <w:rsid w:val="00651E19"/>
    <w:rsid w:val="00652BC3"/>
    <w:rsid w:val="00653143"/>
    <w:rsid w:val="00653BC7"/>
    <w:rsid w:val="00653C20"/>
    <w:rsid w:val="0065406A"/>
    <w:rsid w:val="006545E5"/>
    <w:rsid w:val="006548FB"/>
    <w:rsid w:val="0065558D"/>
    <w:rsid w:val="006557E2"/>
    <w:rsid w:val="00655894"/>
    <w:rsid w:val="006561AD"/>
    <w:rsid w:val="00657BCC"/>
    <w:rsid w:val="006611A4"/>
    <w:rsid w:val="006614CF"/>
    <w:rsid w:val="00661752"/>
    <w:rsid w:val="006619F5"/>
    <w:rsid w:val="00661EF9"/>
    <w:rsid w:val="00662608"/>
    <w:rsid w:val="00663208"/>
    <w:rsid w:val="0066330F"/>
    <w:rsid w:val="00663796"/>
    <w:rsid w:val="00664E3A"/>
    <w:rsid w:val="0066524E"/>
    <w:rsid w:val="006656D9"/>
    <w:rsid w:val="00665ACC"/>
    <w:rsid w:val="00666212"/>
    <w:rsid w:val="00666214"/>
    <w:rsid w:val="00666766"/>
    <w:rsid w:val="00666799"/>
    <w:rsid w:val="00666E7D"/>
    <w:rsid w:val="006675CB"/>
    <w:rsid w:val="00667A5C"/>
    <w:rsid w:val="00667B2B"/>
    <w:rsid w:val="006706D9"/>
    <w:rsid w:val="00670D74"/>
    <w:rsid w:val="006721BC"/>
    <w:rsid w:val="00672225"/>
    <w:rsid w:val="006726F8"/>
    <w:rsid w:val="006730B0"/>
    <w:rsid w:val="00673813"/>
    <w:rsid w:val="006740DC"/>
    <w:rsid w:val="00675818"/>
    <w:rsid w:val="00675D9D"/>
    <w:rsid w:val="00676A9E"/>
    <w:rsid w:val="00676EAE"/>
    <w:rsid w:val="006770B1"/>
    <w:rsid w:val="006773CB"/>
    <w:rsid w:val="006779EA"/>
    <w:rsid w:val="00677ECA"/>
    <w:rsid w:val="00680145"/>
    <w:rsid w:val="00681CE9"/>
    <w:rsid w:val="00681EA5"/>
    <w:rsid w:val="00681FF7"/>
    <w:rsid w:val="006827C1"/>
    <w:rsid w:val="006831BD"/>
    <w:rsid w:val="006833DF"/>
    <w:rsid w:val="00684073"/>
    <w:rsid w:val="00684321"/>
    <w:rsid w:val="00684AE4"/>
    <w:rsid w:val="00684C42"/>
    <w:rsid w:val="0068527D"/>
    <w:rsid w:val="0068567F"/>
    <w:rsid w:val="006867A3"/>
    <w:rsid w:val="00686E78"/>
    <w:rsid w:val="006879B9"/>
    <w:rsid w:val="00687B0E"/>
    <w:rsid w:val="00690A53"/>
    <w:rsid w:val="0069162E"/>
    <w:rsid w:val="00691B65"/>
    <w:rsid w:val="00692555"/>
    <w:rsid w:val="00692562"/>
    <w:rsid w:val="006925D8"/>
    <w:rsid w:val="0069278A"/>
    <w:rsid w:val="00692FBE"/>
    <w:rsid w:val="00693B73"/>
    <w:rsid w:val="00693BDA"/>
    <w:rsid w:val="006945F3"/>
    <w:rsid w:val="00694B66"/>
    <w:rsid w:val="00694F05"/>
    <w:rsid w:val="00695394"/>
    <w:rsid w:val="006957C5"/>
    <w:rsid w:val="00695895"/>
    <w:rsid w:val="006960BA"/>
    <w:rsid w:val="00696A1F"/>
    <w:rsid w:val="00696BCA"/>
    <w:rsid w:val="00697322"/>
    <w:rsid w:val="0069764B"/>
    <w:rsid w:val="00697CA6"/>
    <w:rsid w:val="006A0200"/>
    <w:rsid w:val="006A061C"/>
    <w:rsid w:val="006A0BB2"/>
    <w:rsid w:val="006A0CB3"/>
    <w:rsid w:val="006A1040"/>
    <w:rsid w:val="006A137E"/>
    <w:rsid w:val="006A188E"/>
    <w:rsid w:val="006A1D10"/>
    <w:rsid w:val="006A2474"/>
    <w:rsid w:val="006A260B"/>
    <w:rsid w:val="006A2772"/>
    <w:rsid w:val="006A2D2A"/>
    <w:rsid w:val="006A2EB6"/>
    <w:rsid w:val="006A301E"/>
    <w:rsid w:val="006A3DE0"/>
    <w:rsid w:val="006A3F76"/>
    <w:rsid w:val="006A440F"/>
    <w:rsid w:val="006A4445"/>
    <w:rsid w:val="006A44AE"/>
    <w:rsid w:val="006A4593"/>
    <w:rsid w:val="006A4BCB"/>
    <w:rsid w:val="006A51DF"/>
    <w:rsid w:val="006A54E6"/>
    <w:rsid w:val="006A597D"/>
    <w:rsid w:val="006A6B44"/>
    <w:rsid w:val="006A6BD8"/>
    <w:rsid w:val="006A6ECF"/>
    <w:rsid w:val="006A7044"/>
    <w:rsid w:val="006A795E"/>
    <w:rsid w:val="006A7B1C"/>
    <w:rsid w:val="006A7D99"/>
    <w:rsid w:val="006B02BB"/>
    <w:rsid w:val="006B07A2"/>
    <w:rsid w:val="006B0F73"/>
    <w:rsid w:val="006B10EE"/>
    <w:rsid w:val="006B167E"/>
    <w:rsid w:val="006B1B7B"/>
    <w:rsid w:val="006B22A0"/>
    <w:rsid w:val="006B22A8"/>
    <w:rsid w:val="006B231F"/>
    <w:rsid w:val="006B40EA"/>
    <w:rsid w:val="006B4853"/>
    <w:rsid w:val="006B5EB7"/>
    <w:rsid w:val="006B6C94"/>
    <w:rsid w:val="006B7183"/>
    <w:rsid w:val="006C0C7C"/>
    <w:rsid w:val="006C0DD6"/>
    <w:rsid w:val="006C15BB"/>
    <w:rsid w:val="006C25C4"/>
    <w:rsid w:val="006C27AF"/>
    <w:rsid w:val="006C2802"/>
    <w:rsid w:val="006C2BF8"/>
    <w:rsid w:val="006C2DAB"/>
    <w:rsid w:val="006C2DEA"/>
    <w:rsid w:val="006C2FBC"/>
    <w:rsid w:val="006C3184"/>
    <w:rsid w:val="006C4197"/>
    <w:rsid w:val="006C5193"/>
    <w:rsid w:val="006C52DD"/>
    <w:rsid w:val="006C5AFF"/>
    <w:rsid w:val="006C5E76"/>
    <w:rsid w:val="006C6048"/>
    <w:rsid w:val="006C6763"/>
    <w:rsid w:val="006C6CB7"/>
    <w:rsid w:val="006C79F5"/>
    <w:rsid w:val="006C7A5D"/>
    <w:rsid w:val="006C7CDC"/>
    <w:rsid w:val="006D00EC"/>
    <w:rsid w:val="006D0EE0"/>
    <w:rsid w:val="006D1163"/>
    <w:rsid w:val="006D209C"/>
    <w:rsid w:val="006D21C1"/>
    <w:rsid w:val="006D29A8"/>
    <w:rsid w:val="006D2BC2"/>
    <w:rsid w:val="006D2DB2"/>
    <w:rsid w:val="006D2E1B"/>
    <w:rsid w:val="006D3E9C"/>
    <w:rsid w:val="006D4296"/>
    <w:rsid w:val="006D42CB"/>
    <w:rsid w:val="006D4400"/>
    <w:rsid w:val="006D466B"/>
    <w:rsid w:val="006D502D"/>
    <w:rsid w:val="006D5418"/>
    <w:rsid w:val="006D622D"/>
    <w:rsid w:val="006D6304"/>
    <w:rsid w:val="006D658A"/>
    <w:rsid w:val="006D66AE"/>
    <w:rsid w:val="006D69C7"/>
    <w:rsid w:val="006D69F9"/>
    <w:rsid w:val="006D6BD3"/>
    <w:rsid w:val="006D771F"/>
    <w:rsid w:val="006D7E7D"/>
    <w:rsid w:val="006E0376"/>
    <w:rsid w:val="006E072D"/>
    <w:rsid w:val="006E0F28"/>
    <w:rsid w:val="006E1A95"/>
    <w:rsid w:val="006E1E9E"/>
    <w:rsid w:val="006E2545"/>
    <w:rsid w:val="006E2649"/>
    <w:rsid w:val="006E2AB0"/>
    <w:rsid w:val="006E32E0"/>
    <w:rsid w:val="006E3513"/>
    <w:rsid w:val="006E356F"/>
    <w:rsid w:val="006E3803"/>
    <w:rsid w:val="006E3864"/>
    <w:rsid w:val="006E3B19"/>
    <w:rsid w:val="006E3CE7"/>
    <w:rsid w:val="006E4324"/>
    <w:rsid w:val="006E499A"/>
    <w:rsid w:val="006E59EF"/>
    <w:rsid w:val="006E60E6"/>
    <w:rsid w:val="006E6701"/>
    <w:rsid w:val="006E7E90"/>
    <w:rsid w:val="006F064C"/>
    <w:rsid w:val="006F0FCC"/>
    <w:rsid w:val="006F146F"/>
    <w:rsid w:val="006F151E"/>
    <w:rsid w:val="006F1973"/>
    <w:rsid w:val="006F22E0"/>
    <w:rsid w:val="006F23F3"/>
    <w:rsid w:val="006F2640"/>
    <w:rsid w:val="006F3373"/>
    <w:rsid w:val="006F389A"/>
    <w:rsid w:val="006F42E4"/>
    <w:rsid w:val="006F4521"/>
    <w:rsid w:val="006F491D"/>
    <w:rsid w:val="006F4FC7"/>
    <w:rsid w:val="006F5559"/>
    <w:rsid w:val="006F63D0"/>
    <w:rsid w:val="006F64B5"/>
    <w:rsid w:val="006F695E"/>
    <w:rsid w:val="006F6C7E"/>
    <w:rsid w:val="006F7DA4"/>
    <w:rsid w:val="007004CA"/>
    <w:rsid w:val="00700979"/>
    <w:rsid w:val="00701449"/>
    <w:rsid w:val="007014A8"/>
    <w:rsid w:val="00701682"/>
    <w:rsid w:val="00701780"/>
    <w:rsid w:val="00701C5D"/>
    <w:rsid w:val="0070207D"/>
    <w:rsid w:val="007020B2"/>
    <w:rsid w:val="0070242B"/>
    <w:rsid w:val="007028FA"/>
    <w:rsid w:val="00702B01"/>
    <w:rsid w:val="00702D5A"/>
    <w:rsid w:val="007032F2"/>
    <w:rsid w:val="00703559"/>
    <w:rsid w:val="007035DD"/>
    <w:rsid w:val="007039E5"/>
    <w:rsid w:val="00703C25"/>
    <w:rsid w:val="00703C50"/>
    <w:rsid w:val="00704B8B"/>
    <w:rsid w:val="00704B91"/>
    <w:rsid w:val="00704D4A"/>
    <w:rsid w:val="00705965"/>
    <w:rsid w:val="00705E04"/>
    <w:rsid w:val="007064D8"/>
    <w:rsid w:val="00706652"/>
    <w:rsid w:val="00706695"/>
    <w:rsid w:val="007070EE"/>
    <w:rsid w:val="007072B2"/>
    <w:rsid w:val="00707AE0"/>
    <w:rsid w:val="00707FCF"/>
    <w:rsid w:val="00710466"/>
    <w:rsid w:val="007105BA"/>
    <w:rsid w:val="00710D1E"/>
    <w:rsid w:val="00710E79"/>
    <w:rsid w:val="00710E82"/>
    <w:rsid w:val="00711021"/>
    <w:rsid w:val="0071272E"/>
    <w:rsid w:val="00712C5F"/>
    <w:rsid w:val="00713012"/>
    <w:rsid w:val="007139E6"/>
    <w:rsid w:val="00713FDC"/>
    <w:rsid w:val="00714132"/>
    <w:rsid w:val="007144D1"/>
    <w:rsid w:val="00714609"/>
    <w:rsid w:val="00714A9A"/>
    <w:rsid w:val="0071560F"/>
    <w:rsid w:val="00716443"/>
    <w:rsid w:val="007165DB"/>
    <w:rsid w:val="00720274"/>
    <w:rsid w:val="0072059D"/>
    <w:rsid w:val="00720817"/>
    <w:rsid w:val="00720998"/>
    <w:rsid w:val="00720BB9"/>
    <w:rsid w:val="00720EAD"/>
    <w:rsid w:val="007213D1"/>
    <w:rsid w:val="00721582"/>
    <w:rsid w:val="0072178C"/>
    <w:rsid w:val="0072297B"/>
    <w:rsid w:val="00722AE4"/>
    <w:rsid w:val="00722B98"/>
    <w:rsid w:val="0072304E"/>
    <w:rsid w:val="00723073"/>
    <w:rsid w:val="00724275"/>
    <w:rsid w:val="00724837"/>
    <w:rsid w:val="00724C41"/>
    <w:rsid w:val="00724D9B"/>
    <w:rsid w:val="00726AAF"/>
    <w:rsid w:val="00726C4A"/>
    <w:rsid w:val="00726C63"/>
    <w:rsid w:val="0072720A"/>
    <w:rsid w:val="00730099"/>
    <w:rsid w:val="00730175"/>
    <w:rsid w:val="007303BC"/>
    <w:rsid w:val="0073091B"/>
    <w:rsid w:val="00730D68"/>
    <w:rsid w:val="00730F0C"/>
    <w:rsid w:val="00730F80"/>
    <w:rsid w:val="00731747"/>
    <w:rsid w:val="00731F26"/>
    <w:rsid w:val="00733540"/>
    <w:rsid w:val="00734023"/>
    <w:rsid w:val="0073461B"/>
    <w:rsid w:val="00734B45"/>
    <w:rsid w:val="007351B7"/>
    <w:rsid w:val="00735616"/>
    <w:rsid w:val="00735684"/>
    <w:rsid w:val="00736554"/>
    <w:rsid w:val="00736568"/>
    <w:rsid w:val="0073684D"/>
    <w:rsid w:val="00736A38"/>
    <w:rsid w:val="0073707F"/>
    <w:rsid w:val="007376C0"/>
    <w:rsid w:val="00737778"/>
    <w:rsid w:val="00737E3E"/>
    <w:rsid w:val="00737F39"/>
    <w:rsid w:val="00740486"/>
    <w:rsid w:val="0074115F"/>
    <w:rsid w:val="007418CA"/>
    <w:rsid w:val="00741B96"/>
    <w:rsid w:val="0074209F"/>
    <w:rsid w:val="007424B9"/>
    <w:rsid w:val="007424E2"/>
    <w:rsid w:val="00742DD4"/>
    <w:rsid w:val="0074332A"/>
    <w:rsid w:val="00743490"/>
    <w:rsid w:val="00743A47"/>
    <w:rsid w:val="00743DA0"/>
    <w:rsid w:val="00743E25"/>
    <w:rsid w:val="0074440B"/>
    <w:rsid w:val="00744CC2"/>
    <w:rsid w:val="007450E5"/>
    <w:rsid w:val="0074542D"/>
    <w:rsid w:val="00745B3C"/>
    <w:rsid w:val="00746BDF"/>
    <w:rsid w:val="00746D19"/>
    <w:rsid w:val="00746D8E"/>
    <w:rsid w:val="0074708B"/>
    <w:rsid w:val="00747325"/>
    <w:rsid w:val="00747A50"/>
    <w:rsid w:val="00747F76"/>
    <w:rsid w:val="00750297"/>
    <w:rsid w:val="00750966"/>
    <w:rsid w:val="00751BBC"/>
    <w:rsid w:val="00752949"/>
    <w:rsid w:val="00752D36"/>
    <w:rsid w:val="00752D65"/>
    <w:rsid w:val="00752D98"/>
    <w:rsid w:val="00752DDE"/>
    <w:rsid w:val="0075325F"/>
    <w:rsid w:val="00753B55"/>
    <w:rsid w:val="00753C4B"/>
    <w:rsid w:val="00753D13"/>
    <w:rsid w:val="0075485B"/>
    <w:rsid w:val="00754B41"/>
    <w:rsid w:val="00754FD4"/>
    <w:rsid w:val="00755190"/>
    <w:rsid w:val="00756491"/>
    <w:rsid w:val="00757664"/>
    <w:rsid w:val="0075795A"/>
    <w:rsid w:val="00757D87"/>
    <w:rsid w:val="0076067F"/>
    <w:rsid w:val="00760D5C"/>
    <w:rsid w:val="00761289"/>
    <w:rsid w:val="007615A2"/>
    <w:rsid w:val="00761820"/>
    <w:rsid w:val="00761B9C"/>
    <w:rsid w:val="007623E1"/>
    <w:rsid w:val="00762407"/>
    <w:rsid w:val="00762655"/>
    <w:rsid w:val="00762693"/>
    <w:rsid w:val="00762D2C"/>
    <w:rsid w:val="00763705"/>
    <w:rsid w:val="007638D6"/>
    <w:rsid w:val="00764BAE"/>
    <w:rsid w:val="00764D8A"/>
    <w:rsid w:val="00765719"/>
    <w:rsid w:val="00766820"/>
    <w:rsid w:val="00767406"/>
    <w:rsid w:val="00771164"/>
    <w:rsid w:val="00771D0C"/>
    <w:rsid w:val="007722A2"/>
    <w:rsid w:val="007722E7"/>
    <w:rsid w:val="00772D16"/>
    <w:rsid w:val="007735AD"/>
    <w:rsid w:val="007738A0"/>
    <w:rsid w:val="00774404"/>
    <w:rsid w:val="00774705"/>
    <w:rsid w:val="00774BB0"/>
    <w:rsid w:val="007759C0"/>
    <w:rsid w:val="00775A68"/>
    <w:rsid w:val="00775F95"/>
    <w:rsid w:val="007761D2"/>
    <w:rsid w:val="0077632F"/>
    <w:rsid w:val="00776BB2"/>
    <w:rsid w:val="00776E3C"/>
    <w:rsid w:val="00777362"/>
    <w:rsid w:val="00777EFE"/>
    <w:rsid w:val="007803A9"/>
    <w:rsid w:val="00780536"/>
    <w:rsid w:val="00781A26"/>
    <w:rsid w:val="00781C06"/>
    <w:rsid w:val="00782422"/>
    <w:rsid w:val="007824CD"/>
    <w:rsid w:val="00782AB9"/>
    <w:rsid w:val="00782F86"/>
    <w:rsid w:val="007833CB"/>
    <w:rsid w:val="00783552"/>
    <w:rsid w:val="00783B31"/>
    <w:rsid w:val="00783E91"/>
    <w:rsid w:val="007840B1"/>
    <w:rsid w:val="0078423B"/>
    <w:rsid w:val="0078439C"/>
    <w:rsid w:val="00784D90"/>
    <w:rsid w:val="007853D3"/>
    <w:rsid w:val="00785E13"/>
    <w:rsid w:val="00785FA8"/>
    <w:rsid w:val="0078635F"/>
    <w:rsid w:val="007863E0"/>
    <w:rsid w:val="00786443"/>
    <w:rsid w:val="007868EE"/>
    <w:rsid w:val="00786987"/>
    <w:rsid w:val="007872BC"/>
    <w:rsid w:val="00787B9F"/>
    <w:rsid w:val="0079034D"/>
    <w:rsid w:val="00790720"/>
    <w:rsid w:val="00790797"/>
    <w:rsid w:val="0079141D"/>
    <w:rsid w:val="00791721"/>
    <w:rsid w:val="00791DB3"/>
    <w:rsid w:val="007921BF"/>
    <w:rsid w:val="0079354D"/>
    <w:rsid w:val="00793573"/>
    <w:rsid w:val="007939EE"/>
    <w:rsid w:val="00793D0A"/>
    <w:rsid w:val="00793EA0"/>
    <w:rsid w:val="00793F13"/>
    <w:rsid w:val="00793F94"/>
    <w:rsid w:val="0079427F"/>
    <w:rsid w:val="00794301"/>
    <w:rsid w:val="00794890"/>
    <w:rsid w:val="00794FE4"/>
    <w:rsid w:val="00795476"/>
    <w:rsid w:val="007955E7"/>
    <w:rsid w:val="00795620"/>
    <w:rsid w:val="00795973"/>
    <w:rsid w:val="00796004"/>
    <w:rsid w:val="0079625A"/>
    <w:rsid w:val="00796262"/>
    <w:rsid w:val="00796527"/>
    <w:rsid w:val="00796769"/>
    <w:rsid w:val="00796788"/>
    <w:rsid w:val="00796B39"/>
    <w:rsid w:val="007971F4"/>
    <w:rsid w:val="00797B3F"/>
    <w:rsid w:val="007A069C"/>
    <w:rsid w:val="007A0A95"/>
    <w:rsid w:val="007A0C20"/>
    <w:rsid w:val="007A0D9E"/>
    <w:rsid w:val="007A0EF2"/>
    <w:rsid w:val="007A0FEC"/>
    <w:rsid w:val="007A1D42"/>
    <w:rsid w:val="007A223C"/>
    <w:rsid w:val="007A226A"/>
    <w:rsid w:val="007A24B3"/>
    <w:rsid w:val="007A24DE"/>
    <w:rsid w:val="007A25B1"/>
    <w:rsid w:val="007A2855"/>
    <w:rsid w:val="007A2D7E"/>
    <w:rsid w:val="007A3363"/>
    <w:rsid w:val="007A3D06"/>
    <w:rsid w:val="007A4031"/>
    <w:rsid w:val="007A4053"/>
    <w:rsid w:val="007A4128"/>
    <w:rsid w:val="007A4488"/>
    <w:rsid w:val="007A553A"/>
    <w:rsid w:val="007A6A80"/>
    <w:rsid w:val="007A709E"/>
    <w:rsid w:val="007A7143"/>
    <w:rsid w:val="007A7C40"/>
    <w:rsid w:val="007B0053"/>
    <w:rsid w:val="007B0A95"/>
    <w:rsid w:val="007B0F05"/>
    <w:rsid w:val="007B10E5"/>
    <w:rsid w:val="007B117F"/>
    <w:rsid w:val="007B149F"/>
    <w:rsid w:val="007B14D8"/>
    <w:rsid w:val="007B1CA6"/>
    <w:rsid w:val="007B1CD1"/>
    <w:rsid w:val="007B1F63"/>
    <w:rsid w:val="007B2443"/>
    <w:rsid w:val="007B245B"/>
    <w:rsid w:val="007B25EC"/>
    <w:rsid w:val="007B2611"/>
    <w:rsid w:val="007B2A79"/>
    <w:rsid w:val="007B30FC"/>
    <w:rsid w:val="007B353F"/>
    <w:rsid w:val="007B35CB"/>
    <w:rsid w:val="007B3F86"/>
    <w:rsid w:val="007B41BC"/>
    <w:rsid w:val="007B44B0"/>
    <w:rsid w:val="007B4CD6"/>
    <w:rsid w:val="007B5038"/>
    <w:rsid w:val="007B528E"/>
    <w:rsid w:val="007B5385"/>
    <w:rsid w:val="007B5C4C"/>
    <w:rsid w:val="007B6EAD"/>
    <w:rsid w:val="007B742D"/>
    <w:rsid w:val="007B7F19"/>
    <w:rsid w:val="007C04E0"/>
    <w:rsid w:val="007C0B49"/>
    <w:rsid w:val="007C0C62"/>
    <w:rsid w:val="007C1755"/>
    <w:rsid w:val="007C1843"/>
    <w:rsid w:val="007C1919"/>
    <w:rsid w:val="007C19A9"/>
    <w:rsid w:val="007C1B60"/>
    <w:rsid w:val="007C1D6E"/>
    <w:rsid w:val="007C2391"/>
    <w:rsid w:val="007C341B"/>
    <w:rsid w:val="007C3900"/>
    <w:rsid w:val="007C406D"/>
    <w:rsid w:val="007C4772"/>
    <w:rsid w:val="007C49C3"/>
    <w:rsid w:val="007C4C28"/>
    <w:rsid w:val="007C4C58"/>
    <w:rsid w:val="007C4C70"/>
    <w:rsid w:val="007C4EDD"/>
    <w:rsid w:val="007C503B"/>
    <w:rsid w:val="007C52D0"/>
    <w:rsid w:val="007C547B"/>
    <w:rsid w:val="007C769E"/>
    <w:rsid w:val="007C7C82"/>
    <w:rsid w:val="007C7D09"/>
    <w:rsid w:val="007D0073"/>
    <w:rsid w:val="007D0484"/>
    <w:rsid w:val="007D05CF"/>
    <w:rsid w:val="007D0A6A"/>
    <w:rsid w:val="007D0ADC"/>
    <w:rsid w:val="007D1196"/>
    <w:rsid w:val="007D1487"/>
    <w:rsid w:val="007D19E5"/>
    <w:rsid w:val="007D1E65"/>
    <w:rsid w:val="007D2281"/>
    <w:rsid w:val="007D3112"/>
    <w:rsid w:val="007D34C4"/>
    <w:rsid w:val="007D3AA1"/>
    <w:rsid w:val="007D4740"/>
    <w:rsid w:val="007D4D18"/>
    <w:rsid w:val="007D5B74"/>
    <w:rsid w:val="007D5E8B"/>
    <w:rsid w:val="007D712A"/>
    <w:rsid w:val="007D7588"/>
    <w:rsid w:val="007D7972"/>
    <w:rsid w:val="007D7C6E"/>
    <w:rsid w:val="007D7D08"/>
    <w:rsid w:val="007E0420"/>
    <w:rsid w:val="007E08CB"/>
    <w:rsid w:val="007E0FDE"/>
    <w:rsid w:val="007E1632"/>
    <w:rsid w:val="007E1923"/>
    <w:rsid w:val="007E2151"/>
    <w:rsid w:val="007E2501"/>
    <w:rsid w:val="007E2B56"/>
    <w:rsid w:val="007E30C0"/>
    <w:rsid w:val="007E33BE"/>
    <w:rsid w:val="007E3541"/>
    <w:rsid w:val="007E3A14"/>
    <w:rsid w:val="007E4896"/>
    <w:rsid w:val="007E4FD0"/>
    <w:rsid w:val="007E5AFC"/>
    <w:rsid w:val="007E6F68"/>
    <w:rsid w:val="007E781A"/>
    <w:rsid w:val="007E7DC6"/>
    <w:rsid w:val="007F0011"/>
    <w:rsid w:val="007F0410"/>
    <w:rsid w:val="007F07C4"/>
    <w:rsid w:val="007F0B4E"/>
    <w:rsid w:val="007F1BB4"/>
    <w:rsid w:val="007F2038"/>
    <w:rsid w:val="007F2822"/>
    <w:rsid w:val="007F2D2C"/>
    <w:rsid w:val="007F2E1F"/>
    <w:rsid w:val="007F322B"/>
    <w:rsid w:val="007F3951"/>
    <w:rsid w:val="007F4494"/>
    <w:rsid w:val="007F4910"/>
    <w:rsid w:val="007F4D93"/>
    <w:rsid w:val="007F591C"/>
    <w:rsid w:val="007F5BEE"/>
    <w:rsid w:val="007F616F"/>
    <w:rsid w:val="007F6F57"/>
    <w:rsid w:val="007F72C8"/>
    <w:rsid w:val="007F7B05"/>
    <w:rsid w:val="00800753"/>
    <w:rsid w:val="00800E8A"/>
    <w:rsid w:val="008011F3"/>
    <w:rsid w:val="0080158B"/>
    <w:rsid w:val="00801692"/>
    <w:rsid w:val="00801FAA"/>
    <w:rsid w:val="00803223"/>
    <w:rsid w:val="008037B2"/>
    <w:rsid w:val="008039BA"/>
    <w:rsid w:val="00803B80"/>
    <w:rsid w:val="008040E7"/>
    <w:rsid w:val="00804504"/>
    <w:rsid w:val="00804B92"/>
    <w:rsid w:val="00804B99"/>
    <w:rsid w:val="00804E3E"/>
    <w:rsid w:val="00804EA5"/>
    <w:rsid w:val="008050B1"/>
    <w:rsid w:val="008054A2"/>
    <w:rsid w:val="00805C20"/>
    <w:rsid w:val="00805D4D"/>
    <w:rsid w:val="00805F36"/>
    <w:rsid w:val="00806741"/>
    <w:rsid w:val="00806891"/>
    <w:rsid w:val="00806C4C"/>
    <w:rsid w:val="00807356"/>
    <w:rsid w:val="008075AB"/>
    <w:rsid w:val="008076B7"/>
    <w:rsid w:val="0080779E"/>
    <w:rsid w:val="00807CF6"/>
    <w:rsid w:val="00807DD8"/>
    <w:rsid w:val="0081026B"/>
    <w:rsid w:val="00810574"/>
    <w:rsid w:val="008109CE"/>
    <w:rsid w:val="00810F87"/>
    <w:rsid w:val="0081142A"/>
    <w:rsid w:val="00811506"/>
    <w:rsid w:val="00811886"/>
    <w:rsid w:val="0081291D"/>
    <w:rsid w:val="0081347A"/>
    <w:rsid w:val="00813A4E"/>
    <w:rsid w:val="00813B42"/>
    <w:rsid w:val="00814CF3"/>
    <w:rsid w:val="0081551D"/>
    <w:rsid w:val="0081562D"/>
    <w:rsid w:val="008159FC"/>
    <w:rsid w:val="008168B7"/>
    <w:rsid w:val="00816EF9"/>
    <w:rsid w:val="00816FCB"/>
    <w:rsid w:val="00820E23"/>
    <w:rsid w:val="0082140F"/>
    <w:rsid w:val="008223B8"/>
    <w:rsid w:val="00822671"/>
    <w:rsid w:val="00822DF7"/>
    <w:rsid w:val="00822EA6"/>
    <w:rsid w:val="00822F46"/>
    <w:rsid w:val="0082364D"/>
    <w:rsid w:val="0082399C"/>
    <w:rsid w:val="00823A9E"/>
    <w:rsid w:val="0082479A"/>
    <w:rsid w:val="008247F6"/>
    <w:rsid w:val="0082515D"/>
    <w:rsid w:val="00825DF2"/>
    <w:rsid w:val="00826069"/>
    <w:rsid w:val="00827566"/>
    <w:rsid w:val="008275AF"/>
    <w:rsid w:val="00827685"/>
    <w:rsid w:val="0082789C"/>
    <w:rsid w:val="00827AB6"/>
    <w:rsid w:val="0083029A"/>
    <w:rsid w:val="0083082B"/>
    <w:rsid w:val="00830BF9"/>
    <w:rsid w:val="00831157"/>
    <w:rsid w:val="008311F0"/>
    <w:rsid w:val="008313D8"/>
    <w:rsid w:val="008314A4"/>
    <w:rsid w:val="008319CA"/>
    <w:rsid w:val="00831A6C"/>
    <w:rsid w:val="008326A2"/>
    <w:rsid w:val="00832CE1"/>
    <w:rsid w:val="00832E0A"/>
    <w:rsid w:val="00834363"/>
    <w:rsid w:val="00834698"/>
    <w:rsid w:val="008348B0"/>
    <w:rsid w:val="00835451"/>
    <w:rsid w:val="00835A9A"/>
    <w:rsid w:val="00835E5B"/>
    <w:rsid w:val="008360B9"/>
    <w:rsid w:val="0083629E"/>
    <w:rsid w:val="00836DF6"/>
    <w:rsid w:val="0083760C"/>
    <w:rsid w:val="00837B7D"/>
    <w:rsid w:val="008401C0"/>
    <w:rsid w:val="0084060A"/>
    <w:rsid w:val="00840C8F"/>
    <w:rsid w:val="00841C9C"/>
    <w:rsid w:val="00841EEB"/>
    <w:rsid w:val="008424BE"/>
    <w:rsid w:val="00842B5C"/>
    <w:rsid w:val="00842BD6"/>
    <w:rsid w:val="0084350A"/>
    <w:rsid w:val="008435F2"/>
    <w:rsid w:val="0084386A"/>
    <w:rsid w:val="008438EA"/>
    <w:rsid w:val="00843B57"/>
    <w:rsid w:val="008442FC"/>
    <w:rsid w:val="00844353"/>
    <w:rsid w:val="00844FF1"/>
    <w:rsid w:val="00845275"/>
    <w:rsid w:val="008454C6"/>
    <w:rsid w:val="008454E5"/>
    <w:rsid w:val="008458B4"/>
    <w:rsid w:val="00845E5B"/>
    <w:rsid w:val="0084728C"/>
    <w:rsid w:val="00847423"/>
    <w:rsid w:val="008500D8"/>
    <w:rsid w:val="00850435"/>
    <w:rsid w:val="00850722"/>
    <w:rsid w:val="00850D69"/>
    <w:rsid w:val="00850D8D"/>
    <w:rsid w:val="0085101F"/>
    <w:rsid w:val="00851965"/>
    <w:rsid w:val="00851C16"/>
    <w:rsid w:val="008529B1"/>
    <w:rsid w:val="00852E91"/>
    <w:rsid w:val="00852F07"/>
    <w:rsid w:val="00852F30"/>
    <w:rsid w:val="008530B9"/>
    <w:rsid w:val="00853BE4"/>
    <w:rsid w:val="00854140"/>
    <w:rsid w:val="0085421A"/>
    <w:rsid w:val="008554EE"/>
    <w:rsid w:val="00855F2B"/>
    <w:rsid w:val="008560ED"/>
    <w:rsid w:val="008561B3"/>
    <w:rsid w:val="008562D4"/>
    <w:rsid w:val="008570BD"/>
    <w:rsid w:val="00857C81"/>
    <w:rsid w:val="008603C8"/>
    <w:rsid w:val="00860963"/>
    <w:rsid w:val="00860E80"/>
    <w:rsid w:val="008613CC"/>
    <w:rsid w:val="00861547"/>
    <w:rsid w:val="008616B1"/>
    <w:rsid w:val="00861E58"/>
    <w:rsid w:val="00862BD1"/>
    <w:rsid w:val="00862F64"/>
    <w:rsid w:val="00863475"/>
    <w:rsid w:val="00863AC5"/>
    <w:rsid w:val="00863BD8"/>
    <w:rsid w:val="008644CD"/>
    <w:rsid w:val="00864828"/>
    <w:rsid w:val="00864836"/>
    <w:rsid w:val="00864A0C"/>
    <w:rsid w:val="00864DD5"/>
    <w:rsid w:val="008654F7"/>
    <w:rsid w:val="00865526"/>
    <w:rsid w:val="008661A5"/>
    <w:rsid w:val="008670CF"/>
    <w:rsid w:val="008671BD"/>
    <w:rsid w:val="00867C10"/>
    <w:rsid w:val="00867E77"/>
    <w:rsid w:val="00870F90"/>
    <w:rsid w:val="00871184"/>
    <w:rsid w:val="008711FB"/>
    <w:rsid w:val="0087198D"/>
    <w:rsid w:val="00872FD4"/>
    <w:rsid w:val="008735C8"/>
    <w:rsid w:val="00873B00"/>
    <w:rsid w:val="00874432"/>
    <w:rsid w:val="00875211"/>
    <w:rsid w:val="0087539B"/>
    <w:rsid w:val="00875986"/>
    <w:rsid w:val="008766BE"/>
    <w:rsid w:val="00877205"/>
    <w:rsid w:val="00877529"/>
    <w:rsid w:val="0087799C"/>
    <w:rsid w:val="00877C78"/>
    <w:rsid w:val="008800A6"/>
    <w:rsid w:val="008801C7"/>
    <w:rsid w:val="00880AF8"/>
    <w:rsid w:val="00880EDC"/>
    <w:rsid w:val="00881FAE"/>
    <w:rsid w:val="00881FE6"/>
    <w:rsid w:val="008821AA"/>
    <w:rsid w:val="008827B1"/>
    <w:rsid w:val="00882AD3"/>
    <w:rsid w:val="00883096"/>
    <w:rsid w:val="0088320D"/>
    <w:rsid w:val="008836AF"/>
    <w:rsid w:val="008838FF"/>
    <w:rsid w:val="008842BE"/>
    <w:rsid w:val="00884409"/>
    <w:rsid w:val="0088459E"/>
    <w:rsid w:val="0088462C"/>
    <w:rsid w:val="00885E99"/>
    <w:rsid w:val="008867D4"/>
    <w:rsid w:val="00886A57"/>
    <w:rsid w:val="00887C8A"/>
    <w:rsid w:val="008904E3"/>
    <w:rsid w:val="008904F6"/>
    <w:rsid w:val="00890A7C"/>
    <w:rsid w:val="00890F11"/>
    <w:rsid w:val="00891D0A"/>
    <w:rsid w:val="00892232"/>
    <w:rsid w:val="0089288F"/>
    <w:rsid w:val="008931D2"/>
    <w:rsid w:val="008935B8"/>
    <w:rsid w:val="00893A05"/>
    <w:rsid w:val="0089442C"/>
    <w:rsid w:val="00895049"/>
    <w:rsid w:val="00895A74"/>
    <w:rsid w:val="00896299"/>
    <w:rsid w:val="00896A3F"/>
    <w:rsid w:val="00896CB6"/>
    <w:rsid w:val="00896E84"/>
    <w:rsid w:val="00897B3B"/>
    <w:rsid w:val="008A01AE"/>
    <w:rsid w:val="008A05B2"/>
    <w:rsid w:val="008A0789"/>
    <w:rsid w:val="008A08E1"/>
    <w:rsid w:val="008A0D66"/>
    <w:rsid w:val="008A0F5A"/>
    <w:rsid w:val="008A1456"/>
    <w:rsid w:val="008A237D"/>
    <w:rsid w:val="008A2E8D"/>
    <w:rsid w:val="008A2EE8"/>
    <w:rsid w:val="008A435F"/>
    <w:rsid w:val="008A4AAF"/>
    <w:rsid w:val="008A4B59"/>
    <w:rsid w:val="008A662B"/>
    <w:rsid w:val="008A7309"/>
    <w:rsid w:val="008B01AB"/>
    <w:rsid w:val="008B10A9"/>
    <w:rsid w:val="008B1737"/>
    <w:rsid w:val="008B1D21"/>
    <w:rsid w:val="008B1FB3"/>
    <w:rsid w:val="008B2416"/>
    <w:rsid w:val="008B3040"/>
    <w:rsid w:val="008B34D4"/>
    <w:rsid w:val="008B36B2"/>
    <w:rsid w:val="008B3B18"/>
    <w:rsid w:val="008B3BDE"/>
    <w:rsid w:val="008B3D5E"/>
    <w:rsid w:val="008B45AF"/>
    <w:rsid w:val="008B4EE5"/>
    <w:rsid w:val="008B53BF"/>
    <w:rsid w:val="008B5B6C"/>
    <w:rsid w:val="008B5E8C"/>
    <w:rsid w:val="008B5F28"/>
    <w:rsid w:val="008B5FC1"/>
    <w:rsid w:val="008B63C3"/>
    <w:rsid w:val="008B6522"/>
    <w:rsid w:val="008B71CF"/>
    <w:rsid w:val="008C03A9"/>
    <w:rsid w:val="008C04A5"/>
    <w:rsid w:val="008C051C"/>
    <w:rsid w:val="008C0729"/>
    <w:rsid w:val="008C154E"/>
    <w:rsid w:val="008C1629"/>
    <w:rsid w:val="008C2452"/>
    <w:rsid w:val="008C2FAA"/>
    <w:rsid w:val="008C43B9"/>
    <w:rsid w:val="008C458D"/>
    <w:rsid w:val="008C5C8F"/>
    <w:rsid w:val="008C5E54"/>
    <w:rsid w:val="008C61CB"/>
    <w:rsid w:val="008C7379"/>
    <w:rsid w:val="008C77FD"/>
    <w:rsid w:val="008D0550"/>
    <w:rsid w:val="008D05CB"/>
    <w:rsid w:val="008D0D0E"/>
    <w:rsid w:val="008D10FC"/>
    <w:rsid w:val="008D1ADE"/>
    <w:rsid w:val="008D1C89"/>
    <w:rsid w:val="008D1F6A"/>
    <w:rsid w:val="008D2079"/>
    <w:rsid w:val="008D37C2"/>
    <w:rsid w:val="008D38A9"/>
    <w:rsid w:val="008D38E9"/>
    <w:rsid w:val="008D3A99"/>
    <w:rsid w:val="008D3BCC"/>
    <w:rsid w:val="008D5BC6"/>
    <w:rsid w:val="008D5BF3"/>
    <w:rsid w:val="008D5DE4"/>
    <w:rsid w:val="008D5E11"/>
    <w:rsid w:val="008D68C2"/>
    <w:rsid w:val="008D6E30"/>
    <w:rsid w:val="008D70C2"/>
    <w:rsid w:val="008D743D"/>
    <w:rsid w:val="008D7A46"/>
    <w:rsid w:val="008E0340"/>
    <w:rsid w:val="008E06B4"/>
    <w:rsid w:val="008E0A7B"/>
    <w:rsid w:val="008E1FC8"/>
    <w:rsid w:val="008E2BD1"/>
    <w:rsid w:val="008E3E77"/>
    <w:rsid w:val="008E4058"/>
    <w:rsid w:val="008E460A"/>
    <w:rsid w:val="008E5201"/>
    <w:rsid w:val="008E6D14"/>
    <w:rsid w:val="008E6D33"/>
    <w:rsid w:val="008F0093"/>
    <w:rsid w:val="008F0695"/>
    <w:rsid w:val="008F0749"/>
    <w:rsid w:val="008F0E88"/>
    <w:rsid w:val="008F150C"/>
    <w:rsid w:val="008F18DD"/>
    <w:rsid w:val="008F1F6E"/>
    <w:rsid w:val="008F22F8"/>
    <w:rsid w:val="008F238C"/>
    <w:rsid w:val="008F3919"/>
    <w:rsid w:val="008F3B73"/>
    <w:rsid w:val="008F3DF5"/>
    <w:rsid w:val="008F4014"/>
    <w:rsid w:val="008F44A3"/>
    <w:rsid w:val="008F4FC8"/>
    <w:rsid w:val="008F57CB"/>
    <w:rsid w:val="008F5A53"/>
    <w:rsid w:val="008F5A99"/>
    <w:rsid w:val="008F6264"/>
    <w:rsid w:val="008F63B1"/>
    <w:rsid w:val="008F6F89"/>
    <w:rsid w:val="008F76C3"/>
    <w:rsid w:val="008F7AAE"/>
    <w:rsid w:val="008F7ED9"/>
    <w:rsid w:val="00900689"/>
    <w:rsid w:val="00900CCE"/>
    <w:rsid w:val="00900D2E"/>
    <w:rsid w:val="0090100D"/>
    <w:rsid w:val="00901853"/>
    <w:rsid w:val="00901A97"/>
    <w:rsid w:val="00901B03"/>
    <w:rsid w:val="00901CB6"/>
    <w:rsid w:val="00902457"/>
    <w:rsid w:val="00902850"/>
    <w:rsid w:val="009030F8"/>
    <w:rsid w:val="00903DF1"/>
    <w:rsid w:val="00903E4C"/>
    <w:rsid w:val="00904283"/>
    <w:rsid w:val="00904B54"/>
    <w:rsid w:val="00904CA7"/>
    <w:rsid w:val="0090513E"/>
    <w:rsid w:val="0090532A"/>
    <w:rsid w:val="00905AA2"/>
    <w:rsid w:val="00906B06"/>
    <w:rsid w:val="00906F62"/>
    <w:rsid w:val="009076D1"/>
    <w:rsid w:val="00910032"/>
    <w:rsid w:val="00910FD3"/>
    <w:rsid w:val="009110A8"/>
    <w:rsid w:val="00911EE5"/>
    <w:rsid w:val="009123E7"/>
    <w:rsid w:val="00912594"/>
    <w:rsid w:val="00912AA6"/>
    <w:rsid w:val="00912AFD"/>
    <w:rsid w:val="00912FBD"/>
    <w:rsid w:val="00913039"/>
    <w:rsid w:val="009138B8"/>
    <w:rsid w:val="009139F5"/>
    <w:rsid w:val="00914661"/>
    <w:rsid w:val="0091545B"/>
    <w:rsid w:val="0091631D"/>
    <w:rsid w:val="00920A95"/>
    <w:rsid w:val="009216CA"/>
    <w:rsid w:val="00921C63"/>
    <w:rsid w:val="00921E6E"/>
    <w:rsid w:val="0092229A"/>
    <w:rsid w:val="009225EA"/>
    <w:rsid w:val="00922B85"/>
    <w:rsid w:val="00923352"/>
    <w:rsid w:val="009239A3"/>
    <w:rsid w:val="00923C89"/>
    <w:rsid w:val="009241A8"/>
    <w:rsid w:val="009243AD"/>
    <w:rsid w:val="00924452"/>
    <w:rsid w:val="00924DDA"/>
    <w:rsid w:val="00924EB2"/>
    <w:rsid w:val="009250E8"/>
    <w:rsid w:val="0092527F"/>
    <w:rsid w:val="00925761"/>
    <w:rsid w:val="00925947"/>
    <w:rsid w:val="009263CC"/>
    <w:rsid w:val="00926660"/>
    <w:rsid w:val="00926B3E"/>
    <w:rsid w:val="009271D8"/>
    <w:rsid w:val="00927549"/>
    <w:rsid w:val="00927E3F"/>
    <w:rsid w:val="00927F28"/>
    <w:rsid w:val="00931747"/>
    <w:rsid w:val="0093179D"/>
    <w:rsid w:val="00931827"/>
    <w:rsid w:val="00932835"/>
    <w:rsid w:val="00932C37"/>
    <w:rsid w:val="0093411D"/>
    <w:rsid w:val="0093438C"/>
    <w:rsid w:val="00934905"/>
    <w:rsid w:val="00934D83"/>
    <w:rsid w:val="00935202"/>
    <w:rsid w:val="009356C5"/>
    <w:rsid w:val="00935A19"/>
    <w:rsid w:val="00935E7B"/>
    <w:rsid w:val="00935EE0"/>
    <w:rsid w:val="009364D0"/>
    <w:rsid w:val="00936B7D"/>
    <w:rsid w:val="009378F4"/>
    <w:rsid w:val="00937966"/>
    <w:rsid w:val="00940170"/>
    <w:rsid w:val="00940506"/>
    <w:rsid w:val="0094088B"/>
    <w:rsid w:val="0094105C"/>
    <w:rsid w:val="009419D7"/>
    <w:rsid w:val="00941F58"/>
    <w:rsid w:val="00942298"/>
    <w:rsid w:val="009438DB"/>
    <w:rsid w:val="009446AE"/>
    <w:rsid w:val="0094478B"/>
    <w:rsid w:val="00944D3D"/>
    <w:rsid w:val="00945B03"/>
    <w:rsid w:val="00945FC4"/>
    <w:rsid w:val="00946531"/>
    <w:rsid w:val="00947458"/>
    <w:rsid w:val="00947ED2"/>
    <w:rsid w:val="0095043F"/>
    <w:rsid w:val="009505D9"/>
    <w:rsid w:val="00950723"/>
    <w:rsid w:val="00950B71"/>
    <w:rsid w:val="00951543"/>
    <w:rsid w:val="00951993"/>
    <w:rsid w:val="00951CEB"/>
    <w:rsid w:val="00952BAA"/>
    <w:rsid w:val="00953410"/>
    <w:rsid w:val="009538C3"/>
    <w:rsid w:val="00953CD2"/>
    <w:rsid w:val="009552E1"/>
    <w:rsid w:val="00955473"/>
    <w:rsid w:val="00955482"/>
    <w:rsid w:val="009555CF"/>
    <w:rsid w:val="00955781"/>
    <w:rsid w:val="00955BDC"/>
    <w:rsid w:val="00955C14"/>
    <w:rsid w:val="0095644B"/>
    <w:rsid w:val="0095660A"/>
    <w:rsid w:val="0095665B"/>
    <w:rsid w:val="00956A2F"/>
    <w:rsid w:val="00957038"/>
    <w:rsid w:val="00957219"/>
    <w:rsid w:val="009573E8"/>
    <w:rsid w:val="00957737"/>
    <w:rsid w:val="009578B1"/>
    <w:rsid w:val="00957BA0"/>
    <w:rsid w:val="00957C11"/>
    <w:rsid w:val="00960557"/>
    <w:rsid w:val="00960721"/>
    <w:rsid w:val="0096151E"/>
    <w:rsid w:val="00961674"/>
    <w:rsid w:val="0096290B"/>
    <w:rsid w:val="00964206"/>
    <w:rsid w:val="009646AE"/>
    <w:rsid w:val="00964E7C"/>
    <w:rsid w:val="00964F2F"/>
    <w:rsid w:val="009652AA"/>
    <w:rsid w:val="0096561B"/>
    <w:rsid w:val="009657CA"/>
    <w:rsid w:val="00966102"/>
    <w:rsid w:val="009666A1"/>
    <w:rsid w:val="00966FC5"/>
    <w:rsid w:val="00967528"/>
    <w:rsid w:val="009679FC"/>
    <w:rsid w:val="00967A6A"/>
    <w:rsid w:val="00970AEC"/>
    <w:rsid w:val="009710A8"/>
    <w:rsid w:val="00971103"/>
    <w:rsid w:val="009716AD"/>
    <w:rsid w:val="00971989"/>
    <w:rsid w:val="009719CC"/>
    <w:rsid w:val="009729C0"/>
    <w:rsid w:val="00973025"/>
    <w:rsid w:val="00973DCD"/>
    <w:rsid w:val="00974142"/>
    <w:rsid w:val="0097417B"/>
    <w:rsid w:val="00974D58"/>
    <w:rsid w:val="00974D81"/>
    <w:rsid w:val="0097507E"/>
    <w:rsid w:val="00975338"/>
    <w:rsid w:val="00975AF1"/>
    <w:rsid w:val="00976E17"/>
    <w:rsid w:val="0097702F"/>
    <w:rsid w:val="00977296"/>
    <w:rsid w:val="00977C99"/>
    <w:rsid w:val="009800E0"/>
    <w:rsid w:val="009805B3"/>
    <w:rsid w:val="00980A39"/>
    <w:rsid w:val="00980A92"/>
    <w:rsid w:val="00980FE4"/>
    <w:rsid w:val="00981455"/>
    <w:rsid w:val="00981512"/>
    <w:rsid w:val="00981836"/>
    <w:rsid w:val="00981D9B"/>
    <w:rsid w:val="00981FF8"/>
    <w:rsid w:val="0098203A"/>
    <w:rsid w:val="00982305"/>
    <w:rsid w:val="0098256F"/>
    <w:rsid w:val="00982A59"/>
    <w:rsid w:val="00982CAC"/>
    <w:rsid w:val="0098332F"/>
    <w:rsid w:val="00984D4F"/>
    <w:rsid w:val="00985719"/>
    <w:rsid w:val="00985830"/>
    <w:rsid w:val="00986024"/>
    <w:rsid w:val="0098651F"/>
    <w:rsid w:val="00986C78"/>
    <w:rsid w:val="00986D31"/>
    <w:rsid w:val="009873D3"/>
    <w:rsid w:val="00987B3F"/>
    <w:rsid w:val="00987D87"/>
    <w:rsid w:val="009906B1"/>
    <w:rsid w:val="0099093B"/>
    <w:rsid w:val="00991AA4"/>
    <w:rsid w:val="0099244E"/>
    <w:rsid w:val="009926F3"/>
    <w:rsid w:val="009929B5"/>
    <w:rsid w:val="00992A33"/>
    <w:rsid w:val="00992D51"/>
    <w:rsid w:val="009935EA"/>
    <w:rsid w:val="0099368E"/>
    <w:rsid w:val="009937C7"/>
    <w:rsid w:val="00993DA9"/>
    <w:rsid w:val="009941A0"/>
    <w:rsid w:val="009942AE"/>
    <w:rsid w:val="009947EF"/>
    <w:rsid w:val="009957A2"/>
    <w:rsid w:val="00995CAB"/>
    <w:rsid w:val="00996597"/>
    <w:rsid w:val="00996A1F"/>
    <w:rsid w:val="00996A53"/>
    <w:rsid w:val="00997962"/>
    <w:rsid w:val="00997B39"/>
    <w:rsid w:val="00997E3F"/>
    <w:rsid w:val="009A00AA"/>
    <w:rsid w:val="009A00D1"/>
    <w:rsid w:val="009A012F"/>
    <w:rsid w:val="009A0399"/>
    <w:rsid w:val="009A0878"/>
    <w:rsid w:val="009A0F66"/>
    <w:rsid w:val="009A1806"/>
    <w:rsid w:val="009A1950"/>
    <w:rsid w:val="009A2515"/>
    <w:rsid w:val="009A276C"/>
    <w:rsid w:val="009A2D4F"/>
    <w:rsid w:val="009A2ED6"/>
    <w:rsid w:val="009A3342"/>
    <w:rsid w:val="009A3841"/>
    <w:rsid w:val="009A392C"/>
    <w:rsid w:val="009A39B2"/>
    <w:rsid w:val="009A4119"/>
    <w:rsid w:val="009A4559"/>
    <w:rsid w:val="009A46B5"/>
    <w:rsid w:val="009A49E2"/>
    <w:rsid w:val="009A4CB8"/>
    <w:rsid w:val="009A4F68"/>
    <w:rsid w:val="009A54EF"/>
    <w:rsid w:val="009A57AE"/>
    <w:rsid w:val="009A5AC5"/>
    <w:rsid w:val="009A6319"/>
    <w:rsid w:val="009A7441"/>
    <w:rsid w:val="009A7BEB"/>
    <w:rsid w:val="009A7FCF"/>
    <w:rsid w:val="009B0757"/>
    <w:rsid w:val="009B0CC6"/>
    <w:rsid w:val="009B0E7C"/>
    <w:rsid w:val="009B16DD"/>
    <w:rsid w:val="009B1A22"/>
    <w:rsid w:val="009B1BE1"/>
    <w:rsid w:val="009B232E"/>
    <w:rsid w:val="009B2525"/>
    <w:rsid w:val="009B29F2"/>
    <w:rsid w:val="009B2F32"/>
    <w:rsid w:val="009B39CB"/>
    <w:rsid w:val="009B3A04"/>
    <w:rsid w:val="009B4551"/>
    <w:rsid w:val="009B52D9"/>
    <w:rsid w:val="009B5707"/>
    <w:rsid w:val="009B607F"/>
    <w:rsid w:val="009B6439"/>
    <w:rsid w:val="009B6AD5"/>
    <w:rsid w:val="009B77AC"/>
    <w:rsid w:val="009B7841"/>
    <w:rsid w:val="009B7BA5"/>
    <w:rsid w:val="009C0000"/>
    <w:rsid w:val="009C00B7"/>
    <w:rsid w:val="009C06D1"/>
    <w:rsid w:val="009C0A17"/>
    <w:rsid w:val="009C1177"/>
    <w:rsid w:val="009C136C"/>
    <w:rsid w:val="009C1589"/>
    <w:rsid w:val="009C1600"/>
    <w:rsid w:val="009C21E9"/>
    <w:rsid w:val="009C2227"/>
    <w:rsid w:val="009C2CB5"/>
    <w:rsid w:val="009C30C2"/>
    <w:rsid w:val="009C30E6"/>
    <w:rsid w:val="009C31DA"/>
    <w:rsid w:val="009C32BE"/>
    <w:rsid w:val="009C3970"/>
    <w:rsid w:val="009C3C77"/>
    <w:rsid w:val="009C3F22"/>
    <w:rsid w:val="009C3F52"/>
    <w:rsid w:val="009C4040"/>
    <w:rsid w:val="009C4802"/>
    <w:rsid w:val="009C48FA"/>
    <w:rsid w:val="009C4E01"/>
    <w:rsid w:val="009C5F59"/>
    <w:rsid w:val="009C60CD"/>
    <w:rsid w:val="009C6A72"/>
    <w:rsid w:val="009C7E73"/>
    <w:rsid w:val="009D0110"/>
    <w:rsid w:val="009D0216"/>
    <w:rsid w:val="009D0815"/>
    <w:rsid w:val="009D08EF"/>
    <w:rsid w:val="009D0A34"/>
    <w:rsid w:val="009D17BD"/>
    <w:rsid w:val="009D1FFF"/>
    <w:rsid w:val="009D2283"/>
    <w:rsid w:val="009D2A57"/>
    <w:rsid w:val="009D2A9F"/>
    <w:rsid w:val="009D2AFC"/>
    <w:rsid w:val="009D2B28"/>
    <w:rsid w:val="009D2EBD"/>
    <w:rsid w:val="009D2ED7"/>
    <w:rsid w:val="009D367F"/>
    <w:rsid w:val="009D5083"/>
    <w:rsid w:val="009D5B66"/>
    <w:rsid w:val="009D5B9E"/>
    <w:rsid w:val="009D639D"/>
    <w:rsid w:val="009D67B5"/>
    <w:rsid w:val="009D6A7F"/>
    <w:rsid w:val="009D6E5B"/>
    <w:rsid w:val="009D74C9"/>
    <w:rsid w:val="009D7B25"/>
    <w:rsid w:val="009E0F45"/>
    <w:rsid w:val="009E103A"/>
    <w:rsid w:val="009E114B"/>
    <w:rsid w:val="009E13B2"/>
    <w:rsid w:val="009E227B"/>
    <w:rsid w:val="009E3006"/>
    <w:rsid w:val="009E307B"/>
    <w:rsid w:val="009E319E"/>
    <w:rsid w:val="009E383C"/>
    <w:rsid w:val="009E3890"/>
    <w:rsid w:val="009E39AC"/>
    <w:rsid w:val="009E3EF3"/>
    <w:rsid w:val="009E48A1"/>
    <w:rsid w:val="009E4AA5"/>
    <w:rsid w:val="009E4BD4"/>
    <w:rsid w:val="009E5166"/>
    <w:rsid w:val="009E5228"/>
    <w:rsid w:val="009E54A1"/>
    <w:rsid w:val="009E5A7F"/>
    <w:rsid w:val="009E5B5E"/>
    <w:rsid w:val="009E73FA"/>
    <w:rsid w:val="009E7526"/>
    <w:rsid w:val="009E7EAA"/>
    <w:rsid w:val="009E7FEC"/>
    <w:rsid w:val="009F044D"/>
    <w:rsid w:val="009F084E"/>
    <w:rsid w:val="009F1C91"/>
    <w:rsid w:val="009F1EB0"/>
    <w:rsid w:val="009F3A36"/>
    <w:rsid w:val="009F4E57"/>
    <w:rsid w:val="009F5268"/>
    <w:rsid w:val="009F54C5"/>
    <w:rsid w:val="009F5607"/>
    <w:rsid w:val="009F5CCF"/>
    <w:rsid w:val="009F6311"/>
    <w:rsid w:val="009F7107"/>
    <w:rsid w:val="009F787C"/>
    <w:rsid w:val="009F79EB"/>
    <w:rsid w:val="00A005DD"/>
    <w:rsid w:val="00A005F0"/>
    <w:rsid w:val="00A009AC"/>
    <w:rsid w:val="00A00EB1"/>
    <w:rsid w:val="00A0215E"/>
    <w:rsid w:val="00A022C2"/>
    <w:rsid w:val="00A02BA5"/>
    <w:rsid w:val="00A040EE"/>
    <w:rsid w:val="00A05191"/>
    <w:rsid w:val="00A058A3"/>
    <w:rsid w:val="00A061EC"/>
    <w:rsid w:val="00A06AE3"/>
    <w:rsid w:val="00A070D8"/>
    <w:rsid w:val="00A072DC"/>
    <w:rsid w:val="00A0735D"/>
    <w:rsid w:val="00A07C39"/>
    <w:rsid w:val="00A10150"/>
    <w:rsid w:val="00A1074E"/>
    <w:rsid w:val="00A10A43"/>
    <w:rsid w:val="00A10B97"/>
    <w:rsid w:val="00A10CC9"/>
    <w:rsid w:val="00A10E04"/>
    <w:rsid w:val="00A12193"/>
    <w:rsid w:val="00A121E3"/>
    <w:rsid w:val="00A12999"/>
    <w:rsid w:val="00A129B6"/>
    <w:rsid w:val="00A133AD"/>
    <w:rsid w:val="00A13786"/>
    <w:rsid w:val="00A14B7D"/>
    <w:rsid w:val="00A14DDF"/>
    <w:rsid w:val="00A159A5"/>
    <w:rsid w:val="00A15D32"/>
    <w:rsid w:val="00A1660F"/>
    <w:rsid w:val="00A16879"/>
    <w:rsid w:val="00A16ED9"/>
    <w:rsid w:val="00A171DB"/>
    <w:rsid w:val="00A17B78"/>
    <w:rsid w:val="00A17C80"/>
    <w:rsid w:val="00A2013E"/>
    <w:rsid w:val="00A20464"/>
    <w:rsid w:val="00A20634"/>
    <w:rsid w:val="00A206B9"/>
    <w:rsid w:val="00A2085D"/>
    <w:rsid w:val="00A208BD"/>
    <w:rsid w:val="00A210D1"/>
    <w:rsid w:val="00A2120B"/>
    <w:rsid w:val="00A212CC"/>
    <w:rsid w:val="00A213C3"/>
    <w:rsid w:val="00A2140F"/>
    <w:rsid w:val="00A21460"/>
    <w:rsid w:val="00A21A4D"/>
    <w:rsid w:val="00A22804"/>
    <w:rsid w:val="00A22E12"/>
    <w:rsid w:val="00A23EEF"/>
    <w:rsid w:val="00A241B1"/>
    <w:rsid w:val="00A24446"/>
    <w:rsid w:val="00A247C9"/>
    <w:rsid w:val="00A24962"/>
    <w:rsid w:val="00A24B81"/>
    <w:rsid w:val="00A24EA5"/>
    <w:rsid w:val="00A252F3"/>
    <w:rsid w:val="00A256DE"/>
    <w:rsid w:val="00A26081"/>
    <w:rsid w:val="00A26B19"/>
    <w:rsid w:val="00A26C3D"/>
    <w:rsid w:val="00A26F01"/>
    <w:rsid w:val="00A27188"/>
    <w:rsid w:val="00A273D7"/>
    <w:rsid w:val="00A2766C"/>
    <w:rsid w:val="00A27B99"/>
    <w:rsid w:val="00A30D09"/>
    <w:rsid w:val="00A317B7"/>
    <w:rsid w:val="00A32010"/>
    <w:rsid w:val="00A3209B"/>
    <w:rsid w:val="00A32D6D"/>
    <w:rsid w:val="00A32EE4"/>
    <w:rsid w:val="00A333CA"/>
    <w:rsid w:val="00A334A8"/>
    <w:rsid w:val="00A334C3"/>
    <w:rsid w:val="00A3511B"/>
    <w:rsid w:val="00A353AF"/>
    <w:rsid w:val="00A35723"/>
    <w:rsid w:val="00A35C03"/>
    <w:rsid w:val="00A35D1B"/>
    <w:rsid w:val="00A35F42"/>
    <w:rsid w:val="00A36BD1"/>
    <w:rsid w:val="00A36D63"/>
    <w:rsid w:val="00A36E00"/>
    <w:rsid w:val="00A37DF2"/>
    <w:rsid w:val="00A40368"/>
    <w:rsid w:val="00A408B4"/>
    <w:rsid w:val="00A40A86"/>
    <w:rsid w:val="00A40DD3"/>
    <w:rsid w:val="00A40E8A"/>
    <w:rsid w:val="00A418D1"/>
    <w:rsid w:val="00A42A8A"/>
    <w:rsid w:val="00A42FB1"/>
    <w:rsid w:val="00A436ED"/>
    <w:rsid w:val="00A439BE"/>
    <w:rsid w:val="00A43AA2"/>
    <w:rsid w:val="00A44018"/>
    <w:rsid w:val="00A446C3"/>
    <w:rsid w:val="00A44987"/>
    <w:rsid w:val="00A44D90"/>
    <w:rsid w:val="00A44E07"/>
    <w:rsid w:val="00A451DA"/>
    <w:rsid w:val="00A45406"/>
    <w:rsid w:val="00A45682"/>
    <w:rsid w:val="00A45725"/>
    <w:rsid w:val="00A458C5"/>
    <w:rsid w:val="00A458D3"/>
    <w:rsid w:val="00A45AB1"/>
    <w:rsid w:val="00A45AC0"/>
    <w:rsid w:val="00A45D2C"/>
    <w:rsid w:val="00A463B5"/>
    <w:rsid w:val="00A475E2"/>
    <w:rsid w:val="00A47977"/>
    <w:rsid w:val="00A47C03"/>
    <w:rsid w:val="00A47C53"/>
    <w:rsid w:val="00A47CC6"/>
    <w:rsid w:val="00A50312"/>
    <w:rsid w:val="00A50975"/>
    <w:rsid w:val="00A50AAE"/>
    <w:rsid w:val="00A50CF4"/>
    <w:rsid w:val="00A50E53"/>
    <w:rsid w:val="00A51323"/>
    <w:rsid w:val="00A5136C"/>
    <w:rsid w:val="00A513E9"/>
    <w:rsid w:val="00A515A0"/>
    <w:rsid w:val="00A5171D"/>
    <w:rsid w:val="00A51AB5"/>
    <w:rsid w:val="00A5211D"/>
    <w:rsid w:val="00A5222A"/>
    <w:rsid w:val="00A5279A"/>
    <w:rsid w:val="00A52C19"/>
    <w:rsid w:val="00A5308F"/>
    <w:rsid w:val="00A53711"/>
    <w:rsid w:val="00A53CF9"/>
    <w:rsid w:val="00A54324"/>
    <w:rsid w:val="00A555F7"/>
    <w:rsid w:val="00A56828"/>
    <w:rsid w:val="00A57124"/>
    <w:rsid w:val="00A5755A"/>
    <w:rsid w:val="00A60019"/>
    <w:rsid w:val="00A602E1"/>
    <w:rsid w:val="00A6078D"/>
    <w:rsid w:val="00A60C29"/>
    <w:rsid w:val="00A60EB8"/>
    <w:rsid w:val="00A61558"/>
    <w:rsid w:val="00A61AA4"/>
    <w:rsid w:val="00A622F5"/>
    <w:rsid w:val="00A625D0"/>
    <w:rsid w:val="00A627C1"/>
    <w:rsid w:val="00A6295C"/>
    <w:rsid w:val="00A62A62"/>
    <w:rsid w:val="00A62B88"/>
    <w:rsid w:val="00A62F71"/>
    <w:rsid w:val="00A6307C"/>
    <w:rsid w:val="00A63791"/>
    <w:rsid w:val="00A63DCF"/>
    <w:rsid w:val="00A6406B"/>
    <w:rsid w:val="00A65796"/>
    <w:rsid w:val="00A65B39"/>
    <w:rsid w:val="00A65E28"/>
    <w:rsid w:val="00A66478"/>
    <w:rsid w:val="00A666B7"/>
    <w:rsid w:val="00A6740A"/>
    <w:rsid w:val="00A67D71"/>
    <w:rsid w:val="00A7025A"/>
    <w:rsid w:val="00A7038A"/>
    <w:rsid w:val="00A70D35"/>
    <w:rsid w:val="00A7111A"/>
    <w:rsid w:val="00A72258"/>
    <w:rsid w:val="00A726B0"/>
    <w:rsid w:val="00A72FC8"/>
    <w:rsid w:val="00A73385"/>
    <w:rsid w:val="00A73A23"/>
    <w:rsid w:val="00A744CD"/>
    <w:rsid w:val="00A74D6A"/>
    <w:rsid w:val="00A74E66"/>
    <w:rsid w:val="00A7585B"/>
    <w:rsid w:val="00A75B15"/>
    <w:rsid w:val="00A75C0F"/>
    <w:rsid w:val="00A7600B"/>
    <w:rsid w:val="00A764D1"/>
    <w:rsid w:val="00A76E7E"/>
    <w:rsid w:val="00A76FCA"/>
    <w:rsid w:val="00A77154"/>
    <w:rsid w:val="00A775FB"/>
    <w:rsid w:val="00A7772E"/>
    <w:rsid w:val="00A77A86"/>
    <w:rsid w:val="00A77FB8"/>
    <w:rsid w:val="00A802E8"/>
    <w:rsid w:val="00A803B6"/>
    <w:rsid w:val="00A807F6"/>
    <w:rsid w:val="00A80CD1"/>
    <w:rsid w:val="00A81205"/>
    <w:rsid w:val="00A812A8"/>
    <w:rsid w:val="00A812C1"/>
    <w:rsid w:val="00A812D3"/>
    <w:rsid w:val="00A8135E"/>
    <w:rsid w:val="00A819BE"/>
    <w:rsid w:val="00A8249E"/>
    <w:rsid w:val="00A82B9D"/>
    <w:rsid w:val="00A83D64"/>
    <w:rsid w:val="00A84438"/>
    <w:rsid w:val="00A847B6"/>
    <w:rsid w:val="00A8542E"/>
    <w:rsid w:val="00A859D9"/>
    <w:rsid w:val="00A85D34"/>
    <w:rsid w:val="00A86494"/>
    <w:rsid w:val="00A86658"/>
    <w:rsid w:val="00A86BEA"/>
    <w:rsid w:val="00A86F73"/>
    <w:rsid w:val="00A87521"/>
    <w:rsid w:val="00A875B6"/>
    <w:rsid w:val="00A87725"/>
    <w:rsid w:val="00A877E6"/>
    <w:rsid w:val="00A8783D"/>
    <w:rsid w:val="00A87C7C"/>
    <w:rsid w:val="00A87CD4"/>
    <w:rsid w:val="00A87DC2"/>
    <w:rsid w:val="00A90177"/>
    <w:rsid w:val="00A9037F"/>
    <w:rsid w:val="00A90427"/>
    <w:rsid w:val="00A9157D"/>
    <w:rsid w:val="00A9212F"/>
    <w:rsid w:val="00A92C22"/>
    <w:rsid w:val="00A92D2E"/>
    <w:rsid w:val="00A937DA"/>
    <w:rsid w:val="00A94A2C"/>
    <w:rsid w:val="00A95236"/>
    <w:rsid w:val="00A95412"/>
    <w:rsid w:val="00A954BC"/>
    <w:rsid w:val="00A956E2"/>
    <w:rsid w:val="00A9581E"/>
    <w:rsid w:val="00A95CF0"/>
    <w:rsid w:val="00A95E33"/>
    <w:rsid w:val="00A962A4"/>
    <w:rsid w:val="00A97001"/>
    <w:rsid w:val="00A971C3"/>
    <w:rsid w:val="00A97578"/>
    <w:rsid w:val="00AA0291"/>
    <w:rsid w:val="00AA1F2B"/>
    <w:rsid w:val="00AA224A"/>
    <w:rsid w:val="00AA22EF"/>
    <w:rsid w:val="00AA2B14"/>
    <w:rsid w:val="00AA3B5E"/>
    <w:rsid w:val="00AA3E8F"/>
    <w:rsid w:val="00AA3FDE"/>
    <w:rsid w:val="00AA45D1"/>
    <w:rsid w:val="00AA48F1"/>
    <w:rsid w:val="00AA4DC4"/>
    <w:rsid w:val="00AA4E9B"/>
    <w:rsid w:val="00AA57F9"/>
    <w:rsid w:val="00AA582D"/>
    <w:rsid w:val="00AA6537"/>
    <w:rsid w:val="00AA6E15"/>
    <w:rsid w:val="00AA76B5"/>
    <w:rsid w:val="00AB13F6"/>
    <w:rsid w:val="00AB142D"/>
    <w:rsid w:val="00AB1910"/>
    <w:rsid w:val="00AB1EB8"/>
    <w:rsid w:val="00AB204E"/>
    <w:rsid w:val="00AB2AEF"/>
    <w:rsid w:val="00AB2FC3"/>
    <w:rsid w:val="00AB3314"/>
    <w:rsid w:val="00AB348A"/>
    <w:rsid w:val="00AB3BF9"/>
    <w:rsid w:val="00AB44CE"/>
    <w:rsid w:val="00AB5876"/>
    <w:rsid w:val="00AB5BBE"/>
    <w:rsid w:val="00AB6458"/>
    <w:rsid w:val="00AB6660"/>
    <w:rsid w:val="00AB6C41"/>
    <w:rsid w:val="00AB6DE0"/>
    <w:rsid w:val="00AB7ADD"/>
    <w:rsid w:val="00AC1D21"/>
    <w:rsid w:val="00AC233C"/>
    <w:rsid w:val="00AC2A56"/>
    <w:rsid w:val="00AC33CE"/>
    <w:rsid w:val="00AC47FA"/>
    <w:rsid w:val="00AC4C5B"/>
    <w:rsid w:val="00AC4DDC"/>
    <w:rsid w:val="00AC4E89"/>
    <w:rsid w:val="00AC4F4F"/>
    <w:rsid w:val="00AC6275"/>
    <w:rsid w:val="00AC6DFC"/>
    <w:rsid w:val="00AC743C"/>
    <w:rsid w:val="00AD1925"/>
    <w:rsid w:val="00AD1961"/>
    <w:rsid w:val="00AD251B"/>
    <w:rsid w:val="00AD29E1"/>
    <w:rsid w:val="00AD2DEA"/>
    <w:rsid w:val="00AD2DED"/>
    <w:rsid w:val="00AD3508"/>
    <w:rsid w:val="00AD36C5"/>
    <w:rsid w:val="00AD3818"/>
    <w:rsid w:val="00AD404E"/>
    <w:rsid w:val="00AD4EFD"/>
    <w:rsid w:val="00AD4FC1"/>
    <w:rsid w:val="00AD5B46"/>
    <w:rsid w:val="00AD6C59"/>
    <w:rsid w:val="00AD6D6D"/>
    <w:rsid w:val="00AD7BBD"/>
    <w:rsid w:val="00AD7C8B"/>
    <w:rsid w:val="00AE0359"/>
    <w:rsid w:val="00AE08CE"/>
    <w:rsid w:val="00AE0E9E"/>
    <w:rsid w:val="00AE0F0A"/>
    <w:rsid w:val="00AE0F4A"/>
    <w:rsid w:val="00AE15A1"/>
    <w:rsid w:val="00AE164C"/>
    <w:rsid w:val="00AE1712"/>
    <w:rsid w:val="00AE17B2"/>
    <w:rsid w:val="00AE19ED"/>
    <w:rsid w:val="00AE1F06"/>
    <w:rsid w:val="00AE26C3"/>
    <w:rsid w:val="00AE29A6"/>
    <w:rsid w:val="00AE2C55"/>
    <w:rsid w:val="00AE42A2"/>
    <w:rsid w:val="00AE48FA"/>
    <w:rsid w:val="00AE4C21"/>
    <w:rsid w:val="00AE5656"/>
    <w:rsid w:val="00AE6B76"/>
    <w:rsid w:val="00AE7175"/>
    <w:rsid w:val="00AE7502"/>
    <w:rsid w:val="00AE7A4D"/>
    <w:rsid w:val="00AE7F05"/>
    <w:rsid w:val="00AE7F1B"/>
    <w:rsid w:val="00AF0730"/>
    <w:rsid w:val="00AF0A20"/>
    <w:rsid w:val="00AF0C86"/>
    <w:rsid w:val="00AF12BB"/>
    <w:rsid w:val="00AF138B"/>
    <w:rsid w:val="00AF141C"/>
    <w:rsid w:val="00AF14AC"/>
    <w:rsid w:val="00AF2158"/>
    <w:rsid w:val="00AF29D5"/>
    <w:rsid w:val="00AF2CB8"/>
    <w:rsid w:val="00AF32CB"/>
    <w:rsid w:val="00AF3340"/>
    <w:rsid w:val="00AF386C"/>
    <w:rsid w:val="00AF3C17"/>
    <w:rsid w:val="00AF43F9"/>
    <w:rsid w:val="00AF447C"/>
    <w:rsid w:val="00AF458D"/>
    <w:rsid w:val="00AF476D"/>
    <w:rsid w:val="00AF481A"/>
    <w:rsid w:val="00AF4994"/>
    <w:rsid w:val="00AF4A30"/>
    <w:rsid w:val="00AF4C4C"/>
    <w:rsid w:val="00AF4E38"/>
    <w:rsid w:val="00AF5684"/>
    <w:rsid w:val="00AF59BD"/>
    <w:rsid w:val="00AF6297"/>
    <w:rsid w:val="00AF6299"/>
    <w:rsid w:val="00AF6359"/>
    <w:rsid w:val="00AF6381"/>
    <w:rsid w:val="00AF6725"/>
    <w:rsid w:val="00AF6BDB"/>
    <w:rsid w:val="00B002C1"/>
    <w:rsid w:val="00B005FE"/>
    <w:rsid w:val="00B009CD"/>
    <w:rsid w:val="00B00B90"/>
    <w:rsid w:val="00B00E6B"/>
    <w:rsid w:val="00B01304"/>
    <w:rsid w:val="00B0236E"/>
    <w:rsid w:val="00B02B3A"/>
    <w:rsid w:val="00B032A1"/>
    <w:rsid w:val="00B0349F"/>
    <w:rsid w:val="00B04387"/>
    <w:rsid w:val="00B044CB"/>
    <w:rsid w:val="00B049FE"/>
    <w:rsid w:val="00B0518B"/>
    <w:rsid w:val="00B05631"/>
    <w:rsid w:val="00B05A14"/>
    <w:rsid w:val="00B05A48"/>
    <w:rsid w:val="00B05B5B"/>
    <w:rsid w:val="00B05C4C"/>
    <w:rsid w:val="00B05C5D"/>
    <w:rsid w:val="00B05C93"/>
    <w:rsid w:val="00B06008"/>
    <w:rsid w:val="00B06297"/>
    <w:rsid w:val="00B062EF"/>
    <w:rsid w:val="00B06324"/>
    <w:rsid w:val="00B0655E"/>
    <w:rsid w:val="00B06A4E"/>
    <w:rsid w:val="00B06F98"/>
    <w:rsid w:val="00B07E6C"/>
    <w:rsid w:val="00B07EF1"/>
    <w:rsid w:val="00B100A4"/>
    <w:rsid w:val="00B1039C"/>
    <w:rsid w:val="00B10B47"/>
    <w:rsid w:val="00B10D2B"/>
    <w:rsid w:val="00B11F8D"/>
    <w:rsid w:val="00B11FA2"/>
    <w:rsid w:val="00B11FDC"/>
    <w:rsid w:val="00B124FD"/>
    <w:rsid w:val="00B12D49"/>
    <w:rsid w:val="00B13929"/>
    <w:rsid w:val="00B13D2F"/>
    <w:rsid w:val="00B141C0"/>
    <w:rsid w:val="00B15078"/>
    <w:rsid w:val="00B15D3B"/>
    <w:rsid w:val="00B15DC2"/>
    <w:rsid w:val="00B161B2"/>
    <w:rsid w:val="00B163BC"/>
    <w:rsid w:val="00B16C6F"/>
    <w:rsid w:val="00B17388"/>
    <w:rsid w:val="00B17C65"/>
    <w:rsid w:val="00B20928"/>
    <w:rsid w:val="00B20B0A"/>
    <w:rsid w:val="00B20B80"/>
    <w:rsid w:val="00B20DDA"/>
    <w:rsid w:val="00B21793"/>
    <w:rsid w:val="00B21D91"/>
    <w:rsid w:val="00B221AF"/>
    <w:rsid w:val="00B2244F"/>
    <w:rsid w:val="00B22AF5"/>
    <w:rsid w:val="00B22C38"/>
    <w:rsid w:val="00B22E34"/>
    <w:rsid w:val="00B233A5"/>
    <w:rsid w:val="00B2349C"/>
    <w:rsid w:val="00B2378A"/>
    <w:rsid w:val="00B23A82"/>
    <w:rsid w:val="00B24058"/>
    <w:rsid w:val="00B256B5"/>
    <w:rsid w:val="00B25762"/>
    <w:rsid w:val="00B257D9"/>
    <w:rsid w:val="00B25CE5"/>
    <w:rsid w:val="00B26778"/>
    <w:rsid w:val="00B26EEA"/>
    <w:rsid w:val="00B276CC"/>
    <w:rsid w:val="00B277CC"/>
    <w:rsid w:val="00B27FD7"/>
    <w:rsid w:val="00B300FB"/>
    <w:rsid w:val="00B30A35"/>
    <w:rsid w:val="00B30CF0"/>
    <w:rsid w:val="00B3258F"/>
    <w:rsid w:val="00B325A7"/>
    <w:rsid w:val="00B3286E"/>
    <w:rsid w:val="00B32AD7"/>
    <w:rsid w:val="00B32C24"/>
    <w:rsid w:val="00B33999"/>
    <w:rsid w:val="00B339CA"/>
    <w:rsid w:val="00B33B21"/>
    <w:rsid w:val="00B33B8E"/>
    <w:rsid w:val="00B34C14"/>
    <w:rsid w:val="00B3578E"/>
    <w:rsid w:val="00B35D2E"/>
    <w:rsid w:val="00B35D40"/>
    <w:rsid w:val="00B36A7C"/>
    <w:rsid w:val="00B36EB6"/>
    <w:rsid w:val="00B36F7B"/>
    <w:rsid w:val="00B3720E"/>
    <w:rsid w:val="00B37BAD"/>
    <w:rsid w:val="00B37CEF"/>
    <w:rsid w:val="00B40341"/>
    <w:rsid w:val="00B403A4"/>
    <w:rsid w:val="00B40437"/>
    <w:rsid w:val="00B407E7"/>
    <w:rsid w:val="00B41182"/>
    <w:rsid w:val="00B41316"/>
    <w:rsid w:val="00B413FD"/>
    <w:rsid w:val="00B4186A"/>
    <w:rsid w:val="00B4199B"/>
    <w:rsid w:val="00B419BF"/>
    <w:rsid w:val="00B42436"/>
    <w:rsid w:val="00B425B6"/>
    <w:rsid w:val="00B43598"/>
    <w:rsid w:val="00B438DA"/>
    <w:rsid w:val="00B43A86"/>
    <w:rsid w:val="00B43C3B"/>
    <w:rsid w:val="00B4422D"/>
    <w:rsid w:val="00B44941"/>
    <w:rsid w:val="00B44B69"/>
    <w:rsid w:val="00B45410"/>
    <w:rsid w:val="00B45679"/>
    <w:rsid w:val="00B46076"/>
    <w:rsid w:val="00B46183"/>
    <w:rsid w:val="00B464C2"/>
    <w:rsid w:val="00B4667E"/>
    <w:rsid w:val="00B46C1B"/>
    <w:rsid w:val="00B4712B"/>
    <w:rsid w:val="00B4788F"/>
    <w:rsid w:val="00B47C58"/>
    <w:rsid w:val="00B47FC9"/>
    <w:rsid w:val="00B5035B"/>
    <w:rsid w:val="00B508E2"/>
    <w:rsid w:val="00B50B88"/>
    <w:rsid w:val="00B515C5"/>
    <w:rsid w:val="00B51615"/>
    <w:rsid w:val="00B51886"/>
    <w:rsid w:val="00B51A1D"/>
    <w:rsid w:val="00B51CEC"/>
    <w:rsid w:val="00B520B5"/>
    <w:rsid w:val="00B52134"/>
    <w:rsid w:val="00B5244D"/>
    <w:rsid w:val="00B52522"/>
    <w:rsid w:val="00B52727"/>
    <w:rsid w:val="00B531F2"/>
    <w:rsid w:val="00B5409D"/>
    <w:rsid w:val="00B54848"/>
    <w:rsid w:val="00B554D6"/>
    <w:rsid w:val="00B55633"/>
    <w:rsid w:val="00B56163"/>
    <w:rsid w:val="00B567D1"/>
    <w:rsid w:val="00B56F0E"/>
    <w:rsid w:val="00B57B90"/>
    <w:rsid w:val="00B57F9B"/>
    <w:rsid w:val="00B60105"/>
    <w:rsid w:val="00B60206"/>
    <w:rsid w:val="00B6061D"/>
    <w:rsid w:val="00B60705"/>
    <w:rsid w:val="00B60753"/>
    <w:rsid w:val="00B60AC7"/>
    <w:rsid w:val="00B60B39"/>
    <w:rsid w:val="00B60F6E"/>
    <w:rsid w:val="00B6193F"/>
    <w:rsid w:val="00B6261D"/>
    <w:rsid w:val="00B62658"/>
    <w:rsid w:val="00B63427"/>
    <w:rsid w:val="00B63D7B"/>
    <w:rsid w:val="00B63E19"/>
    <w:rsid w:val="00B64BC6"/>
    <w:rsid w:val="00B64CCF"/>
    <w:rsid w:val="00B64D32"/>
    <w:rsid w:val="00B64E64"/>
    <w:rsid w:val="00B64F29"/>
    <w:rsid w:val="00B651F2"/>
    <w:rsid w:val="00B65852"/>
    <w:rsid w:val="00B661F8"/>
    <w:rsid w:val="00B66458"/>
    <w:rsid w:val="00B6646E"/>
    <w:rsid w:val="00B6709D"/>
    <w:rsid w:val="00B67113"/>
    <w:rsid w:val="00B67B23"/>
    <w:rsid w:val="00B67EF0"/>
    <w:rsid w:val="00B70A2C"/>
    <w:rsid w:val="00B71036"/>
    <w:rsid w:val="00B712D5"/>
    <w:rsid w:val="00B71911"/>
    <w:rsid w:val="00B71AFA"/>
    <w:rsid w:val="00B71DC4"/>
    <w:rsid w:val="00B72546"/>
    <w:rsid w:val="00B728CD"/>
    <w:rsid w:val="00B72962"/>
    <w:rsid w:val="00B729D4"/>
    <w:rsid w:val="00B72B4C"/>
    <w:rsid w:val="00B7315F"/>
    <w:rsid w:val="00B731DE"/>
    <w:rsid w:val="00B7348F"/>
    <w:rsid w:val="00B73AE5"/>
    <w:rsid w:val="00B7475C"/>
    <w:rsid w:val="00B7618C"/>
    <w:rsid w:val="00B76F86"/>
    <w:rsid w:val="00B7754E"/>
    <w:rsid w:val="00B81668"/>
    <w:rsid w:val="00B81805"/>
    <w:rsid w:val="00B81A46"/>
    <w:rsid w:val="00B81A99"/>
    <w:rsid w:val="00B82456"/>
    <w:rsid w:val="00B825AA"/>
    <w:rsid w:val="00B8269B"/>
    <w:rsid w:val="00B837B6"/>
    <w:rsid w:val="00B84E66"/>
    <w:rsid w:val="00B8588C"/>
    <w:rsid w:val="00B85A19"/>
    <w:rsid w:val="00B866A8"/>
    <w:rsid w:val="00B86970"/>
    <w:rsid w:val="00B87EE2"/>
    <w:rsid w:val="00B90738"/>
    <w:rsid w:val="00B90E48"/>
    <w:rsid w:val="00B910AA"/>
    <w:rsid w:val="00B9124F"/>
    <w:rsid w:val="00B914A1"/>
    <w:rsid w:val="00B91D3B"/>
    <w:rsid w:val="00B92177"/>
    <w:rsid w:val="00B923FC"/>
    <w:rsid w:val="00B929BB"/>
    <w:rsid w:val="00B9320A"/>
    <w:rsid w:val="00B93258"/>
    <w:rsid w:val="00B93376"/>
    <w:rsid w:val="00B93379"/>
    <w:rsid w:val="00B936C4"/>
    <w:rsid w:val="00B938EE"/>
    <w:rsid w:val="00B93A7F"/>
    <w:rsid w:val="00B94177"/>
    <w:rsid w:val="00B942F8"/>
    <w:rsid w:val="00B9495E"/>
    <w:rsid w:val="00B94B70"/>
    <w:rsid w:val="00B94F54"/>
    <w:rsid w:val="00B95084"/>
    <w:rsid w:val="00B956B7"/>
    <w:rsid w:val="00B95ADD"/>
    <w:rsid w:val="00B95C66"/>
    <w:rsid w:val="00B960CC"/>
    <w:rsid w:val="00B96163"/>
    <w:rsid w:val="00B963C9"/>
    <w:rsid w:val="00B966C6"/>
    <w:rsid w:val="00B96C1B"/>
    <w:rsid w:val="00B96E1E"/>
    <w:rsid w:val="00B979D2"/>
    <w:rsid w:val="00BA0012"/>
    <w:rsid w:val="00BA0810"/>
    <w:rsid w:val="00BA0B8A"/>
    <w:rsid w:val="00BA15DC"/>
    <w:rsid w:val="00BA2253"/>
    <w:rsid w:val="00BA2B83"/>
    <w:rsid w:val="00BA2B8E"/>
    <w:rsid w:val="00BA2F37"/>
    <w:rsid w:val="00BA3599"/>
    <w:rsid w:val="00BA4816"/>
    <w:rsid w:val="00BA49BD"/>
    <w:rsid w:val="00BA4F59"/>
    <w:rsid w:val="00BA55B1"/>
    <w:rsid w:val="00BA58DD"/>
    <w:rsid w:val="00BA5FBA"/>
    <w:rsid w:val="00BA73D9"/>
    <w:rsid w:val="00BA7992"/>
    <w:rsid w:val="00BA7BD6"/>
    <w:rsid w:val="00BB0F9C"/>
    <w:rsid w:val="00BB1645"/>
    <w:rsid w:val="00BB17A0"/>
    <w:rsid w:val="00BB1BA6"/>
    <w:rsid w:val="00BB2243"/>
    <w:rsid w:val="00BB2481"/>
    <w:rsid w:val="00BB3034"/>
    <w:rsid w:val="00BB36A1"/>
    <w:rsid w:val="00BB36DC"/>
    <w:rsid w:val="00BB3910"/>
    <w:rsid w:val="00BB435F"/>
    <w:rsid w:val="00BB4B25"/>
    <w:rsid w:val="00BB4B27"/>
    <w:rsid w:val="00BB56BF"/>
    <w:rsid w:val="00BB56D2"/>
    <w:rsid w:val="00BB5DA5"/>
    <w:rsid w:val="00BB60FD"/>
    <w:rsid w:val="00BB7512"/>
    <w:rsid w:val="00BB7AB9"/>
    <w:rsid w:val="00BB7BD2"/>
    <w:rsid w:val="00BB7EBE"/>
    <w:rsid w:val="00BC1725"/>
    <w:rsid w:val="00BC1C46"/>
    <w:rsid w:val="00BC23F8"/>
    <w:rsid w:val="00BC253D"/>
    <w:rsid w:val="00BC27A0"/>
    <w:rsid w:val="00BC2894"/>
    <w:rsid w:val="00BC2927"/>
    <w:rsid w:val="00BC296E"/>
    <w:rsid w:val="00BC2E8F"/>
    <w:rsid w:val="00BC3425"/>
    <w:rsid w:val="00BC3B52"/>
    <w:rsid w:val="00BC42BE"/>
    <w:rsid w:val="00BC4500"/>
    <w:rsid w:val="00BC4A7E"/>
    <w:rsid w:val="00BC5360"/>
    <w:rsid w:val="00BC5539"/>
    <w:rsid w:val="00BC55CE"/>
    <w:rsid w:val="00BC5C38"/>
    <w:rsid w:val="00BC5D70"/>
    <w:rsid w:val="00BC64A1"/>
    <w:rsid w:val="00BC65B1"/>
    <w:rsid w:val="00BC6E73"/>
    <w:rsid w:val="00BC6F4F"/>
    <w:rsid w:val="00BC71B0"/>
    <w:rsid w:val="00BC75A4"/>
    <w:rsid w:val="00BD0332"/>
    <w:rsid w:val="00BD070F"/>
    <w:rsid w:val="00BD0DE0"/>
    <w:rsid w:val="00BD0EF5"/>
    <w:rsid w:val="00BD106E"/>
    <w:rsid w:val="00BD1743"/>
    <w:rsid w:val="00BD18C4"/>
    <w:rsid w:val="00BD1F0F"/>
    <w:rsid w:val="00BD22E3"/>
    <w:rsid w:val="00BD25D1"/>
    <w:rsid w:val="00BD260D"/>
    <w:rsid w:val="00BD2B8A"/>
    <w:rsid w:val="00BD2B8E"/>
    <w:rsid w:val="00BD2D90"/>
    <w:rsid w:val="00BD2ECF"/>
    <w:rsid w:val="00BD3F83"/>
    <w:rsid w:val="00BD45C4"/>
    <w:rsid w:val="00BD4624"/>
    <w:rsid w:val="00BD4D4F"/>
    <w:rsid w:val="00BD4DBA"/>
    <w:rsid w:val="00BD4EF3"/>
    <w:rsid w:val="00BD4F76"/>
    <w:rsid w:val="00BD4F97"/>
    <w:rsid w:val="00BD505C"/>
    <w:rsid w:val="00BD5149"/>
    <w:rsid w:val="00BD578B"/>
    <w:rsid w:val="00BD5EF3"/>
    <w:rsid w:val="00BD6850"/>
    <w:rsid w:val="00BD7CAF"/>
    <w:rsid w:val="00BE0EC3"/>
    <w:rsid w:val="00BE13F6"/>
    <w:rsid w:val="00BE19C1"/>
    <w:rsid w:val="00BE1A6D"/>
    <w:rsid w:val="00BE1D2F"/>
    <w:rsid w:val="00BE2197"/>
    <w:rsid w:val="00BE2208"/>
    <w:rsid w:val="00BE231D"/>
    <w:rsid w:val="00BE2699"/>
    <w:rsid w:val="00BE2881"/>
    <w:rsid w:val="00BE28E8"/>
    <w:rsid w:val="00BE2AB4"/>
    <w:rsid w:val="00BE32E5"/>
    <w:rsid w:val="00BE437E"/>
    <w:rsid w:val="00BE44C6"/>
    <w:rsid w:val="00BE53BB"/>
    <w:rsid w:val="00BE6B34"/>
    <w:rsid w:val="00BE6B70"/>
    <w:rsid w:val="00BE71BA"/>
    <w:rsid w:val="00BF0355"/>
    <w:rsid w:val="00BF0B71"/>
    <w:rsid w:val="00BF10DB"/>
    <w:rsid w:val="00BF1128"/>
    <w:rsid w:val="00BF1B28"/>
    <w:rsid w:val="00BF286B"/>
    <w:rsid w:val="00BF2A0F"/>
    <w:rsid w:val="00BF2DE6"/>
    <w:rsid w:val="00BF355D"/>
    <w:rsid w:val="00BF3929"/>
    <w:rsid w:val="00BF3B3D"/>
    <w:rsid w:val="00BF4598"/>
    <w:rsid w:val="00BF484E"/>
    <w:rsid w:val="00BF4CE2"/>
    <w:rsid w:val="00BF4E8C"/>
    <w:rsid w:val="00BF4FDC"/>
    <w:rsid w:val="00BF5013"/>
    <w:rsid w:val="00BF5063"/>
    <w:rsid w:val="00BF6203"/>
    <w:rsid w:val="00BF6692"/>
    <w:rsid w:val="00BF66B4"/>
    <w:rsid w:val="00BF681E"/>
    <w:rsid w:val="00BF6E22"/>
    <w:rsid w:val="00BF7985"/>
    <w:rsid w:val="00C0024B"/>
    <w:rsid w:val="00C0072D"/>
    <w:rsid w:val="00C00790"/>
    <w:rsid w:val="00C00AB7"/>
    <w:rsid w:val="00C00D20"/>
    <w:rsid w:val="00C00EA3"/>
    <w:rsid w:val="00C01239"/>
    <w:rsid w:val="00C01560"/>
    <w:rsid w:val="00C018A5"/>
    <w:rsid w:val="00C01B88"/>
    <w:rsid w:val="00C02263"/>
    <w:rsid w:val="00C0229E"/>
    <w:rsid w:val="00C02959"/>
    <w:rsid w:val="00C031F7"/>
    <w:rsid w:val="00C032D5"/>
    <w:rsid w:val="00C03AB4"/>
    <w:rsid w:val="00C0452D"/>
    <w:rsid w:val="00C0499B"/>
    <w:rsid w:val="00C050B1"/>
    <w:rsid w:val="00C053A3"/>
    <w:rsid w:val="00C056EF"/>
    <w:rsid w:val="00C05F16"/>
    <w:rsid w:val="00C06945"/>
    <w:rsid w:val="00C0737C"/>
    <w:rsid w:val="00C07419"/>
    <w:rsid w:val="00C0786E"/>
    <w:rsid w:val="00C079A6"/>
    <w:rsid w:val="00C07ADE"/>
    <w:rsid w:val="00C102D8"/>
    <w:rsid w:val="00C1056B"/>
    <w:rsid w:val="00C109DA"/>
    <w:rsid w:val="00C11DD7"/>
    <w:rsid w:val="00C11EC7"/>
    <w:rsid w:val="00C120B0"/>
    <w:rsid w:val="00C122E0"/>
    <w:rsid w:val="00C12342"/>
    <w:rsid w:val="00C1275B"/>
    <w:rsid w:val="00C12BCF"/>
    <w:rsid w:val="00C1300B"/>
    <w:rsid w:val="00C14470"/>
    <w:rsid w:val="00C1489A"/>
    <w:rsid w:val="00C14CD1"/>
    <w:rsid w:val="00C1577B"/>
    <w:rsid w:val="00C15A8A"/>
    <w:rsid w:val="00C167F2"/>
    <w:rsid w:val="00C16D57"/>
    <w:rsid w:val="00C17B68"/>
    <w:rsid w:val="00C200DB"/>
    <w:rsid w:val="00C20262"/>
    <w:rsid w:val="00C203D2"/>
    <w:rsid w:val="00C20B7D"/>
    <w:rsid w:val="00C21CDA"/>
    <w:rsid w:val="00C22AE7"/>
    <w:rsid w:val="00C22DB1"/>
    <w:rsid w:val="00C22E0C"/>
    <w:rsid w:val="00C2302D"/>
    <w:rsid w:val="00C23C5F"/>
    <w:rsid w:val="00C23E61"/>
    <w:rsid w:val="00C24110"/>
    <w:rsid w:val="00C242A3"/>
    <w:rsid w:val="00C24507"/>
    <w:rsid w:val="00C2501F"/>
    <w:rsid w:val="00C25130"/>
    <w:rsid w:val="00C25214"/>
    <w:rsid w:val="00C255FD"/>
    <w:rsid w:val="00C25F23"/>
    <w:rsid w:val="00C26E76"/>
    <w:rsid w:val="00C26EBB"/>
    <w:rsid w:val="00C27045"/>
    <w:rsid w:val="00C277DD"/>
    <w:rsid w:val="00C2791D"/>
    <w:rsid w:val="00C30BE0"/>
    <w:rsid w:val="00C31083"/>
    <w:rsid w:val="00C31BAC"/>
    <w:rsid w:val="00C31E1A"/>
    <w:rsid w:val="00C322C0"/>
    <w:rsid w:val="00C322E6"/>
    <w:rsid w:val="00C3268E"/>
    <w:rsid w:val="00C32C61"/>
    <w:rsid w:val="00C33E12"/>
    <w:rsid w:val="00C33E54"/>
    <w:rsid w:val="00C3405E"/>
    <w:rsid w:val="00C344BD"/>
    <w:rsid w:val="00C34858"/>
    <w:rsid w:val="00C34B49"/>
    <w:rsid w:val="00C35027"/>
    <w:rsid w:val="00C35668"/>
    <w:rsid w:val="00C35782"/>
    <w:rsid w:val="00C35DFC"/>
    <w:rsid w:val="00C36964"/>
    <w:rsid w:val="00C36EAD"/>
    <w:rsid w:val="00C3700B"/>
    <w:rsid w:val="00C370F1"/>
    <w:rsid w:val="00C3768B"/>
    <w:rsid w:val="00C37D71"/>
    <w:rsid w:val="00C37E9D"/>
    <w:rsid w:val="00C4028B"/>
    <w:rsid w:val="00C406A2"/>
    <w:rsid w:val="00C40D6B"/>
    <w:rsid w:val="00C40F84"/>
    <w:rsid w:val="00C41B87"/>
    <w:rsid w:val="00C42C00"/>
    <w:rsid w:val="00C42CF2"/>
    <w:rsid w:val="00C42D7B"/>
    <w:rsid w:val="00C42D85"/>
    <w:rsid w:val="00C43664"/>
    <w:rsid w:val="00C43744"/>
    <w:rsid w:val="00C4405D"/>
    <w:rsid w:val="00C44C79"/>
    <w:rsid w:val="00C44EEF"/>
    <w:rsid w:val="00C45C41"/>
    <w:rsid w:val="00C45C9C"/>
    <w:rsid w:val="00C4692E"/>
    <w:rsid w:val="00C477CC"/>
    <w:rsid w:val="00C4798D"/>
    <w:rsid w:val="00C479CC"/>
    <w:rsid w:val="00C50231"/>
    <w:rsid w:val="00C502FA"/>
    <w:rsid w:val="00C503AA"/>
    <w:rsid w:val="00C5085E"/>
    <w:rsid w:val="00C50E12"/>
    <w:rsid w:val="00C50F84"/>
    <w:rsid w:val="00C51107"/>
    <w:rsid w:val="00C515C0"/>
    <w:rsid w:val="00C51950"/>
    <w:rsid w:val="00C51D2B"/>
    <w:rsid w:val="00C52CB4"/>
    <w:rsid w:val="00C52D9D"/>
    <w:rsid w:val="00C53A9C"/>
    <w:rsid w:val="00C53E54"/>
    <w:rsid w:val="00C53F53"/>
    <w:rsid w:val="00C5434D"/>
    <w:rsid w:val="00C552E7"/>
    <w:rsid w:val="00C56228"/>
    <w:rsid w:val="00C566C5"/>
    <w:rsid w:val="00C5684E"/>
    <w:rsid w:val="00C5710A"/>
    <w:rsid w:val="00C571D9"/>
    <w:rsid w:val="00C5745D"/>
    <w:rsid w:val="00C5766B"/>
    <w:rsid w:val="00C577EE"/>
    <w:rsid w:val="00C57CD4"/>
    <w:rsid w:val="00C60EF0"/>
    <w:rsid w:val="00C614C4"/>
    <w:rsid w:val="00C6293C"/>
    <w:rsid w:val="00C63387"/>
    <w:rsid w:val="00C634A4"/>
    <w:rsid w:val="00C63687"/>
    <w:rsid w:val="00C638A6"/>
    <w:rsid w:val="00C63A56"/>
    <w:rsid w:val="00C63A76"/>
    <w:rsid w:val="00C63B36"/>
    <w:rsid w:val="00C64E2E"/>
    <w:rsid w:val="00C6536B"/>
    <w:rsid w:val="00C6594C"/>
    <w:rsid w:val="00C65B0A"/>
    <w:rsid w:val="00C65B38"/>
    <w:rsid w:val="00C65E0D"/>
    <w:rsid w:val="00C661E5"/>
    <w:rsid w:val="00C66D01"/>
    <w:rsid w:val="00C66F7A"/>
    <w:rsid w:val="00C674B8"/>
    <w:rsid w:val="00C67D04"/>
    <w:rsid w:val="00C70046"/>
    <w:rsid w:val="00C703A0"/>
    <w:rsid w:val="00C706E3"/>
    <w:rsid w:val="00C71061"/>
    <w:rsid w:val="00C71930"/>
    <w:rsid w:val="00C7215D"/>
    <w:rsid w:val="00C7301B"/>
    <w:rsid w:val="00C73EFF"/>
    <w:rsid w:val="00C74431"/>
    <w:rsid w:val="00C744B3"/>
    <w:rsid w:val="00C748A3"/>
    <w:rsid w:val="00C75D2B"/>
    <w:rsid w:val="00C779FC"/>
    <w:rsid w:val="00C77CCE"/>
    <w:rsid w:val="00C77EF9"/>
    <w:rsid w:val="00C80752"/>
    <w:rsid w:val="00C807B8"/>
    <w:rsid w:val="00C812EC"/>
    <w:rsid w:val="00C81D7D"/>
    <w:rsid w:val="00C82001"/>
    <w:rsid w:val="00C8286E"/>
    <w:rsid w:val="00C82C02"/>
    <w:rsid w:val="00C83575"/>
    <w:rsid w:val="00C84C6A"/>
    <w:rsid w:val="00C84D3A"/>
    <w:rsid w:val="00C850F1"/>
    <w:rsid w:val="00C852D3"/>
    <w:rsid w:val="00C8545E"/>
    <w:rsid w:val="00C85E0E"/>
    <w:rsid w:val="00C85F0C"/>
    <w:rsid w:val="00C85F89"/>
    <w:rsid w:val="00C85FEC"/>
    <w:rsid w:val="00C86739"/>
    <w:rsid w:val="00C874C6"/>
    <w:rsid w:val="00C9023D"/>
    <w:rsid w:val="00C90C75"/>
    <w:rsid w:val="00C9129C"/>
    <w:rsid w:val="00C912F5"/>
    <w:rsid w:val="00C91856"/>
    <w:rsid w:val="00C91E05"/>
    <w:rsid w:val="00C9231B"/>
    <w:rsid w:val="00C929DC"/>
    <w:rsid w:val="00C93BCC"/>
    <w:rsid w:val="00C93CB2"/>
    <w:rsid w:val="00C9510B"/>
    <w:rsid w:val="00C96304"/>
    <w:rsid w:val="00C9665B"/>
    <w:rsid w:val="00C968A8"/>
    <w:rsid w:val="00C96EAF"/>
    <w:rsid w:val="00C975B1"/>
    <w:rsid w:val="00C977E1"/>
    <w:rsid w:val="00C97E2A"/>
    <w:rsid w:val="00CA0274"/>
    <w:rsid w:val="00CA0B21"/>
    <w:rsid w:val="00CA0EEE"/>
    <w:rsid w:val="00CA1BF4"/>
    <w:rsid w:val="00CA1F75"/>
    <w:rsid w:val="00CA208D"/>
    <w:rsid w:val="00CA20C0"/>
    <w:rsid w:val="00CA21F8"/>
    <w:rsid w:val="00CA2C89"/>
    <w:rsid w:val="00CA3677"/>
    <w:rsid w:val="00CA38F0"/>
    <w:rsid w:val="00CA4174"/>
    <w:rsid w:val="00CA562A"/>
    <w:rsid w:val="00CA58D9"/>
    <w:rsid w:val="00CA607A"/>
    <w:rsid w:val="00CA6703"/>
    <w:rsid w:val="00CA687D"/>
    <w:rsid w:val="00CA6D8E"/>
    <w:rsid w:val="00CA71BB"/>
    <w:rsid w:val="00CA733D"/>
    <w:rsid w:val="00CA7592"/>
    <w:rsid w:val="00CA7657"/>
    <w:rsid w:val="00CB0206"/>
    <w:rsid w:val="00CB028E"/>
    <w:rsid w:val="00CB0A9A"/>
    <w:rsid w:val="00CB0CB9"/>
    <w:rsid w:val="00CB16EC"/>
    <w:rsid w:val="00CB18FE"/>
    <w:rsid w:val="00CB2905"/>
    <w:rsid w:val="00CB361B"/>
    <w:rsid w:val="00CB3621"/>
    <w:rsid w:val="00CB371A"/>
    <w:rsid w:val="00CB441F"/>
    <w:rsid w:val="00CB48B4"/>
    <w:rsid w:val="00CB4965"/>
    <w:rsid w:val="00CB58E6"/>
    <w:rsid w:val="00CB5A26"/>
    <w:rsid w:val="00CB626E"/>
    <w:rsid w:val="00CB659A"/>
    <w:rsid w:val="00CB7184"/>
    <w:rsid w:val="00CB739D"/>
    <w:rsid w:val="00CB7B23"/>
    <w:rsid w:val="00CC0523"/>
    <w:rsid w:val="00CC0536"/>
    <w:rsid w:val="00CC095E"/>
    <w:rsid w:val="00CC0AB0"/>
    <w:rsid w:val="00CC2A54"/>
    <w:rsid w:val="00CC2DB9"/>
    <w:rsid w:val="00CC3407"/>
    <w:rsid w:val="00CC360C"/>
    <w:rsid w:val="00CC369A"/>
    <w:rsid w:val="00CC3ECB"/>
    <w:rsid w:val="00CC40B7"/>
    <w:rsid w:val="00CC505E"/>
    <w:rsid w:val="00CC51E9"/>
    <w:rsid w:val="00CC54CC"/>
    <w:rsid w:val="00CC54FC"/>
    <w:rsid w:val="00CC65D6"/>
    <w:rsid w:val="00CC6888"/>
    <w:rsid w:val="00CC6BD2"/>
    <w:rsid w:val="00CC6D8C"/>
    <w:rsid w:val="00CC6DED"/>
    <w:rsid w:val="00CC78BA"/>
    <w:rsid w:val="00CC7DF2"/>
    <w:rsid w:val="00CD0164"/>
    <w:rsid w:val="00CD01A9"/>
    <w:rsid w:val="00CD0D1A"/>
    <w:rsid w:val="00CD147F"/>
    <w:rsid w:val="00CD2364"/>
    <w:rsid w:val="00CD2799"/>
    <w:rsid w:val="00CD3426"/>
    <w:rsid w:val="00CD38F1"/>
    <w:rsid w:val="00CD3D02"/>
    <w:rsid w:val="00CD3E96"/>
    <w:rsid w:val="00CD4539"/>
    <w:rsid w:val="00CD4872"/>
    <w:rsid w:val="00CD4951"/>
    <w:rsid w:val="00CD4A5F"/>
    <w:rsid w:val="00CD5A41"/>
    <w:rsid w:val="00CD5C50"/>
    <w:rsid w:val="00CD5CE7"/>
    <w:rsid w:val="00CD5DE3"/>
    <w:rsid w:val="00CD64C1"/>
    <w:rsid w:val="00CD6801"/>
    <w:rsid w:val="00CD6E19"/>
    <w:rsid w:val="00CD7296"/>
    <w:rsid w:val="00CD75B4"/>
    <w:rsid w:val="00CE0006"/>
    <w:rsid w:val="00CE033B"/>
    <w:rsid w:val="00CE0D6E"/>
    <w:rsid w:val="00CE162F"/>
    <w:rsid w:val="00CE1986"/>
    <w:rsid w:val="00CE1B09"/>
    <w:rsid w:val="00CE1BC2"/>
    <w:rsid w:val="00CE1F6E"/>
    <w:rsid w:val="00CE23DD"/>
    <w:rsid w:val="00CE34A1"/>
    <w:rsid w:val="00CE4854"/>
    <w:rsid w:val="00CE4A08"/>
    <w:rsid w:val="00CE5B1A"/>
    <w:rsid w:val="00CE5E0A"/>
    <w:rsid w:val="00CE601F"/>
    <w:rsid w:val="00CE69CA"/>
    <w:rsid w:val="00CE72AD"/>
    <w:rsid w:val="00CE7592"/>
    <w:rsid w:val="00CE7870"/>
    <w:rsid w:val="00CE7AA2"/>
    <w:rsid w:val="00CF0765"/>
    <w:rsid w:val="00CF0A0A"/>
    <w:rsid w:val="00CF0FA3"/>
    <w:rsid w:val="00CF158D"/>
    <w:rsid w:val="00CF1728"/>
    <w:rsid w:val="00CF1FC3"/>
    <w:rsid w:val="00CF2FC9"/>
    <w:rsid w:val="00CF35D7"/>
    <w:rsid w:val="00CF4281"/>
    <w:rsid w:val="00CF5E64"/>
    <w:rsid w:val="00CF60E1"/>
    <w:rsid w:val="00CF6759"/>
    <w:rsid w:val="00CF6977"/>
    <w:rsid w:val="00CF6F66"/>
    <w:rsid w:val="00CF73F4"/>
    <w:rsid w:val="00CF7AB8"/>
    <w:rsid w:val="00D0073F"/>
    <w:rsid w:val="00D00EEE"/>
    <w:rsid w:val="00D00FE6"/>
    <w:rsid w:val="00D0121A"/>
    <w:rsid w:val="00D0126A"/>
    <w:rsid w:val="00D01A98"/>
    <w:rsid w:val="00D01C9D"/>
    <w:rsid w:val="00D01F03"/>
    <w:rsid w:val="00D021D2"/>
    <w:rsid w:val="00D0249A"/>
    <w:rsid w:val="00D02AF2"/>
    <w:rsid w:val="00D02F9C"/>
    <w:rsid w:val="00D035E9"/>
    <w:rsid w:val="00D040E4"/>
    <w:rsid w:val="00D04163"/>
    <w:rsid w:val="00D043CC"/>
    <w:rsid w:val="00D04A7D"/>
    <w:rsid w:val="00D04E7A"/>
    <w:rsid w:val="00D05367"/>
    <w:rsid w:val="00D05551"/>
    <w:rsid w:val="00D05688"/>
    <w:rsid w:val="00D056A5"/>
    <w:rsid w:val="00D05C11"/>
    <w:rsid w:val="00D065CA"/>
    <w:rsid w:val="00D068C5"/>
    <w:rsid w:val="00D06B86"/>
    <w:rsid w:val="00D06C3C"/>
    <w:rsid w:val="00D06DF5"/>
    <w:rsid w:val="00D079A8"/>
    <w:rsid w:val="00D07D10"/>
    <w:rsid w:val="00D10DB1"/>
    <w:rsid w:val="00D112CC"/>
    <w:rsid w:val="00D11F9C"/>
    <w:rsid w:val="00D12428"/>
    <w:rsid w:val="00D12CAF"/>
    <w:rsid w:val="00D12E7A"/>
    <w:rsid w:val="00D135B5"/>
    <w:rsid w:val="00D136BA"/>
    <w:rsid w:val="00D1422A"/>
    <w:rsid w:val="00D15306"/>
    <w:rsid w:val="00D15565"/>
    <w:rsid w:val="00D15B49"/>
    <w:rsid w:val="00D179D0"/>
    <w:rsid w:val="00D179E6"/>
    <w:rsid w:val="00D17D60"/>
    <w:rsid w:val="00D203D0"/>
    <w:rsid w:val="00D20C7B"/>
    <w:rsid w:val="00D20FD6"/>
    <w:rsid w:val="00D214B1"/>
    <w:rsid w:val="00D214CA"/>
    <w:rsid w:val="00D21E10"/>
    <w:rsid w:val="00D220AD"/>
    <w:rsid w:val="00D220D6"/>
    <w:rsid w:val="00D22338"/>
    <w:rsid w:val="00D22429"/>
    <w:rsid w:val="00D228B7"/>
    <w:rsid w:val="00D232BB"/>
    <w:rsid w:val="00D2334D"/>
    <w:rsid w:val="00D23935"/>
    <w:rsid w:val="00D23CC5"/>
    <w:rsid w:val="00D25102"/>
    <w:rsid w:val="00D2529F"/>
    <w:rsid w:val="00D2535E"/>
    <w:rsid w:val="00D25674"/>
    <w:rsid w:val="00D256B3"/>
    <w:rsid w:val="00D25DA8"/>
    <w:rsid w:val="00D2609E"/>
    <w:rsid w:val="00D2658C"/>
    <w:rsid w:val="00D2713D"/>
    <w:rsid w:val="00D30071"/>
    <w:rsid w:val="00D30121"/>
    <w:rsid w:val="00D3115A"/>
    <w:rsid w:val="00D3142B"/>
    <w:rsid w:val="00D31F8A"/>
    <w:rsid w:val="00D32AA1"/>
    <w:rsid w:val="00D32AFB"/>
    <w:rsid w:val="00D336E7"/>
    <w:rsid w:val="00D33B5A"/>
    <w:rsid w:val="00D33CB0"/>
    <w:rsid w:val="00D33FE9"/>
    <w:rsid w:val="00D3483C"/>
    <w:rsid w:val="00D351CF"/>
    <w:rsid w:val="00D35785"/>
    <w:rsid w:val="00D35809"/>
    <w:rsid w:val="00D35B01"/>
    <w:rsid w:val="00D35EEE"/>
    <w:rsid w:val="00D35EF7"/>
    <w:rsid w:val="00D360D4"/>
    <w:rsid w:val="00D36B7A"/>
    <w:rsid w:val="00D37669"/>
    <w:rsid w:val="00D37861"/>
    <w:rsid w:val="00D37918"/>
    <w:rsid w:val="00D4147C"/>
    <w:rsid w:val="00D418CC"/>
    <w:rsid w:val="00D418EC"/>
    <w:rsid w:val="00D41BAA"/>
    <w:rsid w:val="00D420AA"/>
    <w:rsid w:val="00D42467"/>
    <w:rsid w:val="00D44B50"/>
    <w:rsid w:val="00D44E57"/>
    <w:rsid w:val="00D45229"/>
    <w:rsid w:val="00D4549C"/>
    <w:rsid w:val="00D45E14"/>
    <w:rsid w:val="00D46368"/>
    <w:rsid w:val="00D46464"/>
    <w:rsid w:val="00D46DF6"/>
    <w:rsid w:val="00D46ED3"/>
    <w:rsid w:val="00D47C8D"/>
    <w:rsid w:val="00D50463"/>
    <w:rsid w:val="00D5051B"/>
    <w:rsid w:val="00D50D3F"/>
    <w:rsid w:val="00D51205"/>
    <w:rsid w:val="00D51F7A"/>
    <w:rsid w:val="00D52D03"/>
    <w:rsid w:val="00D5345C"/>
    <w:rsid w:val="00D535AA"/>
    <w:rsid w:val="00D53A06"/>
    <w:rsid w:val="00D53A9E"/>
    <w:rsid w:val="00D54469"/>
    <w:rsid w:val="00D54D56"/>
    <w:rsid w:val="00D55D79"/>
    <w:rsid w:val="00D562D9"/>
    <w:rsid w:val="00D56307"/>
    <w:rsid w:val="00D56399"/>
    <w:rsid w:val="00D56DEA"/>
    <w:rsid w:val="00D5721E"/>
    <w:rsid w:val="00D57328"/>
    <w:rsid w:val="00D57DDD"/>
    <w:rsid w:val="00D60D88"/>
    <w:rsid w:val="00D61045"/>
    <w:rsid w:val="00D61A51"/>
    <w:rsid w:val="00D61D01"/>
    <w:rsid w:val="00D62AB2"/>
    <w:rsid w:val="00D62B0C"/>
    <w:rsid w:val="00D634DF"/>
    <w:rsid w:val="00D6418C"/>
    <w:rsid w:val="00D643ED"/>
    <w:rsid w:val="00D64410"/>
    <w:rsid w:val="00D64A2E"/>
    <w:rsid w:val="00D650C2"/>
    <w:rsid w:val="00D65A16"/>
    <w:rsid w:val="00D66714"/>
    <w:rsid w:val="00D66E19"/>
    <w:rsid w:val="00D66FC9"/>
    <w:rsid w:val="00D6737D"/>
    <w:rsid w:val="00D675A3"/>
    <w:rsid w:val="00D70C74"/>
    <w:rsid w:val="00D71116"/>
    <w:rsid w:val="00D71662"/>
    <w:rsid w:val="00D71CF6"/>
    <w:rsid w:val="00D7219A"/>
    <w:rsid w:val="00D723BC"/>
    <w:rsid w:val="00D72488"/>
    <w:rsid w:val="00D7250B"/>
    <w:rsid w:val="00D7285D"/>
    <w:rsid w:val="00D73126"/>
    <w:rsid w:val="00D732CA"/>
    <w:rsid w:val="00D7339C"/>
    <w:rsid w:val="00D73D16"/>
    <w:rsid w:val="00D73F59"/>
    <w:rsid w:val="00D74434"/>
    <w:rsid w:val="00D74948"/>
    <w:rsid w:val="00D74CEB"/>
    <w:rsid w:val="00D75104"/>
    <w:rsid w:val="00D75904"/>
    <w:rsid w:val="00D75C47"/>
    <w:rsid w:val="00D763E8"/>
    <w:rsid w:val="00D768BC"/>
    <w:rsid w:val="00D76CFF"/>
    <w:rsid w:val="00D7785D"/>
    <w:rsid w:val="00D77C81"/>
    <w:rsid w:val="00D8027B"/>
    <w:rsid w:val="00D80348"/>
    <w:rsid w:val="00D80ED1"/>
    <w:rsid w:val="00D8185D"/>
    <w:rsid w:val="00D81866"/>
    <w:rsid w:val="00D821F1"/>
    <w:rsid w:val="00D82278"/>
    <w:rsid w:val="00D8256D"/>
    <w:rsid w:val="00D82A1F"/>
    <w:rsid w:val="00D83F32"/>
    <w:rsid w:val="00D84442"/>
    <w:rsid w:val="00D84B38"/>
    <w:rsid w:val="00D851BC"/>
    <w:rsid w:val="00D86D04"/>
    <w:rsid w:val="00D871A6"/>
    <w:rsid w:val="00D874C0"/>
    <w:rsid w:val="00D8763F"/>
    <w:rsid w:val="00D87B90"/>
    <w:rsid w:val="00D904E0"/>
    <w:rsid w:val="00D909CE"/>
    <w:rsid w:val="00D909EE"/>
    <w:rsid w:val="00D916FA"/>
    <w:rsid w:val="00D92825"/>
    <w:rsid w:val="00D936A8"/>
    <w:rsid w:val="00D9375C"/>
    <w:rsid w:val="00D9391B"/>
    <w:rsid w:val="00D93990"/>
    <w:rsid w:val="00D93BBC"/>
    <w:rsid w:val="00D941D7"/>
    <w:rsid w:val="00D9463E"/>
    <w:rsid w:val="00D94B1F"/>
    <w:rsid w:val="00D94D96"/>
    <w:rsid w:val="00D95A54"/>
    <w:rsid w:val="00D95CCB"/>
    <w:rsid w:val="00D96228"/>
    <w:rsid w:val="00D9641F"/>
    <w:rsid w:val="00D96B1B"/>
    <w:rsid w:val="00D974B7"/>
    <w:rsid w:val="00D9761A"/>
    <w:rsid w:val="00D97B85"/>
    <w:rsid w:val="00DA016E"/>
    <w:rsid w:val="00DA0946"/>
    <w:rsid w:val="00DA0DA4"/>
    <w:rsid w:val="00DA10F5"/>
    <w:rsid w:val="00DA1CD4"/>
    <w:rsid w:val="00DA1D7C"/>
    <w:rsid w:val="00DA216C"/>
    <w:rsid w:val="00DA24E4"/>
    <w:rsid w:val="00DA2A29"/>
    <w:rsid w:val="00DA36D3"/>
    <w:rsid w:val="00DA39E2"/>
    <w:rsid w:val="00DA3F80"/>
    <w:rsid w:val="00DA40F9"/>
    <w:rsid w:val="00DA410D"/>
    <w:rsid w:val="00DA547A"/>
    <w:rsid w:val="00DA5AB2"/>
    <w:rsid w:val="00DA6087"/>
    <w:rsid w:val="00DA60F8"/>
    <w:rsid w:val="00DA665D"/>
    <w:rsid w:val="00DA7F48"/>
    <w:rsid w:val="00DA7F68"/>
    <w:rsid w:val="00DB030E"/>
    <w:rsid w:val="00DB03D3"/>
    <w:rsid w:val="00DB0715"/>
    <w:rsid w:val="00DB0A8B"/>
    <w:rsid w:val="00DB0AA9"/>
    <w:rsid w:val="00DB0BCF"/>
    <w:rsid w:val="00DB0DE3"/>
    <w:rsid w:val="00DB1F1F"/>
    <w:rsid w:val="00DB24D1"/>
    <w:rsid w:val="00DB25D2"/>
    <w:rsid w:val="00DB2D41"/>
    <w:rsid w:val="00DB3D52"/>
    <w:rsid w:val="00DB3EB0"/>
    <w:rsid w:val="00DB42AA"/>
    <w:rsid w:val="00DB45A3"/>
    <w:rsid w:val="00DB6CA5"/>
    <w:rsid w:val="00DB7151"/>
    <w:rsid w:val="00DB74E7"/>
    <w:rsid w:val="00DB79B6"/>
    <w:rsid w:val="00DB7BC6"/>
    <w:rsid w:val="00DC0CDE"/>
    <w:rsid w:val="00DC1139"/>
    <w:rsid w:val="00DC16D9"/>
    <w:rsid w:val="00DC188C"/>
    <w:rsid w:val="00DC2105"/>
    <w:rsid w:val="00DC2D23"/>
    <w:rsid w:val="00DC2D67"/>
    <w:rsid w:val="00DC2DB9"/>
    <w:rsid w:val="00DC3655"/>
    <w:rsid w:val="00DC3787"/>
    <w:rsid w:val="00DC3B32"/>
    <w:rsid w:val="00DC400F"/>
    <w:rsid w:val="00DC463A"/>
    <w:rsid w:val="00DC4928"/>
    <w:rsid w:val="00DC5316"/>
    <w:rsid w:val="00DC5345"/>
    <w:rsid w:val="00DC55B0"/>
    <w:rsid w:val="00DC586C"/>
    <w:rsid w:val="00DC602F"/>
    <w:rsid w:val="00DC621C"/>
    <w:rsid w:val="00DC68E0"/>
    <w:rsid w:val="00DC6D3D"/>
    <w:rsid w:val="00DC72A2"/>
    <w:rsid w:val="00DC77A8"/>
    <w:rsid w:val="00DC7CEA"/>
    <w:rsid w:val="00DC7E88"/>
    <w:rsid w:val="00DD038A"/>
    <w:rsid w:val="00DD09D9"/>
    <w:rsid w:val="00DD12F2"/>
    <w:rsid w:val="00DD1836"/>
    <w:rsid w:val="00DD2197"/>
    <w:rsid w:val="00DD2577"/>
    <w:rsid w:val="00DD2968"/>
    <w:rsid w:val="00DD2D46"/>
    <w:rsid w:val="00DD32C9"/>
    <w:rsid w:val="00DD35D3"/>
    <w:rsid w:val="00DD4818"/>
    <w:rsid w:val="00DD4ADB"/>
    <w:rsid w:val="00DD528D"/>
    <w:rsid w:val="00DD5CF8"/>
    <w:rsid w:val="00DD5FE0"/>
    <w:rsid w:val="00DD636A"/>
    <w:rsid w:val="00DD6681"/>
    <w:rsid w:val="00DD6B94"/>
    <w:rsid w:val="00DD77A5"/>
    <w:rsid w:val="00DD7946"/>
    <w:rsid w:val="00DD7FD4"/>
    <w:rsid w:val="00DE0302"/>
    <w:rsid w:val="00DE0A6D"/>
    <w:rsid w:val="00DE10C7"/>
    <w:rsid w:val="00DE1B05"/>
    <w:rsid w:val="00DE1E01"/>
    <w:rsid w:val="00DE253F"/>
    <w:rsid w:val="00DE25C9"/>
    <w:rsid w:val="00DE2718"/>
    <w:rsid w:val="00DE2971"/>
    <w:rsid w:val="00DE38C9"/>
    <w:rsid w:val="00DE3C55"/>
    <w:rsid w:val="00DE53C4"/>
    <w:rsid w:val="00DE5431"/>
    <w:rsid w:val="00DE54A0"/>
    <w:rsid w:val="00DE5696"/>
    <w:rsid w:val="00DE5A09"/>
    <w:rsid w:val="00DE653C"/>
    <w:rsid w:val="00DE6CB4"/>
    <w:rsid w:val="00DE7509"/>
    <w:rsid w:val="00DF0E29"/>
    <w:rsid w:val="00DF1327"/>
    <w:rsid w:val="00DF1E36"/>
    <w:rsid w:val="00DF1FCE"/>
    <w:rsid w:val="00DF21B8"/>
    <w:rsid w:val="00DF25B4"/>
    <w:rsid w:val="00DF25BD"/>
    <w:rsid w:val="00DF284E"/>
    <w:rsid w:val="00DF2D70"/>
    <w:rsid w:val="00DF2D75"/>
    <w:rsid w:val="00DF32E0"/>
    <w:rsid w:val="00DF33E4"/>
    <w:rsid w:val="00DF36E2"/>
    <w:rsid w:val="00DF3757"/>
    <w:rsid w:val="00DF3865"/>
    <w:rsid w:val="00DF3C9B"/>
    <w:rsid w:val="00DF5036"/>
    <w:rsid w:val="00DF51E6"/>
    <w:rsid w:val="00DF5CBB"/>
    <w:rsid w:val="00DF6026"/>
    <w:rsid w:val="00DF6397"/>
    <w:rsid w:val="00DF657E"/>
    <w:rsid w:val="00DF6DD8"/>
    <w:rsid w:val="00DF6E98"/>
    <w:rsid w:val="00DF6F6A"/>
    <w:rsid w:val="00DF71FE"/>
    <w:rsid w:val="00DF7389"/>
    <w:rsid w:val="00DF763E"/>
    <w:rsid w:val="00DF7BD9"/>
    <w:rsid w:val="00DF7F5D"/>
    <w:rsid w:val="00E00005"/>
    <w:rsid w:val="00E00888"/>
    <w:rsid w:val="00E00BE4"/>
    <w:rsid w:val="00E01418"/>
    <w:rsid w:val="00E0262E"/>
    <w:rsid w:val="00E027D0"/>
    <w:rsid w:val="00E03020"/>
    <w:rsid w:val="00E030E3"/>
    <w:rsid w:val="00E0367B"/>
    <w:rsid w:val="00E0455E"/>
    <w:rsid w:val="00E0473E"/>
    <w:rsid w:val="00E049A3"/>
    <w:rsid w:val="00E04D51"/>
    <w:rsid w:val="00E0567B"/>
    <w:rsid w:val="00E056CB"/>
    <w:rsid w:val="00E059E1"/>
    <w:rsid w:val="00E059F5"/>
    <w:rsid w:val="00E05EAB"/>
    <w:rsid w:val="00E06799"/>
    <w:rsid w:val="00E069B6"/>
    <w:rsid w:val="00E0708D"/>
    <w:rsid w:val="00E07486"/>
    <w:rsid w:val="00E10ABD"/>
    <w:rsid w:val="00E11182"/>
    <w:rsid w:val="00E11BB7"/>
    <w:rsid w:val="00E11C11"/>
    <w:rsid w:val="00E11F97"/>
    <w:rsid w:val="00E125DD"/>
    <w:rsid w:val="00E12C78"/>
    <w:rsid w:val="00E12D8D"/>
    <w:rsid w:val="00E13170"/>
    <w:rsid w:val="00E134A0"/>
    <w:rsid w:val="00E13AF5"/>
    <w:rsid w:val="00E13D83"/>
    <w:rsid w:val="00E13FC7"/>
    <w:rsid w:val="00E14155"/>
    <w:rsid w:val="00E15650"/>
    <w:rsid w:val="00E15C37"/>
    <w:rsid w:val="00E16007"/>
    <w:rsid w:val="00E16EBA"/>
    <w:rsid w:val="00E16F83"/>
    <w:rsid w:val="00E1735F"/>
    <w:rsid w:val="00E174A6"/>
    <w:rsid w:val="00E17EF7"/>
    <w:rsid w:val="00E206EB"/>
    <w:rsid w:val="00E20BA2"/>
    <w:rsid w:val="00E211C0"/>
    <w:rsid w:val="00E21C48"/>
    <w:rsid w:val="00E21C8E"/>
    <w:rsid w:val="00E2278B"/>
    <w:rsid w:val="00E229B9"/>
    <w:rsid w:val="00E22EB4"/>
    <w:rsid w:val="00E22FB3"/>
    <w:rsid w:val="00E23A54"/>
    <w:rsid w:val="00E23EFF"/>
    <w:rsid w:val="00E24065"/>
    <w:rsid w:val="00E24D3B"/>
    <w:rsid w:val="00E24FCE"/>
    <w:rsid w:val="00E2513E"/>
    <w:rsid w:val="00E258FF"/>
    <w:rsid w:val="00E25BF5"/>
    <w:rsid w:val="00E26AEB"/>
    <w:rsid w:val="00E26E72"/>
    <w:rsid w:val="00E26F87"/>
    <w:rsid w:val="00E27660"/>
    <w:rsid w:val="00E2772E"/>
    <w:rsid w:val="00E2799D"/>
    <w:rsid w:val="00E30A51"/>
    <w:rsid w:val="00E31076"/>
    <w:rsid w:val="00E3107F"/>
    <w:rsid w:val="00E3172E"/>
    <w:rsid w:val="00E31733"/>
    <w:rsid w:val="00E31979"/>
    <w:rsid w:val="00E31F9A"/>
    <w:rsid w:val="00E321DA"/>
    <w:rsid w:val="00E32206"/>
    <w:rsid w:val="00E32AB7"/>
    <w:rsid w:val="00E32E50"/>
    <w:rsid w:val="00E33057"/>
    <w:rsid w:val="00E33C0F"/>
    <w:rsid w:val="00E34265"/>
    <w:rsid w:val="00E34711"/>
    <w:rsid w:val="00E35288"/>
    <w:rsid w:val="00E3620B"/>
    <w:rsid w:val="00E369F7"/>
    <w:rsid w:val="00E374C8"/>
    <w:rsid w:val="00E37BF7"/>
    <w:rsid w:val="00E401A1"/>
    <w:rsid w:val="00E42A5A"/>
    <w:rsid w:val="00E42CB6"/>
    <w:rsid w:val="00E42CCD"/>
    <w:rsid w:val="00E42DF8"/>
    <w:rsid w:val="00E42EEE"/>
    <w:rsid w:val="00E43240"/>
    <w:rsid w:val="00E4366E"/>
    <w:rsid w:val="00E4433A"/>
    <w:rsid w:val="00E446F8"/>
    <w:rsid w:val="00E44B9C"/>
    <w:rsid w:val="00E44C11"/>
    <w:rsid w:val="00E45696"/>
    <w:rsid w:val="00E45BBE"/>
    <w:rsid w:val="00E45FA5"/>
    <w:rsid w:val="00E463DA"/>
    <w:rsid w:val="00E46C58"/>
    <w:rsid w:val="00E470F6"/>
    <w:rsid w:val="00E4778E"/>
    <w:rsid w:val="00E47852"/>
    <w:rsid w:val="00E5005D"/>
    <w:rsid w:val="00E502CD"/>
    <w:rsid w:val="00E5039F"/>
    <w:rsid w:val="00E51078"/>
    <w:rsid w:val="00E51D0B"/>
    <w:rsid w:val="00E52092"/>
    <w:rsid w:val="00E521FB"/>
    <w:rsid w:val="00E525BC"/>
    <w:rsid w:val="00E527C3"/>
    <w:rsid w:val="00E536D3"/>
    <w:rsid w:val="00E53913"/>
    <w:rsid w:val="00E548DA"/>
    <w:rsid w:val="00E54CF4"/>
    <w:rsid w:val="00E54D36"/>
    <w:rsid w:val="00E56282"/>
    <w:rsid w:val="00E5646D"/>
    <w:rsid w:val="00E56BAD"/>
    <w:rsid w:val="00E56F0E"/>
    <w:rsid w:val="00E57B73"/>
    <w:rsid w:val="00E57E67"/>
    <w:rsid w:val="00E57E99"/>
    <w:rsid w:val="00E60389"/>
    <w:rsid w:val="00E61086"/>
    <w:rsid w:val="00E61177"/>
    <w:rsid w:val="00E61BE7"/>
    <w:rsid w:val="00E620DC"/>
    <w:rsid w:val="00E62AD4"/>
    <w:rsid w:val="00E62B38"/>
    <w:rsid w:val="00E63BFB"/>
    <w:rsid w:val="00E63E27"/>
    <w:rsid w:val="00E64506"/>
    <w:rsid w:val="00E6483E"/>
    <w:rsid w:val="00E64AD1"/>
    <w:rsid w:val="00E64BF3"/>
    <w:rsid w:val="00E65ADC"/>
    <w:rsid w:val="00E65E18"/>
    <w:rsid w:val="00E6631D"/>
    <w:rsid w:val="00E66859"/>
    <w:rsid w:val="00E6797E"/>
    <w:rsid w:val="00E67BEC"/>
    <w:rsid w:val="00E70550"/>
    <w:rsid w:val="00E7058E"/>
    <w:rsid w:val="00E7097B"/>
    <w:rsid w:val="00E70B5C"/>
    <w:rsid w:val="00E70D1B"/>
    <w:rsid w:val="00E710B3"/>
    <w:rsid w:val="00E71241"/>
    <w:rsid w:val="00E719EF"/>
    <w:rsid w:val="00E71C2D"/>
    <w:rsid w:val="00E7296C"/>
    <w:rsid w:val="00E7314F"/>
    <w:rsid w:val="00E737B7"/>
    <w:rsid w:val="00E73991"/>
    <w:rsid w:val="00E74163"/>
    <w:rsid w:val="00E74C13"/>
    <w:rsid w:val="00E74DA7"/>
    <w:rsid w:val="00E75031"/>
    <w:rsid w:val="00E756A4"/>
    <w:rsid w:val="00E75E52"/>
    <w:rsid w:val="00E760A3"/>
    <w:rsid w:val="00E76EEF"/>
    <w:rsid w:val="00E7716A"/>
    <w:rsid w:val="00E77B65"/>
    <w:rsid w:val="00E77C7F"/>
    <w:rsid w:val="00E803A6"/>
    <w:rsid w:val="00E80A6B"/>
    <w:rsid w:val="00E81643"/>
    <w:rsid w:val="00E81F08"/>
    <w:rsid w:val="00E82070"/>
    <w:rsid w:val="00E82161"/>
    <w:rsid w:val="00E823C9"/>
    <w:rsid w:val="00E823CE"/>
    <w:rsid w:val="00E823F0"/>
    <w:rsid w:val="00E8296D"/>
    <w:rsid w:val="00E82D9D"/>
    <w:rsid w:val="00E83077"/>
    <w:rsid w:val="00E83532"/>
    <w:rsid w:val="00E8362B"/>
    <w:rsid w:val="00E83BAE"/>
    <w:rsid w:val="00E84276"/>
    <w:rsid w:val="00E8427F"/>
    <w:rsid w:val="00E8456C"/>
    <w:rsid w:val="00E84951"/>
    <w:rsid w:val="00E84A1D"/>
    <w:rsid w:val="00E84A5D"/>
    <w:rsid w:val="00E84BBA"/>
    <w:rsid w:val="00E84FBD"/>
    <w:rsid w:val="00E850B7"/>
    <w:rsid w:val="00E85CB2"/>
    <w:rsid w:val="00E862F3"/>
    <w:rsid w:val="00E864BA"/>
    <w:rsid w:val="00E87216"/>
    <w:rsid w:val="00E875A4"/>
    <w:rsid w:val="00E9039E"/>
    <w:rsid w:val="00E90AC2"/>
    <w:rsid w:val="00E90EB3"/>
    <w:rsid w:val="00E9145E"/>
    <w:rsid w:val="00E91677"/>
    <w:rsid w:val="00E920FB"/>
    <w:rsid w:val="00E92286"/>
    <w:rsid w:val="00E924A8"/>
    <w:rsid w:val="00E926C1"/>
    <w:rsid w:val="00E92840"/>
    <w:rsid w:val="00E92C10"/>
    <w:rsid w:val="00E92EE9"/>
    <w:rsid w:val="00E9351A"/>
    <w:rsid w:val="00E93C21"/>
    <w:rsid w:val="00E93C36"/>
    <w:rsid w:val="00E93F3A"/>
    <w:rsid w:val="00E947DA"/>
    <w:rsid w:val="00E948FC"/>
    <w:rsid w:val="00E94EE3"/>
    <w:rsid w:val="00E94F34"/>
    <w:rsid w:val="00E9503C"/>
    <w:rsid w:val="00E959C2"/>
    <w:rsid w:val="00E95EEE"/>
    <w:rsid w:val="00E96216"/>
    <w:rsid w:val="00E96AD8"/>
    <w:rsid w:val="00E96B79"/>
    <w:rsid w:val="00E97B6F"/>
    <w:rsid w:val="00E97C4C"/>
    <w:rsid w:val="00E97E00"/>
    <w:rsid w:val="00E97F2E"/>
    <w:rsid w:val="00E97F34"/>
    <w:rsid w:val="00EA002C"/>
    <w:rsid w:val="00EA0761"/>
    <w:rsid w:val="00EA07A8"/>
    <w:rsid w:val="00EA13E7"/>
    <w:rsid w:val="00EA13E9"/>
    <w:rsid w:val="00EA14D5"/>
    <w:rsid w:val="00EA1725"/>
    <w:rsid w:val="00EA1778"/>
    <w:rsid w:val="00EA17B0"/>
    <w:rsid w:val="00EA1FD9"/>
    <w:rsid w:val="00EA2507"/>
    <w:rsid w:val="00EA26C0"/>
    <w:rsid w:val="00EA2C5E"/>
    <w:rsid w:val="00EA3CA0"/>
    <w:rsid w:val="00EA3D60"/>
    <w:rsid w:val="00EA4B8C"/>
    <w:rsid w:val="00EA4D38"/>
    <w:rsid w:val="00EA6056"/>
    <w:rsid w:val="00EA61D4"/>
    <w:rsid w:val="00EA623D"/>
    <w:rsid w:val="00EA6341"/>
    <w:rsid w:val="00EA6608"/>
    <w:rsid w:val="00EA6713"/>
    <w:rsid w:val="00EA6DD9"/>
    <w:rsid w:val="00EA6F61"/>
    <w:rsid w:val="00EA6FF9"/>
    <w:rsid w:val="00EA7DB9"/>
    <w:rsid w:val="00EA7ECD"/>
    <w:rsid w:val="00EB02E8"/>
    <w:rsid w:val="00EB03CE"/>
    <w:rsid w:val="00EB096A"/>
    <w:rsid w:val="00EB11D0"/>
    <w:rsid w:val="00EB144C"/>
    <w:rsid w:val="00EB16D4"/>
    <w:rsid w:val="00EB259E"/>
    <w:rsid w:val="00EB2B45"/>
    <w:rsid w:val="00EB2EC4"/>
    <w:rsid w:val="00EB328C"/>
    <w:rsid w:val="00EB332A"/>
    <w:rsid w:val="00EB33AA"/>
    <w:rsid w:val="00EB3689"/>
    <w:rsid w:val="00EB394C"/>
    <w:rsid w:val="00EB399F"/>
    <w:rsid w:val="00EB3A55"/>
    <w:rsid w:val="00EB3D5A"/>
    <w:rsid w:val="00EB3D6D"/>
    <w:rsid w:val="00EB4575"/>
    <w:rsid w:val="00EB4CF0"/>
    <w:rsid w:val="00EB4F11"/>
    <w:rsid w:val="00EB5326"/>
    <w:rsid w:val="00EB55A9"/>
    <w:rsid w:val="00EB59F5"/>
    <w:rsid w:val="00EB5E1A"/>
    <w:rsid w:val="00EB5F7F"/>
    <w:rsid w:val="00EB6208"/>
    <w:rsid w:val="00EB657C"/>
    <w:rsid w:val="00EB6CAC"/>
    <w:rsid w:val="00EB73C5"/>
    <w:rsid w:val="00EB7442"/>
    <w:rsid w:val="00EB7543"/>
    <w:rsid w:val="00EB78AD"/>
    <w:rsid w:val="00EB790B"/>
    <w:rsid w:val="00EC02FB"/>
    <w:rsid w:val="00EC0BD6"/>
    <w:rsid w:val="00EC138E"/>
    <w:rsid w:val="00EC19AE"/>
    <w:rsid w:val="00EC1B74"/>
    <w:rsid w:val="00EC1F5E"/>
    <w:rsid w:val="00EC233B"/>
    <w:rsid w:val="00EC27BF"/>
    <w:rsid w:val="00EC2BB5"/>
    <w:rsid w:val="00EC2CF5"/>
    <w:rsid w:val="00EC32B1"/>
    <w:rsid w:val="00EC363A"/>
    <w:rsid w:val="00EC36DD"/>
    <w:rsid w:val="00EC40D0"/>
    <w:rsid w:val="00EC55FB"/>
    <w:rsid w:val="00EC577D"/>
    <w:rsid w:val="00EC5EE5"/>
    <w:rsid w:val="00EC601F"/>
    <w:rsid w:val="00EC630B"/>
    <w:rsid w:val="00EC6ABA"/>
    <w:rsid w:val="00EC70C9"/>
    <w:rsid w:val="00ED0417"/>
    <w:rsid w:val="00ED10E2"/>
    <w:rsid w:val="00ED14D2"/>
    <w:rsid w:val="00ED1721"/>
    <w:rsid w:val="00ED177F"/>
    <w:rsid w:val="00ED1BA9"/>
    <w:rsid w:val="00ED1C04"/>
    <w:rsid w:val="00ED21E1"/>
    <w:rsid w:val="00ED25A6"/>
    <w:rsid w:val="00ED265A"/>
    <w:rsid w:val="00ED2B19"/>
    <w:rsid w:val="00ED2FA7"/>
    <w:rsid w:val="00ED3072"/>
    <w:rsid w:val="00ED307A"/>
    <w:rsid w:val="00ED359B"/>
    <w:rsid w:val="00ED383C"/>
    <w:rsid w:val="00ED42D9"/>
    <w:rsid w:val="00ED573C"/>
    <w:rsid w:val="00ED5C4C"/>
    <w:rsid w:val="00ED5C79"/>
    <w:rsid w:val="00ED5D95"/>
    <w:rsid w:val="00ED5DBE"/>
    <w:rsid w:val="00ED5E26"/>
    <w:rsid w:val="00ED6660"/>
    <w:rsid w:val="00ED6672"/>
    <w:rsid w:val="00ED6C48"/>
    <w:rsid w:val="00ED757B"/>
    <w:rsid w:val="00ED75E8"/>
    <w:rsid w:val="00ED78D0"/>
    <w:rsid w:val="00ED7AAC"/>
    <w:rsid w:val="00ED7E4F"/>
    <w:rsid w:val="00EE0440"/>
    <w:rsid w:val="00EE07EB"/>
    <w:rsid w:val="00EE0FC8"/>
    <w:rsid w:val="00EE1568"/>
    <w:rsid w:val="00EE2D26"/>
    <w:rsid w:val="00EE2DBF"/>
    <w:rsid w:val="00EE2EED"/>
    <w:rsid w:val="00EE36A1"/>
    <w:rsid w:val="00EE39B6"/>
    <w:rsid w:val="00EE3D22"/>
    <w:rsid w:val="00EE40D8"/>
    <w:rsid w:val="00EE4172"/>
    <w:rsid w:val="00EE462D"/>
    <w:rsid w:val="00EE4721"/>
    <w:rsid w:val="00EE581A"/>
    <w:rsid w:val="00EE59BB"/>
    <w:rsid w:val="00EE5A61"/>
    <w:rsid w:val="00EE6B4F"/>
    <w:rsid w:val="00EE7055"/>
    <w:rsid w:val="00EE7953"/>
    <w:rsid w:val="00EF013F"/>
    <w:rsid w:val="00EF0193"/>
    <w:rsid w:val="00EF0514"/>
    <w:rsid w:val="00EF1268"/>
    <w:rsid w:val="00EF1FAA"/>
    <w:rsid w:val="00EF2AF9"/>
    <w:rsid w:val="00EF2D92"/>
    <w:rsid w:val="00EF33F1"/>
    <w:rsid w:val="00EF4A08"/>
    <w:rsid w:val="00EF4A79"/>
    <w:rsid w:val="00EF4D7A"/>
    <w:rsid w:val="00EF4F51"/>
    <w:rsid w:val="00EF5BDB"/>
    <w:rsid w:val="00EF6CFF"/>
    <w:rsid w:val="00EF733D"/>
    <w:rsid w:val="00EF74FD"/>
    <w:rsid w:val="00EF762F"/>
    <w:rsid w:val="00EF7817"/>
    <w:rsid w:val="00EF7A38"/>
    <w:rsid w:val="00F006DD"/>
    <w:rsid w:val="00F00DF6"/>
    <w:rsid w:val="00F017AE"/>
    <w:rsid w:val="00F01A6F"/>
    <w:rsid w:val="00F01BCB"/>
    <w:rsid w:val="00F0278A"/>
    <w:rsid w:val="00F02A83"/>
    <w:rsid w:val="00F02C01"/>
    <w:rsid w:val="00F02F1E"/>
    <w:rsid w:val="00F04AAB"/>
    <w:rsid w:val="00F04C22"/>
    <w:rsid w:val="00F04FD5"/>
    <w:rsid w:val="00F05669"/>
    <w:rsid w:val="00F05A6E"/>
    <w:rsid w:val="00F05AF6"/>
    <w:rsid w:val="00F06BA8"/>
    <w:rsid w:val="00F06FD2"/>
    <w:rsid w:val="00F07CAA"/>
    <w:rsid w:val="00F101A5"/>
    <w:rsid w:val="00F10252"/>
    <w:rsid w:val="00F105FD"/>
    <w:rsid w:val="00F10FEB"/>
    <w:rsid w:val="00F11384"/>
    <w:rsid w:val="00F1140B"/>
    <w:rsid w:val="00F134CC"/>
    <w:rsid w:val="00F13A34"/>
    <w:rsid w:val="00F1427F"/>
    <w:rsid w:val="00F1478E"/>
    <w:rsid w:val="00F14DDC"/>
    <w:rsid w:val="00F1506B"/>
    <w:rsid w:val="00F15344"/>
    <w:rsid w:val="00F159BB"/>
    <w:rsid w:val="00F15BBD"/>
    <w:rsid w:val="00F15C15"/>
    <w:rsid w:val="00F167F6"/>
    <w:rsid w:val="00F178CE"/>
    <w:rsid w:val="00F17D48"/>
    <w:rsid w:val="00F17D7C"/>
    <w:rsid w:val="00F20C2B"/>
    <w:rsid w:val="00F20C71"/>
    <w:rsid w:val="00F2127B"/>
    <w:rsid w:val="00F22AD3"/>
    <w:rsid w:val="00F23248"/>
    <w:rsid w:val="00F2405F"/>
    <w:rsid w:val="00F242B9"/>
    <w:rsid w:val="00F2432D"/>
    <w:rsid w:val="00F24665"/>
    <w:rsid w:val="00F25321"/>
    <w:rsid w:val="00F25864"/>
    <w:rsid w:val="00F266D4"/>
    <w:rsid w:val="00F26720"/>
    <w:rsid w:val="00F269DD"/>
    <w:rsid w:val="00F26BE7"/>
    <w:rsid w:val="00F272A3"/>
    <w:rsid w:val="00F2733D"/>
    <w:rsid w:val="00F27367"/>
    <w:rsid w:val="00F27895"/>
    <w:rsid w:val="00F27F00"/>
    <w:rsid w:val="00F30383"/>
    <w:rsid w:val="00F3064E"/>
    <w:rsid w:val="00F30720"/>
    <w:rsid w:val="00F3080B"/>
    <w:rsid w:val="00F30C02"/>
    <w:rsid w:val="00F30DE5"/>
    <w:rsid w:val="00F3190B"/>
    <w:rsid w:val="00F32EED"/>
    <w:rsid w:val="00F33D76"/>
    <w:rsid w:val="00F33E97"/>
    <w:rsid w:val="00F34AC6"/>
    <w:rsid w:val="00F34D46"/>
    <w:rsid w:val="00F34F99"/>
    <w:rsid w:val="00F35418"/>
    <w:rsid w:val="00F35556"/>
    <w:rsid w:val="00F355C1"/>
    <w:rsid w:val="00F3578E"/>
    <w:rsid w:val="00F35DED"/>
    <w:rsid w:val="00F362DF"/>
    <w:rsid w:val="00F363EC"/>
    <w:rsid w:val="00F36470"/>
    <w:rsid w:val="00F3668D"/>
    <w:rsid w:val="00F37712"/>
    <w:rsid w:val="00F378A6"/>
    <w:rsid w:val="00F37941"/>
    <w:rsid w:val="00F379E5"/>
    <w:rsid w:val="00F4039D"/>
    <w:rsid w:val="00F40718"/>
    <w:rsid w:val="00F40A50"/>
    <w:rsid w:val="00F40A54"/>
    <w:rsid w:val="00F41D0D"/>
    <w:rsid w:val="00F42300"/>
    <w:rsid w:val="00F42AB4"/>
    <w:rsid w:val="00F42BAD"/>
    <w:rsid w:val="00F43983"/>
    <w:rsid w:val="00F43DEA"/>
    <w:rsid w:val="00F4445F"/>
    <w:rsid w:val="00F44AEF"/>
    <w:rsid w:val="00F44B6B"/>
    <w:rsid w:val="00F45609"/>
    <w:rsid w:val="00F45D13"/>
    <w:rsid w:val="00F46745"/>
    <w:rsid w:val="00F467CA"/>
    <w:rsid w:val="00F46910"/>
    <w:rsid w:val="00F46EF5"/>
    <w:rsid w:val="00F470E8"/>
    <w:rsid w:val="00F47143"/>
    <w:rsid w:val="00F47FEE"/>
    <w:rsid w:val="00F500DA"/>
    <w:rsid w:val="00F50291"/>
    <w:rsid w:val="00F50A1C"/>
    <w:rsid w:val="00F51230"/>
    <w:rsid w:val="00F512CB"/>
    <w:rsid w:val="00F51876"/>
    <w:rsid w:val="00F51F9E"/>
    <w:rsid w:val="00F52A17"/>
    <w:rsid w:val="00F53346"/>
    <w:rsid w:val="00F534A3"/>
    <w:rsid w:val="00F53A9B"/>
    <w:rsid w:val="00F54096"/>
    <w:rsid w:val="00F540C2"/>
    <w:rsid w:val="00F54147"/>
    <w:rsid w:val="00F541B6"/>
    <w:rsid w:val="00F54ADE"/>
    <w:rsid w:val="00F54C07"/>
    <w:rsid w:val="00F54C65"/>
    <w:rsid w:val="00F54E10"/>
    <w:rsid w:val="00F5537D"/>
    <w:rsid w:val="00F553A7"/>
    <w:rsid w:val="00F555E6"/>
    <w:rsid w:val="00F5573E"/>
    <w:rsid w:val="00F55C0E"/>
    <w:rsid w:val="00F55D5D"/>
    <w:rsid w:val="00F56730"/>
    <w:rsid w:val="00F567F6"/>
    <w:rsid w:val="00F56E7F"/>
    <w:rsid w:val="00F57A2D"/>
    <w:rsid w:val="00F57C22"/>
    <w:rsid w:val="00F609F6"/>
    <w:rsid w:val="00F60F44"/>
    <w:rsid w:val="00F6119E"/>
    <w:rsid w:val="00F6168A"/>
    <w:rsid w:val="00F61769"/>
    <w:rsid w:val="00F61B00"/>
    <w:rsid w:val="00F624D8"/>
    <w:rsid w:val="00F6302C"/>
    <w:rsid w:val="00F6304B"/>
    <w:rsid w:val="00F63116"/>
    <w:rsid w:val="00F63C36"/>
    <w:rsid w:val="00F64720"/>
    <w:rsid w:val="00F64885"/>
    <w:rsid w:val="00F64D71"/>
    <w:rsid w:val="00F653AA"/>
    <w:rsid w:val="00F657D6"/>
    <w:rsid w:val="00F65EDB"/>
    <w:rsid w:val="00F66059"/>
    <w:rsid w:val="00F66345"/>
    <w:rsid w:val="00F663B9"/>
    <w:rsid w:val="00F66419"/>
    <w:rsid w:val="00F66654"/>
    <w:rsid w:val="00F67001"/>
    <w:rsid w:val="00F6721B"/>
    <w:rsid w:val="00F674D2"/>
    <w:rsid w:val="00F675C1"/>
    <w:rsid w:val="00F677EB"/>
    <w:rsid w:val="00F713F2"/>
    <w:rsid w:val="00F71B54"/>
    <w:rsid w:val="00F7214E"/>
    <w:rsid w:val="00F72BDB"/>
    <w:rsid w:val="00F72FA4"/>
    <w:rsid w:val="00F735FC"/>
    <w:rsid w:val="00F737FD"/>
    <w:rsid w:val="00F753B1"/>
    <w:rsid w:val="00F756B1"/>
    <w:rsid w:val="00F7596B"/>
    <w:rsid w:val="00F75E2C"/>
    <w:rsid w:val="00F760DA"/>
    <w:rsid w:val="00F76B4A"/>
    <w:rsid w:val="00F7772B"/>
    <w:rsid w:val="00F7782F"/>
    <w:rsid w:val="00F80261"/>
    <w:rsid w:val="00F803FD"/>
    <w:rsid w:val="00F80A20"/>
    <w:rsid w:val="00F80E04"/>
    <w:rsid w:val="00F816C4"/>
    <w:rsid w:val="00F81FB1"/>
    <w:rsid w:val="00F8225D"/>
    <w:rsid w:val="00F82402"/>
    <w:rsid w:val="00F826C9"/>
    <w:rsid w:val="00F82BE0"/>
    <w:rsid w:val="00F82D6B"/>
    <w:rsid w:val="00F82F30"/>
    <w:rsid w:val="00F83CAE"/>
    <w:rsid w:val="00F8465C"/>
    <w:rsid w:val="00F84929"/>
    <w:rsid w:val="00F84BA9"/>
    <w:rsid w:val="00F84FD8"/>
    <w:rsid w:val="00F85042"/>
    <w:rsid w:val="00F85B7A"/>
    <w:rsid w:val="00F86643"/>
    <w:rsid w:val="00F87BD5"/>
    <w:rsid w:val="00F90058"/>
    <w:rsid w:val="00F90A26"/>
    <w:rsid w:val="00F90E1D"/>
    <w:rsid w:val="00F911F4"/>
    <w:rsid w:val="00F91B40"/>
    <w:rsid w:val="00F9265B"/>
    <w:rsid w:val="00F92AAD"/>
    <w:rsid w:val="00F93111"/>
    <w:rsid w:val="00F9315A"/>
    <w:rsid w:val="00F932C6"/>
    <w:rsid w:val="00F9398A"/>
    <w:rsid w:val="00F93E66"/>
    <w:rsid w:val="00F94557"/>
    <w:rsid w:val="00F94795"/>
    <w:rsid w:val="00F94C77"/>
    <w:rsid w:val="00F94F97"/>
    <w:rsid w:val="00F95212"/>
    <w:rsid w:val="00F9528D"/>
    <w:rsid w:val="00F955E2"/>
    <w:rsid w:val="00F9594C"/>
    <w:rsid w:val="00F95E7E"/>
    <w:rsid w:val="00F9660B"/>
    <w:rsid w:val="00F96826"/>
    <w:rsid w:val="00F96AD3"/>
    <w:rsid w:val="00F97024"/>
    <w:rsid w:val="00F97134"/>
    <w:rsid w:val="00F97240"/>
    <w:rsid w:val="00F97F62"/>
    <w:rsid w:val="00FA0093"/>
    <w:rsid w:val="00FA115C"/>
    <w:rsid w:val="00FA1792"/>
    <w:rsid w:val="00FA17CA"/>
    <w:rsid w:val="00FA1A0F"/>
    <w:rsid w:val="00FA1CE4"/>
    <w:rsid w:val="00FA220A"/>
    <w:rsid w:val="00FA253F"/>
    <w:rsid w:val="00FA292B"/>
    <w:rsid w:val="00FA3A72"/>
    <w:rsid w:val="00FA3A9C"/>
    <w:rsid w:val="00FA3BE5"/>
    <w:rsid w:val="00FA4617"/>
    <w:rsid w:val="00FA4B6A"/>
    <w:rsid w:val="00FA4FEC"/>
    <w:rsid w:val="00FA5043"/>
    <w:rsid w:val="00FA531F"/>
    <w:rsid w:val="00FA5334"/>
    <w:rsid w:val="00FA5C53"/>
    <w:rsid w:val="00FA64E5"/>
    <w:rsid w:val="00FA69BD"/>
    <w:rsid w:val="00FA6DF1"/>
    <w:rsid w:val="00FA721F"/>
    <w:rsid w:val="00FB0391"/>
    <w:rsid w:val="00FB0500"/>
    <w:rsid w:val="00FB07EE"/>
    <w:rsid w:val="00FB12B5"/>
    <w:rsid w:val="00FB1490"/>
    <w:rsid w:val="00FB1A62"/>
    <w:rsid w:val="00FB23DD"/>
    <w:rsid w:val="00FB2BD7"/>
    <w:rsid w:val="00FB3A65"/>
    <w:rsid w:val="00FB3AD1"/>
    <w:rsid w:val="00FB3C41"/>
    <w:rsid w:val="00FB3DC8"/>
    <w:rsid w:val="00FB41BE"/>
    <w:rsid w:val="00FB41E2"/>
    <w:rsid w:val="00FB4391"/>
    <w:rsid w:val="00FB50FE"/>
    <w:rsid w:val="00FB5FA7"/>
    <w:rsid w:val="00FB6201"/>
    <w:rsid w:val="00FB6A4C"/>
    <w:rsid w:val="00FB707C"/>
    <w:rsid w:val="00FB71A9"/>
    <w:rsid w:val="00FB7467"/>
    <w:rsid w:val="00FB74FA"/>
    <w:rsid w:val="00FB7DE9"/>
    <w:rsid w:val="00FC0C0B"/>
    <w:rsid w:val="00FC0E09"/>
    <w:rsid w:val="00FC0E23"/>
    <w:rsid w:val="00FC17CD"/>
    <w:rsid w:val="00FC18EA"/>
    <w:rsid w:val="00FC19B1"/>
    <w:rsid w:val="00FC1C9D"/>
    <w:rsid w:val="00FC2115"/>
    <w:rsid w:val="00FC27BE"/>
    <w:rsid w:val="00FC2C98"/>
    <w:rsid w:val="00FC2D9C"/>
    <w:rsid w:val="00FC2DE6"/>
    <w:rsid w:val="00FC371D"/>
    <w:rsid w:val="00FC3C3A"/>
    <w:rsid w:val="00FC3D53"/>
    <w:rsid w:val="00FC3EAB"/>
    <w:rsid w:val="00FC40D0"/>
    <w:rsid w:val="00FC45E9"/>
    <w:rsid w:val="00FC4DC1"/>
    <w:rsid w:val="00FC4DF2"/>
    <w:rsid w:val="00FC525D"/>
    <w:rsid w:val="00FC5303"/>
    <w:rsid w:val="00FC533A"/>
    <w:rsid w:val="00FC55A0"/>
    <w:rsid w:val="00FC617F"/>
    <w:rsid w:val="00FC6693"/>
    <w:rsid w:val="00FC692B"/>
    <w:rsid w:val="00FC6D0A"/>
    <w:rsid w:val="00FC717E"/>
    <w:rsid w:val="00FC78AA"/>
    <w:rsid w:val="00FC7900"/>
    <w:rsid w:val="00FC7F0B"/>
    <w:rsid w:val="00FD1E0D"/>
    <w:rsid w:val="00FD2A35"/>
    <w:rsid w:val="00FD2D11"/>
    <w:rsid w:val="00FD2D68"/>
    <w:rsid w:val="00FD321E"/>
    <w:rsid w:val="00FD333E"/>
    <w:rsid w:val="00FD3416"/>
    <w:rsid w:val="00FD3528"/>
    <w:rsid w:val="00FD3664"/>
    <w:rsid w:val="00FD3720"/>
    <w:rsid w:val="00FD489C"/>
    <w:rsid w:val="00FD4AC0"/>
    <w:rsid w:val="00FD5CAA"/>
    <w:rsid w:val="00FD5D8B"/>
    <w:rsid w:val="00FD6A8C"/>
    <w:rsid w:val="00FD6EFA"/>
    <w:rsid w:val="00FD7306"/>
    <w:rsid w:val="00FD74D9"/>
    <w:rsid w:val="00FD768B"/>
    <w:rsid w:val="00FD7F99"/>
    <w:rsid w:val="00FE07BC"/>
    <w:rsid w:val="00FE0B16"/>
    <w:rsid w:val="00FE0F71"/>
    <w:rsid w:val="00FE0FE9"/>
    <w:rsid w:val="00FE15C3"/>
    <w:rsid w:val="00FE2174"/>
    <w:rsid w:val="00FE2369"/>
    <w:rsid w:val="00FE25B7"/>
    <w:rsid w:val="00FE2B61"/>
    <w:rsid w:val="00FE2E09"/>
    <w:rsid w:val="00FE2F0E"/>
    <w:rsid w:val="00FE31C4"/>
    <w:rsid w:val="00FE424A"/>
    <w:rsid w:val="00FE4312"/>
    <w:rsid w:val="00FE479F"/>
    <w:rsid w:val="00FE48F7"/>
    <w:rsid w:val="00FE4C18"/>
    <w:rsid w:val="00FE4F09"/>
    <w:rsid w:val="00FE510B"/>
    <w:rsid w:val="00FE5B52"/>
    <w:rsid w:val="00FE5D1D"/>
    <w:rsid w:val="00FE671A"/>
    <w:rsid w:val="00FE72D1"/>
    <w:rsid w:val="00FE73A1"/>
    <w:rsid w:val="00FE7B4C"/>
    <w:rsid w:val="00FE7CEA"/>
    <w:rsid w:val="00FF0154"/>
    <w:rsid w:val="00FF05C6"/>
    <w:rsid w:val="00FF08EB"/>
    <w:rsid w:val="00FF1022"/>
    <w:rsid w:val="00FF1443"/>
    <w:rsid w:val="00FF1921"/>
    <w:rsid w:val="00FF1E5E"/>
    <w:rsid w:val="00FF1E67"/>
    <w:rsid w:val="00FF25A9"/>
    <w:rsid w:val="00FF26A6"/>
    <w:rsid w:val="00FF273F"/>
    <w:rsid w:val="00FF2887"/>
    <w:rsid w:val="00FF2A8F"/>
    <w:rsid w:val="00FF33A7"/>
    <w:rsid w:val="00FF380B"/>
    <w:rsid w:val="00FF3E9E"/>
    <w:rsid w:val="00FF46C5"/>
    <w:rsid w:val="00FF47A3"/>
    <w:rsid w:val="00FF4A12"/>
    <w:rsid w:val="00FF4AFF"/>
    <w:rsid w:val="00FF4C70"/>
    <w:rsid w:val="00FF5894"/>
    <w:rsid w:val="00FF58A4"/>
    <w:rsid w:val="00FF60C1"/>
    <w:rsid w:val="00FF6F38"/>
    <w:rsid w:val="00FF71F0"/>
    <w:rsid w:val="00FF73B6"/>
    <w:rsid w:val="00FF7782"/>
    <w:rsid w:val="00FF7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0B271"/>
  <w15:chartTrackingRefBased/>
  <w15:docId w15:val="{6F25B23F-F155-4240-B4F5-2D753345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4E7"/>
    <w:rPr>
      <w:rFonts w:ascii="Arial" w:eastAsia="Calibri" w:hAnsi="Arial" w:cs="Times New Roman"/>
    </w:rPr>
  </w:style>
  <w:style w:type="paragraph" w:styleId="Heading1">
    <w:name w:val="heading 1"/>
    <w:basedOn w:val="Normal"/>
    <w:next w:val="Normal"/>
    <w:link w:val="Heading1Char"/>
    <w:uiPriority w:val="9"/>
    <w:qFormat/>
    <w:rsid w:val="005874E7"/>
    <w:pPr>
      <w:keepNext/>
      <w:outlineLvl w:val="0"/>
    </w:pPr>
    <w:rPr>
      <w:rFonts w:cs="Arial"/>
      <w:b/>
      <w:caps/>
    </w:rPr>
  </w:style>
  <w:style w:type="paragraph" w:styleId="Heading2">
    <w:name w:val="heading 2"/>
    <w:basedOn w:val="Normal"/>
    <w:next w:val="Normal"/>
    <w:link w:val="Heading2Char"/>
    <w:uiPriority w:val="9"/>
    <w:qFormat/>
    <w:rsid w:val="005874E7"/>
    <w:pPr>
      <w:keepNext/>
      <w:outlineLvl w:val="1"/>
    </w:pPr>
    <w:rPr>
      <w:rFonts w:cs="Arial"/>
      <w:b/>
    </w:rPr>
  </w:style>
  <w:style w:type="paragraph" w:styleId="Heading3">
    <w:name w:val="heading 3"/>
    <w:basedOn w:val="Normal"/>
    <w:next w:val="Normal"/>
    <w:link w:val="Heading3Char"/>
    <w:uiPriority w:val="9"/>
    <w:qFormat/>
    <w:rsid w:val="005874E7"/>
    <w:pPr>
      <w:keepNext/>
      <w:outlineLvl w:val="2"/>
    </w:pPr>
    <w:rPr>
      <w:rFonts w:cs="Arial"/>
      <w:b/>
      <w:i/>
    </w:rPr>
  </w:style>
  <w:style w:type="paragraph" w:styleId="Heading4">
    <w:name w:val="heading 4"/>
    <w:basedOn w:val="Normal"/>
    <w:next w:val="Normal"/>
    <w:link w:val="Heading4Char"/>
    <w:uiPriority w:val="9"/>
    <w:qFormat/>
    <w:rsid w:val="005874E7"/>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4E7"/>
    <w:rPr>
      <w:rFonts w:ascii="Arial" w:eastAsia="Calibri" w:hAnsi="Arial" w:cs="Arial"/>
      <w:b/>
      <w:caps/>
    </w:rPr>
  </w:style>
  <w:style w:type="character" w:customStyle="1" w:styleId="Heading2Char">
    <w:name w:val="Heading 2 Char"/>
    <w:basedOn w:val="DefaultParagraphFont"/>
    <w:link w:val="Heading2"/>
    <w:uiPriority w:val="9"/>
    <w:rsid w:val="005874E7"/>
    <w:rPr>
      <w:rFonts w:ascii="Arial" w:eastAsia="Calibri" w:hAnsi="Arial" w:cs="Arial"/>
      <w:b/>
    </w:rPr>
  </w:style>
  <w:style w:type="character" w:customStyle="1" w:styleId="Heading3Char">
    <w:name w:val="Heading 3 Char"/>
    <w:basedOn w:val="DefaultParagraphFont"/>
    <w:link w:val="Heading3"/>
    <w:uiPriority w:val="9"/>
    <w:rsid w:val="005874E7"/>
    <w:rPr>
      <w:rFonts w:ascii="Arial" w:eastAsia="Calibri" w:hAnsi="Arial" w:cs="Arial"/>
      <w:b/>
      <w:i/>
    </w:rPr>
  </w:style>
  <w:style w:type="character" w:customStyle="1" w:styleId="Heading4Char">
    <w:name w:val="Heading 4 Char"/>
    <w:basedOn w:val="DefaultParagraphFont"/>
    <w:link w:val="Heading4"/>
    <w:uiPriority w:val="9"/>
    <w:rsid w:val="005874E7"/>
    <w:rPr>
      <w:rFonts w:ascii="Arial" w:eastAsia="Calibri" w:hAnsi="Arial" w:cs="Arial"/>
      <w:i/>
    </w:rPr>
  </w:style>
  <w:style w:type="paragraph" w:styleId="Header">
    <w:name w:val="header"/>
    <w:basedOn w:val="Normal"/>
    <w:link w:val="HeaderChar"/>
    <w:uiPriority w:val="99"/>
    <w:unhideWhenUsed/>
    <w:rsid w:val="005874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4E7"/>
    <w:rPr>
      <w:rFonts w:ascii="Arial" w:eastAsia="Calibri" w:hAnsi="Arial" w:cs="Times New Roman"/>
    </w:rPr>
  </w:style>
  <w:style w:type="paragraph" w:styleId="Footer">
    <w:name w:val="footer"/>
    <w:basedOn w:val="Normal"/>
    <w:link w:val="FooterChar"/>
    <w:uiPriority w:val="99"/>
    <w:unhideWhenUsed/>
    <w:rsid w:val="005874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4E7"/>
    <w:rPr>
      <w:rFonts w:ascii="Arial" w:eastAsia="Calibri" w:hAnsi="Arial" w:cs="Times New Roman"/>
    </w:rPr>
  </w:style>
  <w:style w:type="paragraph" w:styleId="BalloonText">
    <w:name w:val="Balloon Text"/>
    <w:basedOn w:val="Normal"/>
    <w:link w:val="BalloonTextChar"/>
    <w:uiPriority w:val="99"/>
    <w:semiHidden/>
    <w:unhideWhenUsed/>
    <w:rsid w:val="00587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4E7"/>
    <w:rPr>
      <w:rFonts w:ascii="Tahoma" w:eastAsia="Calibri" w:hAnsi="Tahoma" w:cs="Tahoma"/>
      <w:sz w:val="16"/>
      <w:szCs w:val="16"/>
    </w:rPr>
  </w:style>
  <w:style w:type="numbering" w:customStyle="1" w:styleId="KeyPoints">
    <w:name w:val="Key Points"/>
    <w:basedOn w:val="NoList"/>
    <w:uiPriority w:val="99"/>
    <w:rsid w:val="005874E7"/>
    <w:pPr>
      <w:numPr>
        <w:numId w:val="1"/>
      </w:numPr>
    </w:pPr>
  </w:style>
  <w:style w:type="paragraph" w:customStyle="1" w:styleId="1NumberedPointsStyle">
    <w:name w:val="1. Numbered Points Style"/>
    <w:basedOn w:val="ListParagraph"/>
    <w:rsid w:val="005874E7"/>
    <w:pPr>
      <w:numPr>
        <w:numId w:val="0"/>
      </w:numPr>
    </w:pPr>
  </w:style>
  <w:style w:type="numbering" w:customStyle="1" w:styleId="BulletList">
    <w:name w:val="Bullet List"/>
    <w:uiPriority w:val="99"/>
    <w:rsid w:val="005874E7"/>
    <w:pPr>
      <w:numPr>
        <w:numId w:val="2"/>
      </w:numPr>
    </w:pPr>
  </w:style>
  <w:style w:type="paragraph" w:customStyle="1" w:styleId="1BulletStyleList">
    <w:name w:val="1. Bullet Style List"/>
    <w:basedOn w:val="Normal"/>
    <w:rsid w:val="005874E7"/>
    <w:pPr>
      <w:spacing w:line="240" w:lineRule="auto"/>
    </w:pPr>
    <w:rPr>
      <w:rFonts w:eastAsia="Times New Roman"/>
      <w:szCs w:val="20"/>
      <w:lang w:eastAsia="en-AU"/>
    </w:rPr>
  </w:style>
  <w:style w:type="paragraph" w:styleId="ListBullet">
    <w:name w:val="List Bullet"/>
    <w:basedOn w:val="Normal"/>
    <w:uiPriority w:val="99"/>
    <w:unhideWhenUsed/>
    <w:qFormat/>
    <w:rsid w:val="005874E7"/>
    <w:pPr>
      <w:numPr>
        <w:numId w:val="15"/>
      </w:numPr>
      <w:tabs>
        <w:tab w:val="clear" w:pos="360"/>
      </w:tabs>
      <w:ind w:left="369" w:hanging="369"/>
    </w:pPr>
  </w:style>
  <w:style w:type="paragraph" w:styleId="ListBullet2">
    <w:name w:val="List Bullet 2"/>
    <w:basedOn w:val="Normal"/>
    <w:uiPriority w:val="99"/>
    <w:unhideWhenUsed/>
    <w:rsid w:val="005874E7"/>
    <w:pPr>
      <w:numPr>
        <w:ilvl w:val="1"/>
        <w:numId w:val="6"/>
      </w:numPr>
    </w:pPr>
  </w:style>
  <w:style w:type="paragraph" w:styleId="ListBullet3">
    <w:name w:val="List Bullet 3"/>
    <w:basedOn w:val="Normal"/>
    <w:uiPriority w:val="99"/>
    <w:unhideWhenUsed/>
    <w:rsid w:val="005874E7"/>
    <w:pPr>
      <w:numPr>
        <w:ilvl w:val="2"/>
        <w:numId w:val="6"/>
      </w:numPr>
    </w:pPr>
  </w:style>
  <w:style w:type="paragraph" w:styleId="ListBullet4">
    <w:name w:val="List Bullet 4"/>
    <w:basedOn w:val="Normal"/>
    <w:uiPriority w:val="99"/>
    <w:unhideWhenUsed/>
    <w:rsid w:val="005874E7"/>
    <w:pPr>
      <w:numPr>
        <w:ilvl w:val="3"/>
        <w:numId w:val="6"/>
      </w:numPr>
    </w:pPr>
  </w:style>
  <w:style w:type="paragraph" w:styleId="ListBullet5">
    <w:name w:val="List Bullet 5"/>
    <w:basedOn w:val="Normal"/>
    <w:uiPriority w:val="99"/>
    <w:unhideWhenUsed/>
    <w:rsid w:val="005874E7"/>
    <w:pPr>
      <w:ind w:left="369" w:hanging="369"/>
    </w:pPr>
  </w:style>
  <w:style w:type="numbering" w:customStyle="1" w:styleId="Attach">
    <w:name w:val="Attach"/>
    <w:basedOn w:val="NoList"/>
    <w:uiPriority w:val="99"/>
    <w:rsid w:val="005874E7"/>
    <w:pPr>
      <w:numPr>
        <w:numId w:val="3"/>
      </w:numPr>
    </w:pPr>
  </w:style>
  <w:style w:type="paragraph" w:customStyle="1" w:styleId="Classification">
    <w:name w:val="Classification"/>
    <w:basedOn w:val="Normal"/>
    <w:uiPriority w:val="10"/>
    <w:qFormat/>
    <w:rsid w:val="005874E7"/>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1 heading,Bulleted Para,CV text,DDM Gen Text,Dot pt,F5 List Paragraph,FooterText,L,List Paragraph1,List Paragraph11,List Paragraph111,List Paragraph2,Medium Grid 1 - Accent 21,NFP GP Bulleted List,Numbered Paragraph,Recommendation"/>
    <w:basedOn w:val="Normal"/>
    <w:link w:val="ListParagraphChar"/>
    <w:uiPriority w:val="34"/>
    <w:qFormat/>
    <w:rsid w:val="005874E7"/>
    <w:pPr>
      <w:numPr>
        <w:numId w:val="4"/>
      </w:numPr>
    </w:pPr>
  </w:style>
  <w:style w:type="character" w:styleId="BookTitle">
    <w:name w:val="Book Title"/>
    <w:basedOn w:val="DefaultParagraphFont"/>
    <w:uiPriority w:val="33"/>
    <w:rsid w:val="005874E7"/>
    <w:rPr>
      <w:bCs/>
      <w:i/>
      <w:smallCaps/>
      <w:spacing w:val="5"/>
    </w:rPr>
  </w:style>
  <w:style w:type="paragraph" w:styleId="ListNumber">
    <w:name w:val="List Number"/>
    <w:basedOn w:val="Normal"/>
    <w:uiPriority w:val="99"/>
    <w:qFormat/>
    <w:rsid w:val="005874E7"/>
    <w:pPr>
      <w:numPr>
        <w:numId w:val="5"/>
      </w:numPr>
    </w:pPr>
  </w:style>
  <w:style w:type="paragraph" w:styleId="ListNumber2">
    <w:name w:val="List Number 2"/>
    <w:basedOn w:val="Normal"/>
    <w:uiPriority w:val="99"/>
    <w:rsid w:val="005874E7"/>
    <w:pPr>
      <w:numPr>
        <w:ilvl w:val="1"/>
        <w:numId w:val="5"/>
      </w:numPr>
    </w:pPr>
  </w:style>
  <w:style w:type="paragraph" w:styleId="ListNumber3">
    <w:name w:val="List Number 3"/>
    <w:basedOn w:val="Normal"/>
    <w:uiPriority w:val="99"/>
    <w:rsid w:val="005874E7"/>
    <w:pPr>
      <w:numPr>
        <w:ilvl w:val="2"/>
        <w:numId w:val="5"/>
      </w:numPr>
    </w:pPr>
  </w:style>
  <w:style w:type="paragraph" w:styleId="ListNumber4">
    <w:name w:val="List Number 4"/>
    <w:basedOn w:val="Normal"/>
    <w:uiPriority w:val="99"/>
    <w:rsid w:val="005874E7"/>
    <w:pPr>
      <w:numPr>
        <w:ilvl w:val="3"/>
        <w:numId w:val="5"/>
      </w:numPr>
    </w:pPr>
  </w:style>
  <w:style w:type="paragraph" w:styleId="ListNumber5">
    <w:name w:val="List Number 5"/>
    <w:basedOn w:val="Normal"/>
    <w:uiPriority w:val="99"/>
    <w:rsid w:val="005874E7"/>
    <w:pPr>
      <w:numPr>
        <w:ilvl w:val="4"/>
        <w:numId w:val="5"/>
      </w:numPr>
    </w:pPr>
  </w:style>
  <w:style w:type="paragraph" w:customStyle="1" w:styleId="Footerclassification">
    <w:name w:val="Footer classification"/>
    <w:basedOn w:val="Classification"/>
    <w:rsid w:val="005874E7"/>
    <w:pPr>
      <w:spacing w:before="240" w:after="0"/>
    </w:pPr>
  </w:style>
  <w:style w:type="table" w:styleId="TableGrid">
    <w:name w:val="Table Grid"/>
    <w:basedOn w:val="TableNormal"/>
    <w:uiPriority w:val="59"/>
    <w:rsid w:val="005874E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874E7"/>
    <w:pPr>
      <w:spacing w:after="0"/>
    </w:pPr>
  </w:style>
  <w:style w:type="paragraph" w:customStyle="1" w:styleId="Classificationsensitivity">
    <w:name w:val="Classification sensitivity"/>
    <w:basedOn w:val="Classification"/>
    <w:rsid w:val="005874E7"/>
    <w:rPr>
      <w:sz w:val="22"/>
    </w:rPr>
  </w:style>
  <w:style w:type="paragraph" w:styleId="NoSpacing">
    <w:name w:val="No Spacing"/>
    <w:link w:val="NoSpacingChar"/>
    <w:uiPriority w:val="1"/>
    <w:qFormat/>
    <w:rsid w:val="005874E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74E7"/>
    <w:rPr>
      <w:rFonts w:eastAsiaTheme="minorEastAsia"/>
      <w:lang w:val="en-US"/>
    </w:rPr>
  </w:style>
  <w:style w:type="table" w:styleId="LightList-Accent2">
    <w:name w:val="Light List Accent 2"/>
    <w:basedOn w:val="TableNormal"/>
    <w:uiPriority w:val="61"/>
    <w:rsid w:val="005874E7"/>
    <w:pPr>
      <w:spacing w:after="0" w:line="240" w:lineRule="auto"/>
    </w:pPr>
    <w:rPr>
      <w:rFonts w:ascii="Arial" w:eastAsia="Calibri" w:hAnsi="Arial"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5874E7"/>
    <w:pPr>
      <w:spacing w:after="0" w:line="240" w:lineRule="auto"/>
    </w:pPr>
    <w:rPr>
      <w:rFonts w:ascii="Arial" w:eastAsia="Calibri" w:hAnsi="Arial"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2D7001"/>
    <w:pPr>
      <w:tabs>
        <w:tab w:val="right" w:leader="dot" w:pos="10456"/>
      </w:tabs>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D7001"/>
    <w:pPr>
      <w:tabs>
        <w:tab w:val="right" w:leader="dot" w:pos="10456"/>
      </w:tabs>
      <w:spacing w:after="0"/>
      <w:ind w:left="440"/>
    </w:pPr>
    <w:rPr>
      <w:rFonts w:asciiTheme="minorHAnsi" w:hAnsiTheme="minorHAnsi"/>
      <w:i/>
      <w:iCs/>
      <w:sz w:val="20"/>
      <w:szCs w:val="20"/>
    </w:rPr>
  </w:style>
  <w:style w:type="character" w:styleId="Hyperlink">
    <w:name w:val="Hyperlink"/>
    <w:basedOn w:val="DefaultParagraphFont"/>
    <w:uiPriority w:val="99"/>
    <w:unhideWhenUsed/>
    <w:rsid w:val="005874E7"/>
    <w:rPr>
      <w:color w:val="0000FF" w:themeColor="hyperlink"/>
      <w:u w:val="single"/>
    </w:rPr>
  </w:style>
  <w:style w:type="paragraph" w:styleId="TOC1">
    <w:name w:val="toc 1"/>
    <w:basedOn w:val="Normal"/>
    <w:next w:val="Normal"/>
    <w:autoRedefine/>
    <w:uiPriority w:val="39"/>
    <w:unhideWhenUsed/>
    <w:rsid w:val="002D7001"/>
    <w:pPr>
      <w:tabs>
        <w:tab w:val="right" w:leader="dot" w:pos="10456"/>
      </w:tabs>
      <w:spacing w:before="120" w:after="0"/>
    </w:pPr>
    <w:rPr>
      <w:rFonts w:asciiTheme="minorHAnsi" w:hAnsiTheme="minorHAnsi"/>
      <w:b/>
      <w:bCs/>
      <w:caps/>
      <w:sz w:val="20"/>
      <w:szCs w:val="20"/>
    </w:rPr>
  </w:style>
  <w:style w:type="paragraph" w:styleId="NormalWeb">
    <w:name w:val="Normal (Web)"/>
    <w:basedOn w:val="Normal"/>
    <w:uiPriority w:val="99"/>
    <w:unhideWhenUsed/>
    <w:rsid w:val="005874E7"/>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Default">
    <w:name w:val="Default"/>
    <w:rsid w:val="005874E7"/>
    <w:pPr>
      <w:autoSpaceDE w:val="0"/>
      <w:autoSpaceDN w:val="0"/>
      <w:adjustRightInd w:val="0"/>
      <w:spacing w:after="0" w:line="240" w:lineRule="auto"/>
    </w:pPr>
    <w:rPr>
      <w:rFonts w:ascii="Calibri" w:eastAsia="Calibri" w:hAnsi="Calibri" w:cs="Calibri"/>
      <w:color w:val="000000"/>
      <w:sz w:val="24"/>
      <w:szCs w:val="24"/>
      <w:lang w:eastAsia="en-AU"/>
    </w:rPr>
  </w:style>
  <w:style w:type="paragraph" w:customStyle="1" w:styleId="scrread">
    <w:name w:val="scrread"/>
    <w:basedOn w:val="Normal"/>
    <w:rsid w:val="005874E7"/>
    <w:pPr>
      <w:spacing w:before="100" w:beforeAutospacing="1" w:after="100" w:afterAutospacing="1" w:line="240" w:lineRule="auto"/>
    </w:pPr>
    <w:rPr>
      <w:rFonts w:ascii="Times New Roman" w:eastAsia="Times New Roman" w:hAnsi="Times New Roman"/>
      <w:sz w:val="24"/>
      <w:szCs w:val="24"/>
      <w:lang w:eastAsia="en-AU"/>
    </w:rPr>
  </w:style>
  <w:style w:type="paragraph" w:styleId="TOCHeading">
    <w:name w:val="TOC Heading"/>
    <w:basedOn w:val="Heading1"/>
    <w:next w:val="Normal"/>
    <w:uiPriority w:val="39"/>
    <w:unhideWhenUsed/>
    <w:qFormat/>
    <w:rsid w:val="005874E7"/>
    <w:pPr>
      <w:keepLines/>
      <w:spacing w:before="240" w:after="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table" w:customStyle="1" w:styleId="GridTable2-Accent61">
    <w:name w:val="Grid Table 2 - Accent 61"/>
    <w:basedOn w:val="TableNormal"/>
    <w:uiPriority w:val="47"/>
    <w:rsid w:val="005874E7"/>
    <w:pPr>
      <w:spacing w:after="0" w:line="240" w:lineRule="auto"/>
    </w:pPr>
    <w:rPr>
      <w:rFonts w:ascii="Arial" w:eastAsia="Calibri" w:hAnsi="Arial" w:cs="Times New Roman"/>
      <w:sz w:val="20"/>
      <w:szCs w:val="20"/>
      <w:lang w:eastAsia="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5874E7"/>
    <w:pPr>
      <w:spacing w:after="0" w:line="240" w:lineRule="auto"/>
    </w:pPr>
    <w:rPr>
      <w:rFonts w:ascii="Arial" w:eastAsia="Calibri" w:hAnsi="Arial"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FollowedHyperlink">
    <w:name w:val="FollowedHyperlink"/>
    <w:basedOn w:val="DefaultParagraphFont"/>
    <w:uiPriority w:val="99"/>
    <w:semiHidden/>
    <w:unhideWhenUsed/>
    <w:rsid w:val="005874E7"/>
    <w:rPr>
      <w:color w:val="800080" w:themeColor="followedHyperlink"/>
      <w:u w:val="single"/>
    </w:rPr>
  </w:style>
  <w:style w:type="character" w:styleId="CommentReference">
    <w:name w:val="annotation reference"/>
    <w:basedOn w:val="DefaultParagraphFont"/>
    <w:uiPriority w:val="99"/>
    <w:semiHidden/>
    <w:unhideWhenUsed/>
    <w:rsid w:val="005874E7"/>
    <w:rPr>
      <w:sz w:val="16"/>
      <w:szCs w:val="16"/>
    </w:rPr>
  </w:style>
  <w:style w:type="paragraph" w:styleId="CommentText">
    <w:name w:val="annotation text"/>
    <w:basedOn w:val="Normal"/>
    <w:link w:val="CommentTextChar"/>
    <w:uiPriority w:val="99"/>
    <w:unhideWhenUsed/>
    <w:rsid w:val="005874E7"/>
    <w:pPr>
      <w:spacing w:line="240" w:lineRule="auto"/>
    </w:pPr>
    <w:rPr>
      <w:sz w:val="20"/>
      <w:szCs w:val="20"/>
    </w:rPr>
  </w:style>
  <w:style w:type="character" w:customStyle="1" w:styleId="CommentTextChar">
    <w:name w:val="Comment Text Char"/>
    <w:basedOn w:val="DefaultParagraphFont"/>
    <w:link w:val="CommentText"/>
    <w:uiPriority w:val="99"/>
    <w:rsid w:val="005874E7"/>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5874E7"/>
    <w:rPr>
      <w:b/>
      <w:bCs/>
    </w:rPr>
  </w:style>
  <w:style w:type="character" w:customStyle="1" w:styleId="CommentSubjectChar">
    <w:name w:val="Comment Subject Char"/>
    <w:basedOn w:val="CommentTextChar"/>
    <w:link w:val="CommentSubject"/>
    <w:uiPriority w:val="99"/>
    <w:semiHidden/>
    <w:rsid w:val="005874E7"/>
    <w:rPr>
      <w:rFonts w:ascii="Arial" w:eastAsia="Calibri" w:hAnsi="Arial" w:cs="Times New Roman"/>
      <w:b/>
      <w:bCs/>
      <w:sz w:val="20"/>
      <w:szCs w:val="20"/>
    </w:rPr>
  </w:style>
  <w:style w:type="paragraph" w:styleId="Revision">
    <w:name w:val="Revision"/>
    <w:hidden/>
    <w:uiPriority w:val="99"/>
    <w:semiHidden/>
    <w:rsid w:val="005874E7"/>
    <w:pPr>
      <w:spacing w:after="0" w:line="240" w:lineRule="auto"/>
    </w:pPr>
    <w:rPr>
      <w:rFonts w:ascii="Arial" w:eastAsia="Calibri" w:hAnsi="Arial" w:cs="Times New Roman"/>
    </w:rPr>
  </w:style>
  <w:style w:type="paragraph" w:styleId="FootnoteText">
    <w:name w:val="footnote text"/>
    <w:basedOn w:val="Normal"/>
    <w:link w:val="FootnoteTextChar"/>
    <w:uiPriority w:val="99"/>
    <w:semiHidden/>
    <w:unhideWhenUsed/>
    <w:rsid w:val="005874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74E7"/>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5874E7"/>
    <w:rPr>
      <w:vertAlign w:val="superscript"/>
    </w:rPr>
  </w:style>
  <w:style w:type="character" w:customStyle="1" w:styleId="tgc">
    <w:name w:val="_tgc"/>
    <w:basedOn w:val="DefaultParagraphFont"/>
    <w:rsid w:val="005874E7"/>
  </w:style>
  <w:style w:type="character" w:customStyle="1" w:styleId="st1">
    <w:name w:val="st1"/>
    <w:basedOn w:val="DefaultParagraphFont"/>
    <w:rsid w:val="005874E7"/>
  </w:style>
  <w:style w:type="paragraph" w:styleId="TOC4">
    <w:name w:val="toc 4"/>
    <w:basedOn w:val="Normal"/>
    <w:next w:val="Normal"/>
    <w:autoRedefine/>
    <w:uiPriority w:val="39"/>
    <w:unhideWhenUsed/>
    <w:rsid w:val="005874E7"/>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874E7"/>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874E7"/>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874E7"/>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874E7"/>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874E7"/>
    <w:pPr>
      <w:spacing w:after="0"/>
      <w:ind w:left="1760"/>
    </w:pPr>
    <w:rPr>
      <w:rFonts w:asciiTheme="minorHAnsi" w:hAnsiTheme="minorHAnsi"/>
      <w:sz w:val="18"/>
      <w:szCs w:val="18"/>
    </w:rPr>
  </w:style>
  <w:style w:type="character" w:styleId="Strong">
    <w:name w:val="Strong"/>
    <w:basedOn w:val="DefaultParagraphFont"/>
    <w:uiPriority w:val="22"/>
    <w:qFormat/>
    <w:rsid w:val="005874E7"/>
    <w:rPr>
      <w:b/>
      <w:bCs/>
    </w:rPr>
  </w:style>
  <w:style w:type="character" w:styleId="Emphasis">
    <w:name w:val="Emphasis"/>
    <w:basedOn w:val="DefaultParagraphFont"/>
    <w:uiPriority w:val="20"/>
    <w:qFormat/>
    <w:rsid w:val="005874E7"/>
    <w:rPr>
      <w:i/>
      <w:iCs/>
    </w:rPr>
  </w:style>
  <w:style w:type="character" w:customStyle="1" w:styleId="gmail-s1">
    <w:name w:val="gmail-s1"/>
    <w:basedOn w:val="DefaultParagraphFont"/>
    <w:rsid w:val="00C20262"/>
  </w:style>
  <w:style w:type="character" w:customStyle="1" w:styleId="gmail-s2">
    <w:name w:val="gmail-s2"/>
    <w:basedOn w:val="DefaultParagraphFont"/>
    <w:rsid w:val="00C20262"/>
  </w:style>
  <w:style w:type="paragraph" w:customStyle="1" w:styleId="gmail-p3">
    <w:name w:val="gmail-p3"/>
    <w:basedOn w:val="Normal"/>
    <w:rsid w:val="00C20262"/>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gmail-p1">
    <w:name w:val="gmail-p1"/>
    <w:basedOn w:val="Normal"/>
    <w:rsid w:val="00C20262"/>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gmail-s4">
    <w:name w:val="gmail-s4"/>
    <w:basedOn w:val="DefaultParagraphFont"/>
    <w:rsid w:val="00CB361B"/>
  </w:style>
  <w:style w:type="table" w:customStyle="1" w:styleId="TableGrid1">
    <w:name w:val="Table Grid1"/>
    <w:basedOn w:val="TableNormal"/>
    <w:next w:val="TableGrid"/>
    <w:uiPriority w:val="59"/>
    <w:rsid w:val="00212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s3">
    <w:name w:val="gmail-s3"/>
    <w:basedOn w:val="DefaultParagraphFont"/>
    <w:rsid w:val="00331981"/>
  </w:style>
  <w:style w:type="character" w:customStyle="1" w:styleId="hps-normal1">
    <w:name w:val="hps-normal1"/>
    <w:basedOn w:val="DefaultParagraphFont"/>
    <w:rsid w:val="007759C0"/>
  </w:style>
  <w:style w:type="paragraph" w:customStyle="1" w:styleId="hps-normal">
    <w:name w:val="hps-normal"/>
    <w:basedOn w:val="Normal"/>
    <w:rsid w:val="002A6706"/>
    <w:pPr>
      <w:spacing w:before="180" w:after="180" w:line="240" w:lineRule="auto"/>
      <w:ind w:firstLine="240"/>
    </w:pPr>
    <w:rPr>
      <w:rFonts w:ascii="Times New Roman" w:eastAsia="Times New Roman" w:hAnsi="Times New Roman"/>
      <w:color w:val="444444"/>
      <w:sz w:val="24"/>
      <w:szCs w:val="24"/>
      <w:lang w:eastAsia="en-AU"/>
    </w:rPr>
  </w:style>
  <w:style w:type="character" w:customStyle="1" w:styleId="ListParagraphChar">
    <w:name w:val="List Paragraph Char"/>
    <w:aliases w:val="1 heading Char,Bulleted Para Char,CV text Char,DDM Gen Text Char,Dot pt Char,F5 List Paragraph Char,FooterText Char,L Char,List Paragraph1 Char,List Paragraph11 Char,List Paragraph111 Char,List Paragraph2 Char,Numbered Paragraph Char"/>
    <w:basedOn w:val="DefaultParagraphFont"/>
    <w:link w:val="ListParagraph"/>
    <w:uiPriority w:val="34"/>
    <w:qFormat/>
    <w:locked/>
    <w:rsid w:val="002A6706"/>
    <w:rPr>
      <w:rFonts w:ascii="Arial" w:eastAsia="Calibri" w:hAnsi="Arial" w:cs="Times New Roman"/>
    </w:rPr>
  </w:style>
  <w:style w:type="paragraph" w:customStyle="1" w:styleId="ydp9b35d7f1yiv8283073263msolistparagraph">
    <w:name w:val="ydp9b35d7f1yiv8283073263msolistparagraph"/>
    <w:basedOn w:val="Normal"/>
    <w:rsid w:val="002A6706"/>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ydp22a6ac27yiv6561085026msonormal">
    <w:name w:val="ydp22a6ac27yiv6561085026msonormal"/>
    <w:basedOn w:val="Normal"/>
    <w:rsid w:val="0030424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ydp590c5e56yiv5064642127msonormal">
    <w:name w:val="ydp590c5e56yiv5064642127msonormal"/>
    <w:basedOn w:val="Normal"/>
    <w:uiPriority w:val="99"/>
    <w:rsid w:val="00304241"/>
    <w:pPr>
      <w:spacing w:before="100" w:beforeAutospacing="1" w:after="100" w:afterAutospacing="1" w:line="240" w:lineRule="auto"/>
    </w:pPr>
    <w:rPr>
      <w:rFonts w:ascii="Calibri" w:eastAsiaTheme="minorHAnsi" w:hAnsi="Calibri" w:cs="Calibri"/>
      <w:lang w:eastAsia="en-AU"/>
    </w:rPr>
  </w:style>
  <w:style w:type="paragraph" w:customStyle="1" w:styleId="ydp27c4d6a0yiv8834822721msonormal">
    <w:name w:val="ydp27c4d6a0yiv8834822721msonormal"/>
    <w:basedOn w:val="Normal"/>
    <w:rsid w:val="00304241"/>
    <w:pPr>
      <w:spacing w:before="100" w:beforeAutospacing="1" w:after="100" w:afterAutospacing="1" w:line="240" w:lineRule="auto"/>
    </w:pPr>
    <w:rPr>
      <w:rFonts w:ascii="Times New Roman" w:eastAsiaTheme="minorHAnsi" w:hAnsi="Times New Roman"/>
      <w:sz w:val="24"/>
      <w:szCs w:val="24"/>
      <w:lang w:eastAsia="en-AU"/>
    </w:rPr>
  </w:style>
  <w:style w:type="paragraph" w:styleId="PlainText">
    <w:name w:val="Plain Text"/>
    <w:basedOn w:val="Normal"/>
    <w:link w:val="PlainTextChar"/>
    <w:uiPriority w:val="99"/>
    <w:unhideWhenUsed/>
    <w:rsid w:val="000C775F"/>
    <w:pPr>
      <w:spacing w:after="0" w:line="240" w:lineRule="auto"/>
    </w:pPr>
    <w:rPr>
      <w:rFonts w:ascii="Consolas" w:eastAsia="Times New Roman" w:hAnsi="Consolas"/>
      <w:sz w:val="21"/>
      <w:szCs w:val="21"/>
      <w:lang w:eastAsia="en-AU"/>
    </w:rPr>
  </w:style>
  <w:style w:type="character" w:customStyle="1" w:styleId="PlainTextChar">
    <w:name w:val="Plain Text Char"/>
    <w:basedOn w:val="DefaultParagraphFont"/>
    <w:link w:val="PlainText"/>
    <w:uiPriority w:val="99"/>
    <w:rsid w:val="000C775F"/>
    <w:rPr>
      <w:rFonts w:ascii="Consolas" w:eastAsia="Times New Roman" w:hAnsi="Consolas" w:cs="Times New Roman"/>
      <w:sz w:val="21"/>
      <w:szCs w:val="21"/>
      <w:lang w:eastAsia="en-AU"/>
    </w:rPr>
  </w:style>
  <w:style w:type="character" w:styleId="UnresolvedMention">
    <w:name w:val="Unresolved Mention"/>
    <w:basedOn w:val="DefaultParagraphFont"/>
    <w:uiPriority w:val="99"/>
    <w:semiHidden/>
    <w:unhideWhenUsed/>
    <w:rsid w:val="00506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219">
      <w:bodyDiv w:val="1"/>
      <w:marLeft w:val="0"/>
      <w:marRight w:val="0"/>
      <w:marTop w:val="0"/>
      <w:marBottom w:val="0"/>
      <w:divBdr>
        <w:top w:val="none" w:sz="0" w:space="0" w:color="auto"/>
        <w:left w:val="none" w:sz="0" w:space="0" w:color="auto"/>
        <w:bottom w:val="none" w:sz="0" w:space="0" w:color="auto"/>
        <w:right w:val="none" w:sz="0" w:space="0" w:color="auto"/>
      </w:divBdr>
    </w:div>
    <w:div w:id="56323535">
      <w:bodyDiv w:val="1"/>
      <w:marLeft w:val="0"/>
      <w:marRight w:val="0"/>
      <w:marTop w:val="0"/>
      <w:marBottom w:val="0"/>
      <w:divBdr>
        <w:top w:val="none" w:sz="0" w:space="0" w:color="auto"/>
        <w:left w:val="none" w:sz="0" w:space="0" w:color="auto"/>
        <w:bottom w:val="none" w:sz="0" w:space="0" w:color="auto"/>
        <w:right w:val="none" w:sz="0" w:space="0" w:color="auto"/>
      </w:divBdr>
      <w:divsChild>
        <w:div w:id="1726483726">
          <w:marLeft w:val="547"/>
          <w:marRight w:val="0"/>
          <w:marTop w:val="67"/>
          <w:marBottom w:val="120"/>
          <w:divBdr>
            <w:top w:val="none" w:sz="0" w:space="0" w:color="auto"/>
            <w:left w:val="none" w:sz="0" w:space="0" w:color="auto"/>
            <w:bottom w:val="none" w:sz="0" w:space="0" w:color="auto"/>
            <w:right w:val="none" w:sz="0" w:space="0" w:color="auto"/>
          </w:divBdr>
        </w:div>
        <w:div w:id="963383908">
          <w:marLeft w:val="1166"/>
          <w:marRight w:val="0"/>
          <w:marTop w:val="67"/>
          <w:marBottom w:val="120"/>
          <w:divBdr>
            <w:top w:val="none" w:sz="0" w:space="0" w:color="auto"/>
            <w:left w:val="none" w:sz="0" w:space="0" w:color="auto"/>
            <w:bottom w:val="none" w:sz="0" w:space="0" w:color="auto"/>
            <w:right w:val="none" w:sz="0" w:space="0" w:color="auto"/>
          </w:divBdr>
        </w:div>
        <w:div w:id="883835420">
          <w:marLeft w:val="1166"/>
          <w:marRight w:val="0"/>
          <w:marTop w:val="67"/>
          <w:marBottom w:val="120"/>
          <w:divBdr>
            <w:top w:val="none" w:sz="0" w:space="0" w:color="auto"/>
            <w:left w:val="none" w:sz="0" w:space="0" w:color="auto"/>
            <w:bottom w:val="none" w:sz="0" w:space="0" w:color="auto"/>
            <w:right w:val="none" w:sz="0" w:space="0" w:color="auto"/>
          </w:divBdr>
        </w:div>
        <w:div w:id="1521355975">
          <w:marLeft w:val="547"/>
          <w:marRight w:val="0"/>
          <w:marTop w:val="67"/>
          <w:marBottom w:val="120"/>
          <w:divBdr>
            <w:top w:val="none" w:sz="0" w:space="0" w:color="auto"/>
            <w:left w:val="none" w:sz="0" w:space="0" w:color="auto"/>
            <w:bottom w:val="none" w:sz="0" w:space="0" w:color="auto"/>
            <w:right w:val="none" w:sz="0" w:space="0" w:color="auto"/>
          </w:divBdr>
        </w:div>
        <w:div w:id="74130481">
          <w:marLeft w:val="547"/>
          <w:marRight w:val="0"/>
          <w:marTop w:val="67"/>
          <w:marBottom w:val="120"/>
          <w:divBdr>
            <w:top w:val="none" w:sz="0" w:space="0" w:color="auto"/>
            <w:left w:val="none" w:sz="0" w:space="0" w:color="auto"/>
            <w:bottom w:val="none" w:sz="0" w:space="0" w:color="auto"/>
            <w:right w:val="none" w:sz="0" w:space="0" w:color="auto"/>
          </w:divBdr>
        </w:div>
        <w:div w:id="1956210791">
          <w:marLeft w:val="547"/>
          <w:marRight w:val="0"/>
          <w:marTop w:val="67"/>
          <w:marBottom w:val="120"/>
          <w:divBdr>
            <w:top w:val="none" w:sz="0" w:space="0" w:color="auto"/>
            <w:left w:val="none" w:sz="0" w:space="0" w:color="auto"/>
            <w:bottom w:val="none" w:sz="0" w:space="0" w:color="auto"/>
            <w:right w:val="none" w:sz="0" w:space="0" w:color="auto"/>
          </w:divBdr>
        </w:div>
        <w:div w:id="1473516992">
          <w:marLeft w:val="547"/>
          <w:marRight w:val="0"/>
          <w:marTop w:val="67"/>
          <w:marBottom w:val="120"/>
          <w:divBdr>
            <w:top w:val="none" w:sz="0" w:space="0" w:color="auto"/>
            <w:left w:val="none" w:sz="0" w:space="0" w:color="auto"/>
            <w:bottom w:val="none" w:sz="0" w:space="0" w:color="auto"/>
            <w:right w:val="none" w:sz="0" w:space="0" w:color="auto"/>
          </w:divBdr>
        </w:div>
      </w:divsChild>
    </w:div>
    <w:div w:id="206995116">
      <w:bodyDiv w:val="1"/>
      <w:marLeft w:val="0"/>
      <w:marRight w:val="0"/>
      <w:marTop w:val="0"/>
      <w:marBottom w:val="0"/>
      <w:divBdr>
        <w:top w:val="none" w:sz="0" w:space="0" w:color="auto"/>
        <w:left w:val="none" w:sz="0" w:space="0" w:color="auto"/>
        <w:bottom w:val="none" w:sz="0" w:space="0" w:color="auto"/>
        <w:right w:val="none" w:sz="0" w:space="0" w:color="auto"/>
      </w:divBdr>
    </w:div>
    <w:div w:id="293757386">
      <w:bodyDiv w:val="1"/>
      <w:marLeft w:val="0"/>
      <w:marRight w:val="0"/>
      <w:marTop w:val="0"/>
      <w:marBottom w:val="0"/>
      <w:divBdr>
        <w:top w:val="none" w:sz="0" w:space="0" w:color="auto"/>
        <w:left w:val="none" w:sz="0" w:space="0" w:color="auto"/>
        <w:bottom w:val="none" w:sz="0" w:space="0" w:color="auto"/>
        <w:right w:val="none" w:sz="0" w:space="0" w:color="auto"/>
      </w:divBdr>
    </w:div>
    <w:div w:id="478544353">
      <w:bodyDiv w:val="1"/>
      <w:marLeft w:val="0"/>
      <w:marRight w:val="0"/>
      <w:marTop w:val="0"/>
      <w:marBottom w:val="0"/>
      <w:divBdr>
        <w:top w:val="none" w:sz="0" w:space="0" w:color="auto"/>
        <w:left w:val="none" w:sz="0" w:space="0" w:color="auto"/>
        <w:bottom w:val="none" w:sz="0" w:space="0" w:color="auto"/>
        <w:right w:val="none" w:sz="0" w:space="0" w:color="auto"/>
      </w:divBdr>
      <w:divsChild>
        <w:div w:id="891694644">
          <w:marLeft w:val="0"/>
          <w:marRight w:val="0"/>
          <w:marTop w:val="0"/>
          <w:marBottom w:val="100"/>
          <w:divBdr>
            <w:top w:val="none" w:sz="0" w:space="0" w:color="auto"/>
            <w:left w:val="none" w:sz="0" w:space="0" w:color="auto"/>
            <w:bottom w:val="none" w:sz="0" w:space="0" w:color="auto"/>
            <w:right w:val="none" w:sz="0" w:space="0" w:color="auto"/>
          </w:divBdr>
          <w:divsChild>
            <w:div w:id="554514187">
              <w:marLeft w:val="0"/>
              <w:marRight w:val="0"/>
              <w:marTop w:val="0"/>
              <w:marBottom w:val="0"/>
              <w:divBdr>
                <w:top w:val="none" w:sz="0" w:space="0" w:color="auto"/>
                <w:left w:val="none" w:sz="0" w:space="0" w:color="auto"/>
                <w:bottom w:val="none" w:sz="0" w:space="0" w:color="auto"/>
                <w:right w:val="none" w:sz="0" w:space="0" w:color="auto"/>
              </w:divBdr>
              <w:divsChild>
                <w:div w:id="1042680213">
                  <w:marLeft w:val="0"/>
                  <w:marRight w:val="0"/>
                  <w:marTop w:val="0"/>
                  <w:marBottom w:val="0"/>
                  <w:divBdr>
                    <w:top w:val="none" w:sz="0" w:space="0" w:color="auto"/>
                    <w:left w:val="none" w:sz="0" w:space="0" w:color="auto"/>
                    <w:bottom w:val="none" w:sz="0" w:space="0" w:color="auto"/>
                    <w:right w:val="none" w:sz="0" w:space="0" w:color="auto"/>
                  </w:divBdr>
                  <w:divsChild>
                    <w:div w:id="1343623998">
                      <w:marLeft w:val="0"/>
                      <w:marRight w:val="0"/>
                      <w:marTop w:val="168"/>
                      <w:marBottom w:val="168"/>
                      <w:divBdr>
                        <w:top w:val="none" w:sz="0" w:space="0" w:color="auto"/>
                        <w:left w:val="none" w:sz="0" w:space="0" w:color="auto"/>
                        <w:bottom w:val="none" w:sz="0" w:space="0" w:color="auto"/>
                        <w:right w:val="none" w:sz="0" w:space="0" w:color="auto"/>
                      </w:divBdr>
                      <w:divsChild>
                        <w:div w:id="2023434935">
                          <w:marLeft w:val="0"/>
                          <w:marRight w:val="0"/>
                          <w:marTop w:val="0"/>
                          <w:marBottom w:val="0"/>
                          <w:divBdr>
                            <w:top w:val="none" w:sz="0" w:space="0" w:color="auto"/>
                            <w:left w:val="none" w:sz="0" w:space="0" w:color="auto"/>
                            <w:bottom w:val="none" w:sz="0" w:space="0" w:color="auto"/>
                            <w:right w:val="none" w:sz="0" w:space="0" w:color="auto"/>
                          </w:divBdr>
                          <w:divsChild>
                            <w:div w:id="16437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282247">
      <w:bodyDiv w:val="1"/>
      <w:marLeft w:val="0"/>
      <w:marRight w:val="0"/>
      <w:marTop w:val="0"/>
      <w:marBottom w:val="0"/>
      <w:divBdr>
        <w:top w:val="none" w:sz="0" w:space="0" w:color="auto"/>
        <w:left w:val="none" w:sz="0" w:space="0" w:color="auto"/>
        <w:bottom w:val="none" w:sz="0" w:space="0" w:color="auto"/>
        <w:right w:val="none" w:sz="0" w:space="0" w:color="auto"/>
      </w:divBdr>
    </w:div>
    <w:div w:id="774133057">
      <w:bodyDiv w:val="1"/>
      <w:marLeft w:val="0"/>
      <w:marRight w:val="0"/>
      <w:marTop w:val="0"/>
      <w:marBottom w:val="0"/>
      <w:divBdr>
        <w:top w:val="none" w:sz="0" w:space="0" w:color="auto"/>
        <w:left w:val="none" w:sz="0" w:space="0" w:color="auto"/>
        <w:bottom w:val="none" w:sz="0" w:space="0" w:color="auto"/>
        <w:right w:val="none" w:sz="0" w:space="0" w:color="auto"/>
      </w:divBdr>
      <w:divsChild>
        <w:div w:id="1706825480">
          <w:marLeft w:val="0"/>
          <w:marRight w:val="0"/>
          <w:marTop w:val="0"/>
          <w:marBottom w:val="0"/>
          <w:divBdr>
            <w:top w:val="none" w:sz="0" w:space="0" w:color="auto"/>
            <w:left w:val="none" w:sz="0" w:space="0" w:color="auto"/>
            <w:bottom w:val="none" w:sz="0" w:space="0" w:color="auto"/>
            <w:right w:val="none" w:sz="0" w:space="0" w:color="auto"/>
          </w:divBdr>
          <w:divsChild>
            <w:div w:id="2137210880">
              <w:marLeft w:val="0"/>
              <w:marRight w:val="0"/>
              <w:marTop w:val="0"/>
              <w:marBottom w:val="0"/>
              <w:divBdr>
                <w:top w:val="none" w:sz="0" w:space="0" w:color="auto"/>
                <w:left w:val="none" w:sz="0" w:space="0" w:color="auto"/>
                <w:bottom w:val="none" w:sz="0" w:space="0" w:color="auto"/>
                <w:right w:val="none" w:sz="0" w:space="0" w:color="auto"/>
              </w:divBdr>
              <w:divsChild>
                <w:div w:id="253706401">
                  <w:marLeft w:val="0"/>
                  <w:marRight w:val="0"/>
                  <w:marTop w:val="0"/>
                  <w:marBottom w:val="0"/>
                  <w:divBdr>
                    <w:top w:val="none" w:sz="0" w:space="0" w:color="auto"/>
                    <w:left w:val="none" w:sz="0" w:space="0" w:color="auto"/>
                    <w:bottom w:val="none" w:sz="0" w:space="0" w:color="auto"/>
                    <w:right w:val="none" w:sz="0" w:space="0" w:color="auto"/>
                  </w:divBdr>
                  <w:divsChild>
                    <w:div w:id="1812551786">
                      <w:marLeft w:val="0"/>
                      <w:marRight w:val="0"/>
                      <w:marTop w:val="0"/>
                      <w:marBottom w:val="0"/>
                      <w:divBdr>
                        <w:top w:val="none" w:sz="0" w:space="0" w:color="auto"/>
                        <w:left w:val="none" w:sz="0" w:space="0" w:color="auto"/>
                        <w:bottom w:val="none" w:sz="0" w:space="0" w:color="auto"/>
                        <w:right w:val="none" w:sz="0" w:space="0" w:color="auto"/>
                      </w:divBdr>
                      <w:divsChild>
                        <w:div w:id="1629118473">
                          <w:marLeft w:val="0"/>
                          <w:marRight w:val="0"/>
                          <w:marTop w:val="0"/>
                          <w:marBottom w:val="0"/>
                          <w:divBdr>
                            <w:top w:val="none" w:sz="0" w:space="0" w:color="auto"/>
                            <w:left w:val="none" w:sz="0" w:space="0" w:color="auto"/>
                            <w:bottom w:val="none" w:sz="0" w:space="0" w:color="auto"/>
                            <w:right w:val="none" w:sz="0" w:space="0" w:color="auto"/>
                          </w:divBdr>
                          <w:divsChild>
                            <w:div w:id="111091747">
                              <w:marLeft w:val="0"/>
                              <w:marRight w:val="0"/>
                              <w:marTop w:val="0"/>
                              <w:marBottom w:val="0"/>
                              <w:divBdr>
                                <w:top w:val="none" w:sz="0" w:space="0" w:color="auto"/>
                                <w:left w:val="none" w:sz="0" w:space="0" w:color="auto"/>
                                <w:bottom w:val="none" w:sz="0" w:space="0" w:color="auto"/>
                                <w:right w:val="none" w:sz="0" w:space="0" w:color="auto"/>
                              </w:divBdr>
                              <w:divsChild>
                                <w:div w:id="646275849">
                                  <w:marLeft w:val="0"/>
                                  <w:marRight w:val="0"/>
                                  <w:marTop w:val="0"/>
                                  <w:marBottom w:val="0"/>
                                  <w:divBdr>
                                    <w:top w:val="none" w:sz="0" w:space="0" w:color="auto"/>
                                    <w:left w:val="none" w:sz="0" w:space="0" w:color="auto"/>
                                    <w:bottom w:val="none" w:sz="0" w:space="0" w:color="auto"/>
                                    <w:right w:val="none" w:sz="0" w:space="0" w:color="auto"/>
                                  </w:divBdr>
                                  <w:divsChild>
                                    <w:div w:id="1906210889">
                                      <w:marLeft w:val="0"/>
                                      <w:marRight w:val="0"/>
                                      <w:marTop w:val="0"/>
                                      <w:marBottom w:val="0"/>
                                      <w:divBdr>
                                        <w:top w:val="none" w:sz="0" w:space="0" w:color="auto"/>
                                        <w:left w:val="none" w:sz="0" w:space="0" w:color="auto"/>
                                        <w:bottom w:val="none" w:sz="0" w:space="0" w:color="auto"/>
                                        <w:right w:val="none" w:sz="0" w:space="0" w:color="auto"/>
                                      </w:divBdr>
                                      <w:divsChild>
                                        <w:div w:id="104733818">
                                          <w:marLeft w:val="0"/>
                                          <w:marRight w:val="0"/>
                                          <w:marTop w:val="0"/>
                                          <w:marBottom w:val="0"/>
                                          <w:divBdr>
                                            <w:top w:val="none" w:sz="0" w:space="0" w:color="auto"/>
                                            <w:left w:val="none" w:sz="0" w:space="0" w:color="auto"/>
                                            <w:bottom w:val="none" w:sz="0" w:space="0" w:color="auto"/>
                                            <w:right w:val="none" w:sz="0" w:space="0" w:color="auto"/>
                                          </w:divBdr>
                                          <w:divsChild>
                                            <w:div w:id="198784691">
                                              <w:marLeft w:val="0"/>
                                              <w:marRight w:val="0"/>
                                              <w:marTop w:val="0"/>
                                              <w:marBottom w:val="0"/>
                                              <w:divBdr>
                                                <w:top w:val="none" w:sz="0" w:space="0" w:color="auto"/>
                                                <w:left w:val="none" w:sz="0" w:space="0" w:color="auto"/>
                                                <w:bottom w:val="none" w:sz="0" w:space="0" w:color="auto"/>
                                                <w:right w:val="none" w:sz="0" w:space="0" w:color="auto"/>
                                              </w:divBdr>
                                              <w:divsChild>
                                                <w:div w:id="11961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18115">
      <w:bodyDiv w:val="1"/>
      <w:marLeft w:val="0"/>
      <w:marRight w:val="0"/>
      <w:marTop w:val="0"/>
      <w:marBottom w:val="0"/>
      <w:divBdr>
        <w:top w:val="none" w:sz="0" w:space="0" w:color="auto"/>
        <w:left w:val="none" w:sz="0" w:space="0" w:color="auto"/>
        <w:bottom w:val="none" w:sz="0" w:space="0" w:color="auto"/>
        <w:right w:val="none" w:sz="0" w:space="0" w:color="auto"/>
      </w:divBdr>
      <w:divsChild>
        <w:div w:id="1841699328">
          <w:marLeft w:val="547"/>
          <w:marRight w:val="0"/>
          <w:marTop w:val="60"/>
          <w:marBottom w:val="120"/>
          <w:divBdr>
            <w:top w:val="none" w:sz="0" w:space="0" w:color="auto"/>
            <w:left w:val="none" w:sz="0" w:space="0" w:color="auto"/>
            <w:bottom w:val="none" w:sz="0" w:space="0" w:color="auto"/>
            <w:right w:val="none" w:sz="0" w:space="0" w:color="auto"/>
          </w:divBdr>
        </w:div>
        <w:div w:id="1663974014">
          <w:marLeft w:val="547"/>
          <w:marRight w:val="0"/>
          <w:marTop w:val="60"/>
          <w:marBottom w:val="120"/>
          <w:divBdr>
            <w:top w:val="none" w:sz="0" w:space="0" w:color="auto"/>
            <w:left w:val="none" w:sz="0" w:space="0" w:color="auto"/>
            <w:bottom w:val="none" w:sz="0" w:space="0" w:color="auto"/>
            <w:right w:val="none" w:sz="0" w:space="0" w:color="auto"/>
          </w:divBdr>
        </w:div>
        <w:div w:id="1883008161">
          <w:marLeft w:val="547"/>
          <w:marRight w:val="0"/>
          <w:marTop w:val="60"/>
          <w:marBottom w:val="120"/>
          <w:divBdr>
            <w:top w:val="none" w:sz="0" w:space="0" w:color="auto"/>
            <w:left w:val="none" w:sz="0" w:space="0" w:color="auto"/>
            <w:bottom w:val="none" w:sz="0" w:space="0" w:color="auto"/>
            <w:right w:val="none" w:sz="0" w:space="0" w:color="auto"/>
          </w:divBdr>
        </w:div>
        <w:div w:id="292903832">
          <w:marLeft w:val="547"/>
          <w:marRight w:val="0"/>
          <w:marTop w:val="60"/>
          <w:marBottom w:val="120"/>
          <w:divBdr>
            <w:top w:val="none" w:sz="0" w:space="0" w:color="auto"/>
            <w:left w:val="none" w:sz="0" w:space="0" w:color="auto"/>
            <w:bottom w:val="none" w:sz="0" w:space="0" w:color="auto"/>
            <w:right w:val="none" w:sz="0" w:space="0" w:color="auto"/>
          </w:divBdr>
        </w:div>
        <w:div w:id="1966698459">
          <w:marLeft w:val="547"/>
          <w:marRight w:val="0"/>
          <w:marTop w:val="60"/>
          <w:marBottom w:val="120"/>
          <w:divBdr>
            <w:top w:val="none" w:sz="0" w:space="0" w:color="auto"/>
            <w:left w:val="none" w:sz="0" w:space="0" w:color="auto"/>
            <w:bottom w:val="none" w:sz="0" w:space="0" w:color="auto"/>
            <w:right w:val="none" w:sz="0" w:space="0" w:color="auto"/>
          </w:divBdr>
        </w:div>
        <w:div w:id="133371666">
          <w:marLeft w:val="547"/>
          <w:marRight w:val="0"/>
          <w:marTop w:val="60"/>
          <w:marBottom w:val="120"/>
          <w:divBdr>
            <w:top w:val="none" w:sz="0" w:space="0" w:color="auto"/>
            <w:left w:val="none" w:sz="0" w:space="0" w:color="auto"/>
            <w:bottom w:val="none" w:sz="0" w:space="0" w:color="auto"/>
            <w:right w:val="none" w:sz="0" w:space="0" w:color="auto"/>
          </w:divBdr>
        </w:div>
        <w:div w:id="1627467465">
          <w:marLeft w:val="547"/>
          <w:marRight w:val="0"/>
          <w:marTop w:val="60"/>
          <w:marBottom w:val="120"/>
          <w:divBdr>
            <w:top w:val="none" w:sz="0" w:space="0" w:color="auto"/>
            <w:left w:val="none" w:sz="0" w:space="0" w:color="auto"/>
            <w:bottom w:val="none" w:sz="0" w:space="0" w:color="auto"/>
            <w:right w:val="none" w:sz="0" w:space="0" w:color="auto"/>
          </w:divBdr>
        </w:div>
        <w:div w:id="750201437">
          <w:marLeft w:val="547"/>
          <w:marRight w:val="0"/>
          <w:marTop w:val="60"/>
          <w:marBottom w:val="120"/>
          <w:divBdr>
            <w:top w:val="none" w:sz="0" w:space="0" w:color="auto"/>
            <w:left w:val="none" w:sz="0" w:space="0" w:color="auto"/>
            <w:bottom w:val="none" w:sz="0" w:space="0" w:color="auto"/>
            <w:right w:val="none" w:sz="0" w:space="0" w:color="auto"/>
          </w:divBdr>
        </w:div>
      </w:divsChild>
    </w:div>
    <w:div w:id="937837181">
      <w:bodyDiv w:val="1"/>
      <w:marLeft w:val="0"/>
      <w:marRight w:val="0"/>
      <w:marTop w:val="0"/>
      <w:marBottom w:val="0"/>
      <w:divBdr>
        <w:top w:val="none" w:sz="0" w:space="0" w:color="auto"/>
        <w:left w:val="none" w:sz="0" w:space="0" w:color="auto"/>
        <w:bottom w:val="none" w:sz="0" w:space="0" w:color="auto"/>
        <w:right w:val="none" w:sz="0" w:space="0" w:color="auto"/>
      </w:divBdr>
      <w:divsChild>
        <w:div w:id="752357522">
          <w:marLeft w:val="0"/>
          <w:marRight w:val="0"/>
          <w:marTop w:val="0"/>
          <w:marBottom w:val="0"/>
          <w:divBdr>
            <w:top w:val="none" w:sz="0" w:space="0" w:color="auto"/>
            <w:left w:val="none" w:sz="0" w:space="0" w:color="auto"/>
            <w:bottom w:val="none" w:sz="0" w:space="0" w:color="auto"/>
            <w:right w:val="none" w:sz="0" w:space="0" w:color="auto"/>
          </w:divBdr>
          <w:divsChild>
            <w:div w:id="2015377817">
              <w:marLeft w:val="0"/>
              <w:marRight w:val="0"/>
              <w:marTop w:val="0"/>
              <w:marBottom w:val="0"/>
              <w:divBdr>
                <w:top w:val="none" w:sz="0" w:space="0" w:color="auto"/>
                <w:left w:val="none" w:sz="0" w:space="0" w:color="auto"/>
                <w:bottom w:val="none" w:sz="0" w:space="0" w:color="auto"/>
                <w:right w:val="none" w:sz="0" w:space="0" w:color="auto"/>
              </w:divBdr>
              <w:divsChild>
                <w:div w:id="96143023">
                  <w:marLeft w:val="0"/>
                  <w:marRight w:val="0"/>
                  <w:marTop w:val="0"/>
                  <w:marBottom w:val="0"/>
                  <w:divBdr>
                    <w:top w:val="none" w:sz="0" w:space="0" w:color="auto"/>
                    <w:left w:val="none" w:sz="0" w:space="0" w:color="auto"/>
                    <w:bottom w:val="none" w:sz="0" w:space="0" w:color="auto"/>
                    <w:right w:val="none" w:sz="0" w:space="0" w:color="auto"/>
                  </w:divBdr>
                  <w:divsChild>
                    <w:div w:id="745226725">
                      <w:marLeft w:val="0"/>
                      <w:marRight w:val="0"/>
                      <w:marTop w:val="0"/>
                      <w:marBottom w:val="0"/>
                      <w:divBdr>
                        <w:top w:val="none" w:sz="0" w:space="0" w:color="auto"/>
                        <w:left w:val="none" w:sz="0" w:space="0" w:color="auto"/>
                        <w:bottom w:val="none" w:sz="0" w:space="0" w:color="auto"/>
                        <w:right w:val="none" w:sz="0" w:space="0" w:color="auto"/>
                      </w:divBdr>
                      <w:divsChild>
                        <w:div w:id="14848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336691">
      <w:bodyDiv w:val="1"/>
      <w:marLeft w:val="0"/>
      <w:marRight w:val="0"/>
      <w:marTop w:val="0"/>
      <w:marBottom w:val="0"/>
      <w:divBdr>
        <w:top w:val="none" w:sz="0" w:space="0" w:color="auto"/>
        <w:left w:val="none" w:sz="0" w:space="0" w:color="auto"/>
        <w:bottom w:val="none" w:sz="0" w:space="0" w:color="auto"/>
        <w:right w:val="none" w:sz="0" w:space="0" w:color="auto"/>
      </w:divBdr>
    </w:div>
    <w:div w:id="1049190746">
      <w:bodyDiv w:val="1"/>
      <w:marLeft w:val="0"/>
      <w:marRight w:val="0"/>
      <w:marTop w:val="0"/>
      <w:marBottom w:val="0"/>
      <w:divBdr>
        <w:top w:val="none" w:sz="0" w:space="0" w:color="auto"/>
        <w:left w:val="none" w:sz="0" w:space="0" w:color="auto"/>
        <w:bottom w:val="none" w:sz="0" w:space="0" w:color="auto"/>
        <w:right w:val="none" w:sz="0" w:space="0" w:color="auto"/>
      </w:divBdr>
    </w:div>
    <w:div w:id="1055087795">
      <w:bodyDiv w:val="1"/>
      <w:marLeft w:val="0"/>
      <w:marRight w:val="0"/>
      <w:marTop w:val="0"/>
      <w:marBottom w:val="0"/>
      <w:divBdr>
        <w:top w:val="none" w:sz="0" w:space="0" w:color="auto"/>
        <w:left w:val="none" w:sz="0" w:space="0" w:color="auto"/>
        <w:bottom w:val="none" w:sz="0" w:space="0" w:color="auto"/>
        <w:right w:val="none" w:sz="0" w:space="0" w:color="auto"/>
      </w:divBdr>
    </w:div>
    <w:div w:id="1180509772">
      <w:bodyDiv w:val="1"/>
      <w:marLeft w:val="0"/>
      <w:marRight w:val="0"/>
      <w:marTop w:val="0"/>
      <w:marBottom w:val="0"/>
      <w:divBdr>
        <w:top w:val="none" w:sz="0" w:space="0" w:color="auto"/>
        <w:left w:val="none" w:sz="0" w:space="0" w:color="auto"/>
        <w:bottom w:val="none" w:sz="0" w:space="0" w:color="auto"/>
        <w:right w:val="none" w:sz="0" w:space="0" w:color="auto"/>
      </w:divBdr>
    </w:div>
    <w:div w:id="1298992620">
      <w:bodyDiv w:val="1"/>
      <w:marLeft w:val="0"/>
      <w:marRight w:val="0"/>
      <w:marTop w:val="0"/>
      <w:marBottom w:val="0"/>
      <w:divBdr>
        <w:top w:val="none" w:sz="0" w:space="0" w:color="auto"/>
        <w:left w:val="none" w:sz="0" w:space="0" w:color="auto"/>
        <w:bottom w:val="none" w:sz="0" w:space="0" w:color="auto"/>
        <w:right w:val="none" w:sz="0" w:space="0" w:color="auto"/>
      </w:divBdr>
    </w:div>
    <w:div w:id="1336878261">
      <w:bodyDiv w:val="1"/>
      <w:marLeft w:val="0"/>
      <w:marRight w:val="0"/>
      <w:marTop w:val="0"/>
      <w:marBottom w:val="0"/>
      <w:divBdr>
        <w:top w:val="none" w:sz="0" w:space="0" w:color="auto"/>
        <w:left w:val="none" w:sz="0" w:space="0" w:color="auto"/>
        <w:bottom w:val="none" w:sz="0" w:space="0" w:color="auto"/>
        <w:right w:val="none" w:sz="0" w:space="0" w:color="auto"/>
      </w:divBdr>
    </w:div>
    <w:div w:id="1437142119">
      <w:bodyDiv w:val="1"/>
      <w:marLeft w:val="0"/>
      <w:marRight w:val="0"/>
      <w:marTop w:val="0"/>
      <w:marBottom w:val="0"/>
      <w:divBdr>
        <w:top w:val="none" w:sz="0" w:space="0" w:color="auto"/>
        <w:left w:val="none" w:sz="0" w:space="0" w:color="auto"/>
        <w:bottom w:val="none" w:sz="0" w:space="0" w:color="auto"/>
        <w:right w:val="none" w:sz="0" w:space="0" w:color="auto"/>
      </w:divBdr>
      <w:divsChild>
        <w:div w:id="1465848048">
          <w:marLeft w:val="0"/>
          <w:marRight w:val="0"/>
          <w:marTop w:val="0"/>
          <w:marBottom w:val="100"/>
          <w:divBdr>
            <w:top w:val="none" w:sz="0" w:space="0" w:color="auto"/>
            <w:left w:val="none" w:sz="0" w:space="0" w:color="auto"/>
            <w:bottom w:val="none" w:sz="0" w:space="0" w:color="auto"/>
            <w:right w:val="none" w:sz="0" w:space="0" w:color="auto"/>
          </w:divBdr>
          <w:divsChild>
            <w:div w:id="402147736">
              <w:marLeft w:val="0"/>
              <w:marRight w:val="0"/>
              <w:marTop w:val="0"/>
              <w:marBottom w:val="0"/>
              <w:divBdr>
                <w:top w:val="none" w:sz="0" w:space="0" w:color="auto"/>
                <w:left w:val="none" w:sz="0" w:space="0" w:color="auto"/>
                <w:bottom w:val="none" w:sz="0" w:space="0" w:color="auto"/>
                <w:right w:val="none" w:sz="0" w:space="0" w:color="auto"/>
              </w:divBdr>
              <w:divsChild>
                <w:div w:id="1380744221">
                  <w:marLeft w:val="0"/>
                  <w:marRight w:val="0"/>
                  <w:marTop w:val="0"/>
                  <w:marBottom w:val="0"/>
                  <w:divBdr>
                    <w:top w:val="none" w:sz="0" w:space="0" w:color="auto"/>
                    <w:left w:val="none" w:sz="0" w:space="0" w:color="auto"/>
                    <w:bottom w:val="none" w:sz="0" w:space="0" w:color="auto"/>
                    <w:right w:val="none" w:sz="0" w:space="0" w:color="auto"/>
                  </w:divBdr>
                  <w:divsChild>
                    <w:div w:id="706488712">
                      <w:marLeft w:val="0"/>
                      <w:marRight w:val="0"/>
                      <w:marTop w:val="168"/>
                      <w:marBottom w:val="168"/>
                      <w:divBdr>
                        <w:top w:val="none" w:sz="0" w:space="0" w:color="auto"/>
                        <w:left w:val="none" w:sz="0" w:space="0" w:color="auto"/>
                        <w:bottom w:val="none" w:sz="0" w:space="0" w:color="auto"/>
                        <w:right w:val="none" w:sz="0" w:space="0" w:color="auto"/>
                      </w:divBdr>
                      <w:divsChild>
                        <w:div w:id="1701274235">
                          <w:marLeft w:val="0"/>
                          <w:marRight w:val="0"/>
                          <w:marTop w:val="0"/>
                          <w:marBottom w:val="0"/>
                          <w:divBdr>
                            <w:top w:val="none" w:sz="0" w:space="0" w:color="auto"/>
                            <w:left w:val="none" w:sz="0" w:space="0" w:color="auto"/>
                            <w:bottom w:val="none" w:sz="0" w:space="0" w:color="auto"/>
                            <w:right w:val="none" w:sz="0" w:space="0" w:color="auto"/>
                          </w:divBdr>
                          <w:divsChild>
                            <w:div w:id="6250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1801">
      <w:bodyDiv w:val="1"/>
      <w:marLeft w:val="0"/>
      <w:marRight w:val="0"/>
      <w:marTop w:val="0"/>
      <w:marBottom w:val="0"/>
      <w:divBdr>
        <w:top w:val="none" w:sz="0" w:space="0" w:color="auto"/>
        <w:left w:val="none" w:sz="0" w:space="0" w:color="auto"/>
        <w:bottom w:val="none" w:sz="0" w:space="0" w:color="auto"/>
        <w:right w:val="none" w:sz="0" w:space="0" w:color="auto"/>
      </w:divBdr>
    </w:div>
    <w:div w:id="1441686400">
      <w:bodyDiv w:val="1"/>
      <w:marLeft w:val="0"/>
      <w:marRight w:val="0"/>
      <w:marTop w:val="0"/>
      <w:marBottom w:val="0"/>
      <w:divBdr>
        <w:top w:val="none" w:sz="0" w:space="0" w:color="auto"/>
        <w:left w:val="none" w:sz="0" w:space="0" w:color="auto"/>
        <w:bottom w:val="none" w:sz="0" w:space="0" w:color="auto"/>
        <w:right w:val="none" w:sz="0" w:space="0" w:color="auto"/>
      </w:divBdr>
    </w:div>
    <w:div w:id="1456942400">
      <w:bodyDiv w:val="1"/>
      <w:marLeft w:val="0"/>
      <w:marRight w:val="0"/>
      <w:marTop w:val="0"/>
      <w:marBottom w:val="0"/>
      <w:divBdr>
        <w:top w:val="none" w:sz="0" w:space="0" w:color="auto"/>
        <w:left w:val="none" w:sz="0" w:space="0" w:color="auto"/>
        <w:bottom w:val="none" w:sz="0" w:space="0" w:color="auto"/>
        <w:right w:val="none" w:sz="0" w:space="0" w:color="auto"/>
      </w:divBdr>
    </w:div>
    <w:div w:id="1456948072">
      <w:bodyDiv w:val="1"/>
      <w:marLeft w:val="0"/>
      <w:marRight w:val="0"/>
      <w:marTop w:val="0"/>
      <w:marBottom w:val="0"/>
      <w:divBdr>
        <w:top w:val="none" w:sz="0" w:space="0" w:color="auto"/>
        <w:left w:val="none" w:sz="0" w:space="0" w:color="auto"/>
        <w:bottom w:val="none" w:sz="0" w:space="0" w:color="auto"/>
        <w:right w:val="none" w:sz="0" w:space="0" w:color="auto"/>
      </w:divBdr>
      <w:divsChild>
        <w:div w:id="777677831">
          <w:marLeft w:val="547"/>
          <w:marRight w:val="0"/>
          <w:marTop w:val="60"/>
          <w:marBottom w:val="120"/>
          <w:divBdr>
            <w:top w:val="none" w:sz="0" w:space="0" w:color="auto"/>
            <w:left w:val="none" w:sz="0" w:space="0" w:color="auto"/>
            <w:bottom w:val="none" w:sz="0" w:space="0" w:color="auto"/>
            <w:right w:val="none" w:sz="0" w:space="0" w:color="auto"/>
          </w:divBdr>
        </w:div>
        <w:div w:id="1626615170">
          <w:marLeft w:val="547"/>
          <w:marRight w:val="0"/>
          <w:marTop w:val="60"/>
          <w:marBottom w:val="120"/>
          <w:divBdr>
            <w:top w:val="none" w:sz="0" w:space="0" w:color="auto"/>
            <w:left w:val="none" w:sz="0" w:space="0" w:color="auto"/>
            <w:bottom w:val="none" w:sz="0" w:space="0" w:color="auto"/>
            <w:right w:val="none" w:sz="0" w:space="0" w:color="auto"/>
          </w:divBdr>
        </w:div>
        <w:div w:id="1777678235">
          <w:marLeft w:val="547"/>
          <w:marRight w:val="0"/>
          <w:marTop w:val="60"/>
          <w:marBottom w:val="120"/>
          <w:divBdr>
            <w:top w:val="none" w:sz="0" w:space="0" w:color="auto"/>
            <w:left w:val="none" w:sz="0" w:space="0" w:color="auto"/>
            <w:bottom w:val="none" w:sz="0" w:space="0" w:color="auto"/>
            <w:right w:val="none" w:sz="0" w:space="0" w:color="auto"/>
          </w:divBdr>
        </w:div>
        <w:div w:id="973561971">
          <w:marLeft w:val="547"/>
          <w:marRight w:val="0"/>
          <w:marTop w:val="60"/>
          <w:marBottom w:val="120"/>
          <w:divBdr>
            <w:top w:val="none" w:sz="0" w:space="0" w:color="auto"/>
            <w:left w:val="none" w:sz="0" w:space="0" w:color="auto"/>
            <w:bottom w:val="none" w:sz="0" w:space="0" w:color="auto"/>
            <w:right w:val="none" w:sz="0" w:space="0" w:color="auto"/>
          </w:divBdr>
        </w:div>
        <w:div w:id="1348361701">
          <w:marLeft w:val="547"/>
          <w:marRight w:val="0"/>
          <w:marTop w:val="60"/>
          <w:marBottom w:val="120"/>
          <w:divBdr>
            <w:top w:val="none" w:sz="0" w:space="0" w:color="auto"/>
            <w:left w:val="none" w:sz="0" w:space="0" w:color="auto"/>
            <w:bottom w:val="none" w:sz="0" w:space="0" w:color="auto"/>
            <w:right w:val="none" w:sz="0" w:space="0" w:color="auto"/>
          </w:divBdr>
        </w:div>
        <w:div w:id="2050060937">
          <w:marLeft w:val="547"/>
          <w:marRight w:val="0"/>
          <w:marTop w:val="60"/>
          <w:marBottom w:val="120"/>
          <w:divBdr>
            <w:top w:val="none" w:sz="0" w:space="0" w:color="auto"/>
            <w:left w:val="none" w:sz="0" w:space="0" w:color="auto"/>
            <w:bottom w:val="none" w:sz="0" w:space="0" w:color="auto"/>
            <w:right w:val="none" w:sz="0" w:space="0" w:color="auto"/>
          </w:divBdr>
        </w:div>
        <w:div w:id="1202479349">
          <w:marLeft w:val="547"/>
          <w:marRight w:val="0"/>
          <w:marTop w:val="60"/>
          <w:marBottom w:val="120"/>
          <w:divBdr>
            <w:top w:val="none" w:sz="0" w:space="0" w:color="auto"/>
            <w:left w:val="none" w:sz="0" w:space="0" w:color="auto"/>
            <w:bottom w:val="none" w:sz="0" w:space="0" w:color="auto"/>
            <w:right w:val="none" w:sz="0" w:space="0" w:color="auto"/>
          </w:divBdr>
        </w:div>
        <w:div w:id="1881549172">
          <w:marLeft w:val="547"/>
          <w:marRight w:val="0"/>
          <w:marTop w:val="60"/>
          <w:marBottom w:val="120"/>
          <w:divBdr>
            <w:top w:val="none" w:sz="0" w:space="0" w:color="auto"/>
            <w:left w:val="none" w:sz="0" w:space="0" w:color="auto"/>
            <w:bottom w:val="none" w:sz="0" w:space="0" w:color="auto"/>
            <w:right w:val="none" w:sz="0" w:space="0" w:color="auto"/>
          </w:divBdr>
        </w:div>
      </w:divsChild>
    </w:div>
    <w:div w:id="1588153315">
      <w:bodyDiv w:val="1"/>
      <w:marLeft w:val="0"/>
      <w:marRight w:val="0"/>
      <w:marTop w:val="0"/>
      <w:marBottom w:val="0"/>
      <w:divBdr>
        <w:top w:val="none" w:sz="0" w:space="0" w:color="auto"/>
        <w:left w:val="none" w:sz="0" w:space="0" w:color="auto"/>
        <w:bottom w:val="none" w:sz="0" w:space="0" w:color="auto"/>
        <w:right w:val="none" w:sz="0" w:space="0" w:color="auto"/>
      </w:divBdr>
      <w:divsChild>
        <w:div w:id="504907864">
          <w:marLeft w:val="547"/>
          <w:marRight w:val="0"/>
          <w:marTop w:val="67"/>
          <w:marBottom w:val="0"/>
          <w:divBdr>
            <w:top w:val="none" w:sz="0" w:space="0" w:color="auto"/>
            <w:left w:val="none" w:sz="0" w:space="0" w:color="auto"/>
            <w:bottom w:val="none" w:sz="0" w:space="0" w:color="auto"/>
            <w:right w:val="none" w:sz="0" w:space="0" w:color="auto"/>
          </w:divBdr>
        </w:div>
        <w:div w:id="1899781640">
          <w:marLeft w:val="547"/>
          <w:marRight w:val="0"/>
          <w:marTop w:val="67"/>
          <w:marBottom w:val="0"/>
          <w:divBdr>
            <w:top w:val="none" w:sz="0" w:space="0" w:color="auto"/>
            <w:left w:val="none" w:sz="0" w:space="0" w:color="auto"/>
            <w:bottom w:val="none" w:sz="0" w:space="0" w:color="auto"/>
            <w:right w:val="none" w:sz="0" w:space="0" w:color="auto"/>
          </w:divBdr>
        </w:div>
        <w:div w:id="240677951">
          <w:marLeft w:val="547"/>
          <w:marRight w:val="0"/>
          <w:marTop w:val="67"/>
          <w:marBottom w:val="0"/>
          <w:divBdr>
            <w:top w:val="none" w:sz="0" w:space="0" w:color="auto"/>
            <w:left w:val="none" w:sz="0" w:space="0" w:color="auto"/>
            <w:bottom w:val="none" w:sz="0" w:space="0" w:color="auto"/>
            <w:right w:val="none" w:sz="0" w:space="0" w:color="auto"/>
          </w:divBdr>
        </w:div>
        <w:div w:id="7759898">
          <w:marLeft w:val="547"/>
          <w:marRight w:val="0"/>
          <w:marTop w:val="67"/>
          <w:marBottom w:val="0"/>
          <w:divBdr>
            <w:top w:val="none" w:sz="0" w:space="0" w:color="auto"/>
            <w:left w:val="none" w:sz="0" w:space="0" w:color="auto"/>
            <w:bottom w:val="none" w:sz="0" w:space="0" w:color="auto"/>
            <w:right w:val="none" w:sz="0" w:space="0" w:color="auto"/>
          </w:divBdr>
        </w:div>
        <w:div w:id="1060515699">
          <w:marLeft w:val="547"/>
          <w:marRight w:val="0"/>
          <w:marTop w:val="67"/>
          <w:marBottom w:val="120"/>
          <w:divBdr>
            <w:top w:val="none" w:sz="0" w:space="0" w:color="auto"/>
            <w:left w:val="none" w:sz="0" w:space="0" w:color="auto"/>
            <w:bottom w:val="none" w:sz="0" w:space="0" w:color="auto"/>
            <w:right w:val="none" w:sz="0" w:space="0" w:color="auto"/>
          </w:divBdr>
        </w:div>
        <w:div w:id="2024279183">
          <w:marLeft w:val="547"/>
          <w:marRight w:val="0"/>
          <w:marTop w:val="0"/>
          <w:marBottom w:val="0"/>
          <w:divBdr>
            <w:top w:val="none" w:sz="0" w:space="0" w:color="auto"/>
            <w:left w:val="none" w:sz="0" w:space="0" w:color="auto"/>
            <w:bottom w:val="none" w:sz="0" w:space="0" w:color="auto"/>
            <w:right w:val="none" w:sz="0" w:space="0" w:color="auto"/>
          </w:divBdr>
        </w:div>
        <w:div w:id="1172261018">
          <w:marLeft w:val="547"/>
          <w:marRight w:val="0"/>
          <w:marTop w:val="67"/>
          <w:marBottom w:val="0"/>
          <w:divBdr>
            <w:top w:val="none" w:sz="0" w:space="0" w:color="auto"/>
            <w:left w:val="none" w:sz="0" w:space="0" w:color="auto"/>
            <w:bottom w:val="none" w:sz="0" w:space="0" w:color="auto"/>
            <w:right w:val="none" w:sz="0" w:space="0" w:color="auto"/>
          </w:divBdr>
        </w:div>
      </w:divsChild>
    </w:div>
    <w:div w:id="1978366153">
      <w:bodyDiv w:val="1"/>
      <w:marLeft w:val="0"/>
      <w:marRight w:val="0"/>
      <w:marTop w:val="0"/>
      <w:marBottom w:val="0"/>
      <w:divBdr>
        <w:top w:val="none" w:sz="0" w:space="0" w:color="auto"/>
        <w:left w:val="none" w:sz="0" w:space="0" w:color="auto"/>
        <w:bottom w:val="none" w:sz="0" w:space="0" w:color="auto"/>
        <w:right w:val="none" w:sz="0" w:space="0" w:color="auto"/>
      </w:divBdr>
    </w:div>
    <w:div w:id="2055151466">
      <w:bodyDiv w:val="1"/>
      <w:marLeft w:val="0"/>
      <w:marRight w:val="0"/>
      <w:marTop w:val="0"/>
      <w:marBottom w:val="0"/>
      <w:divBdr>
        <w:top w:val="none" w:sz="0" w:space="0" w:color="auto"/>
        <w:left w:val="none" w:sz="0" w:space="0" w:color="auto"/>
        <w:bottom w:val="none" w:sz="0" w:space="0" w:color="auto"/>
        <w:right w:val="none" w:sz="0" w:space="0" w:color="auto"/>
      </w:divBdr>
    </w:div>
    <w:div w:id="2076200940">
      <w:bodyDiv w:val="1"/>
      <w:marLeft w:val="0"/>
      <w:marRight w:val="0"/>
      <w:marTop w:val="0"/>
      <w:marBottom w:val="0"/>
      <w:divBdr>
        <w:top w:val="none" w:sz="0" w:space="0" w:color="auto"/>
        <w:left w:val="none" w:sz="0" w:space="0" w:color="auto"/>
        <w:bottom w:val="none" w:sz="0" w:space="0" w:color="auto"/>
        <w:right w:val="none" w:sz="0" w:space="0" w:color="auto"/>
      </w:divBdr>
    </w:div>
    <w:div w:id="2078433047">
      <w:bodyDiv w:val="1"/>
      <w:marLeft w:val="0"/>
      <w:marRight w:val="0"/>
      <w:marTop w:val="0"/>
      <w:marBottom w:val="0"/>
      <w:divBdr>
        <w:top w:val="none" w:sz="0" w:space="0" w:color="auto"/>
        <w:left w:val="none" w:sz="0" w:space="0" w:color="auto"/>
        <w:bottom w:val="none" w:sz="0" w:space="0" w:color="auto"/>
        <w:right w:val="none" w:sz="0" w:space="0" w:color="auto"/>
      </w:divBdr>
    </w:div>
    <w:div w:id="21344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2.xml"/><Relationship Id="rId42" Type="http://schemas.openxmlformats.org/officeDocument/2006/relationships/hyperlink" Target="http://www.aeic.gov.au/about" TargetMode="External"/><Relationship Id="rId47" Type="http://schemas.openxmlformats.org/officeDocument/2006/relationships/chart" Target="charts/chart5.xml"/><Relationship Id="rId63" Type="http://schemas.openxmlformats.org/officeDocument/2006/relationships/footer" Target="footer8.xml"/><Relationship Id="rId68" Type="http://schemas.openxmlformats.org/officeDocument/2006/relationships/header" Target="header19.xml"/><Relationship Id="rId84" Type="http://schemas.openxmlformats.org/officeDocument/2006/relationships/footer" Target="footer11.xm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header" Target="header9.xml"/><Relationship Id="rId37" Type="http://schemas.openxmlformats.org/officeDocument/2006/relationships/hyperlink" Target="mailto:aeic@aeic.gov.au" TargetMode="External"/><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footer" Target="footer10.xml"/><Relationship Id="rId79" Type="http://schemas.openxmlformats.org/officeDocument/2006/relationships/image" Target="media/image8.png"/><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7.jpeg"/><Relationship Id="rId35" Type="http://schemas.openxmlformats.org/officeDocument/2006/relationships/header" Target="header10.xm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footer" Target="footer9.xml"/><Relationship Id="rId69" Type="http://schemas.openxmlformats.org/officeDocument/2006/relationships/hyperlink" Target="http://www.aeic.gov.au" TargetMode="External"/><Relationship Id="rId77" Type="http://schemas.openxmlformats.org/officeDocument/2006/relationships/hyperlink" Target="mailto:Daniel.Westerman@aemo.com.au" TargetMode="External"/><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footer" Target="footer5.xml"/><Relationship Id="rId38" Type="http://schemas.openxmlformats.org/officeDocument/2006/relationships/header" Target="header11.xml"/><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header" Target="header18.xml"/><Relationship Id="rId20" Type="http://schemas.openxmlformats.org/officeDocument/2006/relationships/hyperlink" Target="https://creativecommons.org/licenses/by/4.0/" TargetMode="External"/><Relationship Id="rId41" Type="http://schemas.openxmlformats.org/officeDocument/2006/relationships/header" Target="header13.xml"/><Relationship Id="rId54" Type="http://schemas.openxmlformats.org/officeDocument/2006/relationships/chart" Target="charts/chart12.xml"/><Relationship Id="rId62" Type="http://schemas.openxmlformats.org/officeDocument/2006/relationships/header" Target="header15.xml"/><Relationship Id="rId70" Type="http://schemas.openxmlformats.org/officeDocument/2006/relationships/header" Target="header20.xml"/><Relationship Id="rId75" Type="http://schemas.openxmlformats.org/officeDocument/2006/relationships/header" Target="header24.xml"/><Relationship Id="rId83" Type="http://schemas.openxmlformats.org/officeDocument/2006/relationships/header" Target="header2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hyperlink" Target="http://www.aeic.gov.au/about" TargetMode="External"/><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header" Target="header16.xml"/><Relationship Id="rId73" Type="http://schemas.openxmlformats.org/officeDocument/2006/relationships/header" Target="header23.xml"/><Relationship Id="rId78" Type="http://schemas.openxmlformats.org/officeDocument/2006/relationships/hyperlink" Target="mailto:aeic@aeic.gov.au" TargetMode="External"/><Relationship Id="rId81" Type="http://schemas.openxmlformats.org/officeDocument/2006/relationships/header" Target="header27.xml"/><Relationship Id="rId86"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4.jpeg"/><Relationship Id="rId39" Type="http://schemas.openxmlformats.org/officeDocument/2006/relationships/header" Target="header12.xml"/><Relationship Id="rId34" Type="http://schemas.openxmlformats.org/officeDocument/2006/relationships/footer" Target="footer6.xml"/><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footer" Target="footer3.xml"/><Relationship Id="rId40" Type="http://schemas.openxmlformats.org/officeDocument/2006/relationships/footer" Target="footer7.xml"/><Relationship Id="rId45" Type="http://schemas.openxmlformats.org/officeDocument/2006/relationships/chart" Target="charts/chart3.xml"/><Relationship Id="rId66" Type="http://schemas.openxmlformats.org/officeDocument/2006/relationships/header" Target="header17.xml"/><Relationship Id="rId87" Type="http://schemas.openxmlformats.org/officeDocument/2006/relationships/footer" Target="footer13.xml"/><Relationship Id="rId61" Type="http://schemas.openxmlformats.org/officeDocument/2006/relationships/header" Target="header14.xml"/><Relationship Id="rId82" Type="http://schemas.openxmlformats.org/officeDocument/2006/relationships/header" Target="header28.xml"/><Relationship Id="rId19" Type="http://schemas.openxmlformats.org/officeDocument/2006/relationships/image" Target="cid:image001.jpg@01D68600.1FD800E0"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prod.protected.ind\group\Wind%20Farm%20Commissioner\AEIC%20Reports\Annual%20Reports\2022%20Annual%20Report\2022%20Annual%20Report%20Complaint%20Data%20-%20Main.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rod.protected.ind\group\Wind%20Farm%20Commissioner\AEIC%20Reports\Annual%20Reports\2022%20Annual%20Report\2022%20Annual%20Report%20Complaint%20Data%20-%20Mai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 Total Number of Cases Received in </a:t>
            </a:r>
            <a:r>
              <a:rPr lang="en-AU" sz="1200" b="1"/>
              <a:t>2022</a:t>
            </a:r>
          </a:p>
          <a:p>
            <a:pPr>
              <a:defRPr/>
            </a:pPr>
            <a:r>
              <a:rPr lang="en-AU" sz="1200" b="1"/>
              <a:t>Total: 87 Cases</a:t>
            </a:r>
          </a:p>
        </c:rich>
      </c:tx>
      <c:layout>
        <c:manualLayout>
          <c:xMode val="edge"/>
          <c:yMode val="edge"/>
          <c:x val="0.25796779788491353"/>
          <c:y val="2.20495099983005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72345781338736E-2"/>
          <c:y val="0.25773825034460618"/>
          <c:w val="0.93183404705990702"/>
          <c:h val="0.63007685190430329"/>
        </c:manualLayout>
      </c:layout>
      <c:barChart>
        <c:barDir val="col"/>
        <c:grouping val="stacked"/>
        <c:varyColors val="0"/>
        <c:ser>
          <c:idx val="0"/>
          <c:order val="0"/>
          <c:tx>
            <c:strRef>
              <c:f>'Annual Report Figure Data'!$C$5</c:f>
              <c:strCache>
                <c:ptCount val="1"/>
                <c:pt idx="0">
                  <c:v>Proposed Projects</c:v>
                </c:pt>
              </c:strCache>
            </c:strRef>
          </c:tx>
          <c:spPr>
            <a:solidFill>
              <a:schemeClr val="accent1"/>
            </a:solidFill>
            <a:ln w="12700">
              <a:solidFill>
                <a:schemeClr val="bg1"/>
              </a:solidFill>
            </a:ln>
            <a:effectLst/>
          </c:spPr>
          <c:invertIfNegative val="0"/>
          <c:dLbls>
            <c:dLbl>
              <c:idx val="2"/>
              <c:layout>
                <c:manualLayout>
                  <c:x val="0"/>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31-40AF-9CDD-97F4861FFA49}"/>
                </c:ext>
              </c:extLst>
            </c:dLbl>
            <c:dLbl>
              <c:idx val="3"/>
              <c:layout>
                <c:manualLayout>
                  <c:x val="0"/>
                  <c:y val="-5.2757793764988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31-40AF-9CDD-97F4861FFA4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Data'!$B$6:$B$10</c:f>
              <c:strCache>
                <c:ptCount val="5"/>
                <c:pt idx="0">
                  <c:v>Wind Farms</c:v>
                </c:pt>
                <c:pt idx="1">
                  <c:v>Transmission</c:v>
                </c:pt>
                <c:pt idx="2">
                  <c:v>Solar Farms</c:v>
                </c:pt>
                <c:pt idx="3">
                  <c:v>Pumped Hydro</c:v>
                </c:pt>
                <c:pt idx="4">
                  <c:v>General Enquiries</c:v>
                </c:pt>
              </c:strCache>
            </c:strRef>
          </c:cat>
          <c:val>
            <c:numRef>
              <c:f>'Annual Report Figure Data'!$C$6:$C$10</c:f>
              <c:numCache>
                <c:formatCode>General</c:formatCode>
                <c:ptCount val="5"/>
                <c:pt idx="0">
                  <c:v>24</c:v>
                </c:pt>
                <c:pt idx="1">
                  <c:v>44</c:v>
                </c:pt>
                <c:pt idx="2">
                  <c:v>2</c:v>
                </c:pt>
                <c:pt idx="3">
                  <c:v>2</c:v>
                </c:pt>
              </c:numCache>
            </c:numRef>
          </c:val>
          <c:extLst>
            <c:ext xmlns:c16="http://schemas.microsoft.com/office/drawing/2014/chart" uri="{C3380CC4-5D6E-409C-BE32-E72D297353CC}">
              <c16:uniqueId val="{00000000-3D31-40AF-9CDD-97F4861FFA49}"/>
            </c:ext>
          </c:extLst>
        </c:ser>
        <c:ser>
          <c:idx val="1"/>
          <c:order val="1"/>
          <c:tx>
            <c:strRef>
              <c:f>'Annual Report Figure Data'!$D$5</c:f>
              <c:strCache>
                <c:ptCount val="1"/>
                <c:pt idx="0">
                  <c:v>Operating Projects</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Data'!$B$6:$B$10</c:f>
              <c:strCache>
                <c:ptCount val="5"/>
                <c:pt idx="0">
                  <c:v>Wind Farms</c:v>
                </c:pt>
                <c:pt idx="1">
                  <c:v>Transmission</c:v>
                </c:pt>
                <c:pt idx="2">
                  <c:v>Solar Farms</c:v>
                </c:pt>
                <c:pt idx="3">
                  <c:v>Pumped Hydro</c:v>
                </c:pt>
                <c:pt idx="4">
                  <c:v>General Enquiries</c:v>
                </c:pt>
              </c:strCache>
            </c:strRef>
          </c:cat>
          <c:val>
            <c:numRef>
              <c:f>'Annual Report Figure Data'!$D$6:$D$10</c:f>
              <c:numCache>
                <c:formatCode>General</c:formatCode>
                <c:ptCount val="5"/>
                <c:pt idx="0">
                  <c:v>5</c:v>
                </c:pt>
              </c:numCache>
            </c:numRef>
          </c:val>
          <c:extLst>
            <c:ext xmlns:c16="http://schemas.microsoft.com/office/drawing/2014/chart" uri="{C3380CC4-5D6E-409C-BE32-E72D297353CC}">
              <c16:uniqueId val="{00000001-3D31-40AF-9CDD-97F4861FFA49}"/>
            </c:ext>
          </c:extLst>
        </c:ser>
        <c:ser>
          <c:idx val="2"/>
          <c:order val="2"/>
          <c:tx>
            <c:strRef>
              <c:f>'Annual Report Figure Data'!$E$5</c:f>
              <c:strCache>
                <c:ptCount val="1"/>
                <c:pt idx="0">
                  <c:v>General Enquiries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Data'!$B$6:$B$10</c:f>
              <c:strCache>
                <c:ptCount val="5"/>
                <c:pt idx="0">
                  <c:v>Wind Farms</c:v>
                </c:pt>
                <c:pt idx="1">
                  <c:v>Transmission</c:v>
                </c:pt>
                <c:pt idx="2">
                  <c:v>Solar Farms</c:v>
                </c:pt>
                <c:pt idx="3">
                  <c:v>Pumped Hydro</c:v>
                </c:pt>
                <c:pt idx="4">
                  <c:v>General Enquiries</c:v>
                </c:pt>
              </c:strCache>
            </c:strRef>
          </c:cat>
          <c:val>
            <c:numRef>
              <c:f>'Annual Report Figure Data'!$E$6:$E$10</c:f>
              <c:numCache>
                <c:formatCode>General</c:formatCode>
                <c:ptCount val="5"/>
                <c:pt idx="4">
                  <c:v>10</c:v>
                </c:pt>
              </c:numCache>
            </c:numRef>
          </c:val>
          <c:extLst>
            <c:ext xmlns:c16="http://schemas.microsoft.com/office/drawing/2014/chart" uri="{C3380CC4-5D6E-409C-BE32-E72D297353CC}">
              <c16:uniqueId val="{00000002-3D31-40AF-9CDD-97F4861FFA49}"/>
            </c:ext>
          </c:extLst>
        </c:ser>
        <c:dLbls>
          <c:showLegendKey val="0"/>
          <c:showVal val="1"/>
          <c:showCatName val="0"/>
          <c:showSerName val="0"/>
          <c:showPercent val="0"/>
          <c:showBubbleSize val="0"/>
        </c:dLbls>
        <c:gapWidth val="65"/>
        <c:overlap val="100"/>
        <c:axId val="1868582320"/>
        <c:axId val="1868581072"/>
      </c:barChart>
      <c:catAx>
        <c:axId val="18685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581072"/>
        <c:crosses val="autoZero"/>
        <c:auto val="1"/>
        <c:lblAlgn val="ctr"/>
        <c:lblOffset val="100"/>
        <c:noMultiLvlLbl val="0"/>
      </c:catAx>
      <c:valAx>
        <c:axId val="18685810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582320"/>
        <c:crosses val="autoZero"/>
        <c:crossBetween val="between"/>
      </c:valAx>
      <c:spPr>
        <a:noFill/>
        <a:ln>
          <a:noFill/>
        </a:ln>
        <a:effectLst/>
      </c:spPr>
    </c:plotArea>
    <c:legend>
      <c:legendPos val="b"/>
      <c:layout>
        <c:manualLayout>
          <c:xMode val="edge"/>
          <c:yMode val="edge"/>
          <c:x val="0.22197249466623686"/>
          <c:y val="0.17120867085858874"/>
          <c:w val="0.55673834630320329"/>
          <c:h val="8.09358182745142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10: Total </a:t>
            </a:r>
            <a:r>
              <a:rPr lang="en-US" sz="1200" b="1" i="0" u="none" strike="noStrike" baseline="0">
                <a:effectLst/>
              </a:rPr>
              <a:t>Number of Wind Farm Projects Per State</a:t>
            </a:r>
          </a:p>
          <a:p>
            <a:pPr>
              <a:defRPr/>
            </a:pPr>
            <a:r>
              <a:rPr lang="en-US" sz="1200" b="1" i="0" u="none" strike="noStrike" baseline="0">
                <a:effectLst/>
              </a:rPr>
              <a:t>(Nov 2015 - Dec 2022)</a:t>
            </a:r>
            <a:endParaRPr lang="en-US" sz="1200" b="1"/>
          </a:p>
        </c:rich>
      </c:tx>
      <c:layout>
        <c:manualLayout>
          <c:xMode val="edge"/>
          <c:yMode val="edge"/>
          <c:x val="0.22761062896335038"/>
          <c:y val="1.6359918200408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92109116837512"/>
          <c:y val="0.23895786032880859"/>
          <c:w val="0.83066771960223584"/>
          <c:h val="0.66897380158768494"/>
        </c:manualLayout>
      </c:layout>
      <c:barChart>
        <c:barDir val="bar"/>
        <c:grouping val="clustered"/>
        <c:varyColors val="0"/>
        <c:ser>
          <c:idx val="0"/>
          <c:order val="0"/>
          <c:tx>
            <c:strRef>
              <c:f>'Annual Report Figure Data'!$B$85</c:f>
              <c:strCache>
                <c:ptCount val="1"/>
                <c:pt idx="0">
                  <c:v>Victoria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Data'!$C$85:$D$85</c:f>
              <c:numCache>
                <c:formatCode>General</c:formatCode>
                <c:ptCount val="2"/>
                <c:pt idx="0">
                  <c:v>30</c:v>
                </c:pt>
                <c:pt idx="1">
                  <c:v>14</c:v>
                </c:pt>
              </c:numCache>
            </c:numRef>
          </c:val>
          <c:extLst>
            <c:ext xmlns:c16="http://schemas.microsoft.com/office/drawing/2014/chart" uri="{C3380CC4-5D6E-409C-BE32-E72D297353CC}">
              <c16:uniqueId val="{00000000-C57E-456C-9D72-0B613251F3E0}"/>
            </c:ext>
          </c:extLst>
        </c:ser>
        <c:ser>
          <c:idx val="1"/>
          <c:order val="1"/>
          <c:tx>
            <c:strRef>
              <c:f>'Annual Report Figure Data'!$B$86</c:f>
              <c:strCache>
                <c:ptCount val="1"/>
                <c:pt idx="0">
                  <c:v>New South Wales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Data'!$C$86:$D$86</c:f>
              <c:numCache>
                <c:formatCode>General</c:formatCode>
                <c:ptCount val="2"/>
                <c:pt idx="0">
                  <c:v>26</c:v>
                </c:pt>
                <c:pt idx="1">
                  <c:v>5</c:v>
                </c:pt>
              </c:numCache>
            </c:numRef>
          </c:val>
          <c:extLst>
            <c:ext xmlns:c16="http://schemas.microsoft.com/office/drawing/2014/chart" uri="{C3380CC4-5D6E-409C-BE32-E72D297353CC}">
              <c16:uniqueId val="{00000001-C57E-456C-9D72-0B613251F3E0}"/>
            </c:ext>
          </c:extLst>
        </c:ser>
        <c:ser>
          <c:idx val="2"/>
          <c:order val="2"/>
          <c:tx>
            <c:strRef>
              <c:f>'Annual Report Figure Data'!$B$87</c:f>
              <c:strCache>
                <c:ptCount val="1"/>
                <c:pt idx="0">
                  <c:v>South Australia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Data'!$C$87:$D$87</c:f>
              <c:numCache>
                <c:formatCode>General</c:formatCode>
                <c:ptCount val="2"/>
                <c:pt idx="0">
                  <c:v>6</c:v>
                </c:pt>
                <c:pt idx="1">
                  <c:v>2</c:v>
                </c:pt>
              </c:numCache>
            </c:numRef>
          </c:val>
          <c:extLst>
            <c:ext xmlns:c16="http://schemas.microsoft.com/office/drawing/2014/chart" uri="{C3380CC4-5D6E-409C-BE32-E72D297353CC}">
              <c16:uniqueId val="{00000002-C57E-456C-9D72-0B613251F3E0}"/>
            </c:ext>
          </c:extLst>
        </c:ser>
        <c:ser>
          <c:idx val="3"/>
          <c:order val="3"/>
          <c:tx>
            <c:strRef>
              <c:f>'Annual Report Figure Data'!$B$88</c:f>
              <c:strCache>
                <c:ptCount val="1"/>
                <c:pt idx="0">
                  <c:v>Queensland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Data'!$C$88:$D$88</c:f>
              <c:numCache>
                <c:formatCode>General</c:formatCode>
                <c:ptCount val="2"/>
                <c:pt idx="0">
                  <c:v>8</c:v>
                </c:pt>
                <c:pt idx="1">
                  <c:v>2</c:v>
                </c:pt>
              </c:numCache>
            </c:numRef>
          </c:val>
          <c:extLst>
            <c:ext xmlns:c16="http://schemas.microsoft.com/office/drawing/2014/chart" uri="{C3380CC4-5D6E-409C-BE32-E72D297353CC}">
              <c16:uniqueId val="{00000003-C57E-456C-9D72-0B613251F3E0}"/>
            </c:ext>
          </c:extLst>
        </c:ser>
        <c:ser>
          <c:idx val="4"/>
          <c:order val="4"/>
          <c:tx>
            <c:strRef>
              <c:f>'Annual Report Figure Data'!$B$89</c:f>
              <c:strCache>
                <c:ptCount val="1"/>
                <c:pt idx="0">
                  <c:v>Tasmania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Data'!$C$89:$D$89</c:f>
              <c:numCache>
                <c:formatCode>General</c:formatCode>
                <c:ptCount val="2"/>
                <c:pt idx="0">
                  <c:v>4</c:v>
                </c:pt>
              </c:numCache>
            </c:numRef>
          </c:val>
          <c:extLst>
            <c:ext xmlns:c16="http://schemas.microsoft.com/office/drawing/2014/chart" uri="{C3380CC4-5D6E-409C-BE32-E72D297353CC}">
              <c16:uniqueId val="{00000004-C57E-456C-9D72-0B613251F3E0}"/>
            </c:ext>
          </c:extLst>
        </c:ser>
        <c:ser>
          <c:idx val="5"/>
          <c:order val="5"/>
          <c:tx>
            <c:strRef>
              <c:f>'Annual Report Figure Data'!$B$90</c:f>
              <c:strCache>
                <c:ptCount val="1"/>
                <c:pt idx="0">
                  <c:v>Western Australia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Data'!$C$84:$D$84</c:f>
              <c:strCache>
                <c:ptCount val="2"/>
                <c:pt idx="0">
                  <c:v>Proposed Wind Farms</c:v>
                </c:pt>
                <c:pt idx="1">
                  <c:v>Operating Wind Farms</c:v>
                </c:pt>
              </c:strCache>
            </c:strRef>
          </c:cat>
          <c:val>
            <c:numRef>
              <c:f>'Annual Report Figure Data'!$C$90:$D$90</c:f>
              <c:numCache>
                <c:formatCode>General</c:formatCode>
                <c:ptCount val="2"/>
                <c:pt idx="0">
                  <c:v>1</c:v>
                </c:pt>
              </c:numCache>
            </c:numRef>
          </c:val>
          <c:extLst>
            <c:ext xmlns:c16="http://schemas.microsoft.com/office/drawing/2014/chart" uri="{C3380CC4-5D6E-409C-BE32-E72D297353CC}">
              <c16:uniqueId val="{00000005-C57E-456C-9D72-0B613251F3E0}"/>
            </c:ext>
          </c:extLst>
        </c:ser>
        <c:dLbls>
          <c:showLegendKey val="0"/>
          <c:showVal val="0"/>
          <c:showCatName val="0"/>
          <c:showSerName val="0"/>
          <c:showPercent val="0"/>
          <c:showBubbleSize val="0"/>
        </c:dLbls>
        <c:gapWidth val="73"/>
        <c:overlap val="-15"/>
        <c:axId val="1780557520"/>
        <c:axId val="1780560848"/>
      </c:barChart>
      <c:catAx>
        <c:axId val="178055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60848"/>
        <c:crosses val="autoZero"/>
        <c:auto val="1"/>
        <c:lblAlgn val="ctr"/>
        <c:lblOffset val="100"/>
        <c:noMultiLvlLbl val="0"/>
      </c:catAx>
      <c:valAx>
        <c:axId val="17805608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57520"/>
        <c:crosses val="autoZero"/>
        <c:crossBetween val="between"/>
      </c:valAx>
      <c:spPr>
        <a:noFill/>
        <a:ln>
          <a:noFill/>
        </a:ln>
        <a:effectLst/>
      </c:spPr>
    </c:plotArea>
    <c:legend>
      <c:legendPos val="b"/>
      <c:layout>
        <c:manualLayout>
          <c:xMode val="edge"/>
          <c:yMode val="edge"/>
          <c:x val="0.144295823781521"/>
          <c:y val="0.14328869268699904"/>
          <c:w val="0.71159512071701847"/>
          <c:h val="6.06473247447842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11: Total Number of </a:t>
            </a:r>
            <a:r>
              <a:rPr lang="en-AU" sz="1200" b="1" i="0" u="none" strike="noStrike" baseline="0">
                <a:effectLst/>
              </a:rPr>
              <a:t>Solar Farms and Energy Storage Cases Per State</a:t>
            </a:r>
          </a:p>
          <a:p>
            <a:pPr>
              <a:defRPr/>
            </a:pPr>
            <a:r>
              <a:rPr lang="en-AU" sz="1200" b="1" i="0" u="none" strike="noStrike" baseline="0">
                <a:effectLst/>
              </a:rPr>
              <a:t>(Oct 2018 - Dec 2022)</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55205514111124"/>
          <c:y val="0.27145969498910671"/>
          <c:w val="0.85403675562949954"/>
          <c:h val="0.63671727308596238"/>
        </c:manualLayout>
      </c:layout>
      <c:barChart>
        <c:barDir val="bar"/>
        <c:grouping val="clustered"/>
        <c:varyColors val="0"/>
        <c:ser>
          <c:idx val="0"/>
          <c:order val="0"/>
          <c:tx>
            <c:strRef>
              <c:f>'Annual Report Figure Data'!$B$97</c:f>
              <c:strCache>
                <c:ptCount val="1"/>
                <c:pt idx="0">
                  <c:v>Victoria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Data'!$C$96:$D$96</c:f>
              <c:strCache>
                <c:ptCount val="2"/>
                <c:pt idx="0">
                  <c:v>Solar Farms</c:v>
                </c:pt>
                <c:pt idx="1">
                  <c:v>Pumped Hydro</c:v>
                </c:pt>
              </c:strCache>
            </c:strRef>
          </c:cat>
          <c:val>
            <c:numRef>
              <c:f>'Annual Report Figure Data'!$C$97:$D$97</c:f>
              <c:numCache>
                <c:formatCode>General</c:formatCode>
                <c:ptCount val="2"/>
                <c:pt idx="0">
                  <c:v>1</c:v>
                </c:pt>
              </c:numCache>
            </c:numRef>
          </c:val>
          <c:extLst>
            <c:ext xmlns:c16="http://schemas.microsoft.com/office/drawing/2014/chart" uri="{C3380CC4-5D6E-409C-BE32-E72D297353CC}">
              <c16:uniqueId val="{00000000-12B2-4E7B-B559-8851D3FF1753}"/>
            </c:ext>
          </c:extLst>
        </c:ser>
        <c:ser>
          <c:idx val="1"/>
          <c:order val="1"/>
          <c:tx>
            <c:strRef>
              <c:f>'Annual Report Figure Data'!$B$98</c:f>
              <c:strCache>
                <c:ptCount val="1"/>
                <c:pt idx="0">
                  <c:v>New South Wales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Data'!$C$96:$D$96</c:f>
              <c:strCache>
                <c:ptCount val="2"/>
                <c:pt idx="0">
                  <c:v>Solar Farms</c:v>
                </c:pt>
                <c:pt idx="1">
                  <c:v>Pumped Hydro</c:v>
                </c:pt>
              </c:strCache>
            </c:strRef>
          </c:cat>
          <c:val>
            <c:numRef>
              <c:f>'Annual Report Figure Data'!$C$98:$D$98</c:f>
              <c:numCache>
                <c:formatCode>General</c:formatCode>
                <c:ptCount val="2"/>
                <c:pt idx="0">
                  <c:v>9</c:v>
                </c:pt>
                <c:pt idx="1">
                  <c:v>2</c:v>
                </c:pt>
              </c:numCache>
            </c:numRef>
          </c:val>
          <c:extLst>
            <c:ext xmlns:c16="http://schemas.microsoft.com/office/drawing/2014/chart" uri="{C3380CC4-5D6E-409C-BE32-E72D297353CC}">
              <c16:uniqueId val="{00000001-12B2-4E7B-B559-8851D3FF1753}"/>
            </c:ext>
          </c:extLst>
        </c:ser>
        <c:ser>
          <c:idx val="2"/>
          <c:order val="2"/>
          <c:tx>
            <c:strRef>
              <c:f>'Annual Report Figure Data'!$B$99</c:f>
              <c:strCache>
                <c:ptCount val="1"/>
                <c:pt idx="0">
                  <c:v>Queensland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Data'!$C$96:$D$96</c:f>
              <c:strCache>
                <c:ptCount val="2"/>
                <c:pt idx="0">
                  <c:v>Solar Farms</c:v>
                </c:pt>
                <c:pt idx="1">
                  <c:v>Pumped Hydro</c:v>
                </c:pt>
              </c:strCache>
            </c:strRef>
          </c:cat>
          <c:val>
            <c:numRef>
              <c:f>'Annual Report Figure Data'!$C$99:$D$99</c:f>
              <c:numCache>
                <c:formatCode>General</c:formatCode>
                <c:ptCount val="2"/>
                <c:pt idx="0">
                  <c:v>7</c:v>
                </c:pt>
              </c:numCache>
            </c:numRef>
          </c:val>
          <c:extLst>
            <c:ext xmlns:c16="http://schemas.microsoft.com/office/drawing/2014/chart" uri="{C3380CC4-5D6E-409C-BE32-E72D297353CC}">
              <c16:uniqueId val="{00000002-12B2-4E7B-B559-8851D3FF1753}"/>
            </c:ext>
          </c:extLst>
        </c:ser>
        <c:dLbls>
          <c:showLegendKey val="0"/>
          <c:showVal val="0"/>
          <c:showCatName val="0"/>
          <c:showSerName val="0"/>
          <c:showPercent val="0"/>
          <c:showBubbleSize val="0"/>
        </c:dLbls>
        <c:gapWidth val="75"/>
        <c:overlap val="-7"/>
        <c:axId val="1780557520"/>
        <c:axId val="1780560848"/>
      </c:barChart>
      <c:valAx>
        <c:axId val="17805608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57520"/>
        <c:crosses val="autoZero"/>
        <c:crossBetween val="between"/>
      </c:valAx>
      <c:catAx>
        <c:axId val="178055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560848"/>
        <c:crosses val="autoZero"/>
        <c:auto val="1"/>
        <c:lblAlgn val="ctr"/>
        <c:lblOffset val="100"/>
        <c:noMultiLvlLbl val="0"/>
      </c:catAx>
      <c:spPr>
        <a:noFill/>
        <a:ln>
          <a:noFill/>
        </a:ln>
        <a:effectLst/>
      </c:spPr>
    </c:plotArea>
    <c:legend>
      <c:legendPos val="b"/>
      <c:layout>
        <c:manualLayout>
          <c:xMode val="edge"/>
          <c:yMode val="edge"/>
          <c:x val="0.30766869331207014"/>
          <c:y val="0.16292684568275118"/>
          <c:w val="0.38855745271373698"/>
          <c:h val="7.21158893599838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12: </a:t>
            </a:r>
            <a:r>
              <a:rPr lang="en-US" sz="1200" b="1" i="0" baseline="0">
                <a:effectLst/>
              </a:rPr>
              <a:t>Total Number of </a:t>
            </a:r>
            <a:r>
              <a:rPr lang="en-AU" sz="1200" b="1" i="0" baseline="0">
                <a:effectLst/>
              </a:rPr>
              <a:t>Large-scale Transmission Cases Per State</a:t>
            </a:r>
            <a:endParaRPr lang="en-US" sz="1200" b="1" i="0" baseline="0">
              <a:effectLst/>
            </a:endParaRPr>
          </a:p>
          <a:p>
            <a:pPr>
              <a:defRPr/>
            </a:pPr>
            <a:r>
              <a:rPr lang="en-AU" sz="1200" b="1" i="0" baseline="0">
                <a:effectLst/>
              </a:rPr>
              <a:t>(Mar 2021 - Dec 2022)</a:t>
            </a:r>
          </a:p>
        </c:rich>
      </c:tx>
      <c:layout>
        <c:manualLayout>
          <c:xMode val="edge"/>
          <c:yMode val="edge"/>
          <c:x val="0.20193523774644448"/>
          <c:y val="2.08332661488986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'Annual Report Figure Data'!$C$103</c:f>
              <c:strCache>
                <c:ptCount val="1"/>
                <c:pt idx="0">
                  <c:v>Number of Cases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Data'!$B$104:$B$106</c:f>
              <c:strCache>
                <c:ptCount val="3"/>
                <c:pt idx="0">
                  <c:v>Victoria</c:v>
                </c:pt>
                <c:pt idx="1">
                  <c:v>New South Wales</c:v>
                </c:pt>
                <c:pt idx="2">
                  <c:v>Queensland</c:v>
                </c:pt>
              </c:strCache>
            </c:strRef>
          </c:cat>
          <c:val>
            <c:numRef>
              <c:f>'Annual Report Figure Data'!$C$104:$C$106</c:f>
              <c:numCache>
                <c:formatCode>General</c:formatCode>
                <c:ptCount val="3"/>
                <c:pt idx="0">
                  <c:v>119</c:v>
                </c:pt>
                <c:pt idx="1">
                  <c:v>35</c:v>
                </c:pt>
                <c:pt idx="2">
                  <c:v>1</c:v>
                </c:pt>
              </c:numCache>
            </c:numRef>
          </c:val>
          <c:extLst>
            <c:ext xmlns:c16="http://schemas.microsoft.com/office/drawing/2014/chart" uri="{C3380CC4-5D6E-409C-BE32-E72D297353CC}">
              <c16:uniqueId val="{00000000-7780-4D95-AE65-C90EF58DB0EC}"/>
            </c:ext>
          </c:extLst>
        </c:ser>
        <c:dLbls>
          <c:showLegendKey val="0"/>
          <c:showVal val="0"/>
          <c:showCatName val="0"/>
          <c:showSerName val="0"/>
          <c:showPercent val="0"/>
          <c:showBubbleSize val="0"/>
        </c:dLbls>
        <c:gapWidth val="80"/>
        <c:axId val="155628832"/>
        <c:axId val="155625088"/>
      </c:barChart>
      <c:catAx>
        <c:axId val="15562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5088"/>
        <c:crosses val="autoZero"/>
        <c:auto val="1"/>
        <c:lblAlgn val="ctr"/>
        <c:lblOffset val="100"/>
        <c:noMultiLvlLbl val="0"/>
      </c:catAx>
      <c:valAx>
        <c:axId val="155625088"/>
        <c:scaling>
          <c:orientation val="minMax"/>
        </c:scaling>
        <c:delete val="0"/>
        <c:axPos val="b"/>
        <c:majorGridlines>
          <c:spPr>
            <a:ln w="9525" cap="flat" cmpd="thickThin"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t>Figure 13: Number of Cases Closed at each Process Stage</a:t>
            </a:r>
          </a:p>
          <a:p>
            <a:pPr>
              <a:defRPr/>
            </a:pPr>
            <a:r>
              <a:rPr lang="en-AU" sz="1200" b="1"/>
              <a:t>Total Closed: 803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'Annual Report Figure Data'!$C$111</c:f>
              <c:strCache>
                <c:ptCount val="1"/>
                <c:pt idx="0">
                  <c:v>Number of Cases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Data'!$B$112:$B$115</c:f>
              <c:strCache>
                <c:ptCount val="4"/>
                <c:pt idx="0">
                  <c:v>Recommendation</c:v>
                </c:pt>
                <c:pt idx="1">
                  <c:v>Concilation </c:v>
                </c:pt>
                <c:pt idx="2">
                  <c:v>Referral</c:v>
                </c:pt>
                <c:pt idx="3">
                  <c:v>Enquiry </c:v>
                </c:pt>
              </c:strCache>
            </c:strRef>
          </c:cat>
          <c:val>
            <c:numRef>
              <c:f>'Annual Report Figure Data'!$C$112:$C$115</c:f>
              <c:numCache>
                <c:formatCode>General</c:formatCode>
                <c:ptCount val="4"/>
                <c:pt idx="0">
                  <c:v>2</c:v>
                </c:pt>
                <c:pt idx="1">
                  <c:v>14</c:v>
                </c:pt>
                <c:pt idx="2">
                  <c:v>309</c:v>
                </c:pt>
                <c:pt idx="3">
                  <c:v>478</c:v>
                </c:pt>
              </c:numCache>
            </c:numRef>
          </c:val>
          <c:extLst>
            <c:ext xmlns:c16="http://schemas.microsoft.com/office/drawing/2014/chart" uri="{C3380CC4-5D6E-409C-BE32-E72D297353CC}">
              <c16:uniqueId val="{00000000-70CC-4FD0-81E8-299345BF7E5A}"/>
            </c:ext>
          </c:extLst>
        </c:ser>
        <c:dLbls>
          <c:showLegendKey val="0"/>
          <c:showVal val="0"/>
          <c:showCatName val="0"/>
          <c:showSerName val="0"/>
          <c:showPercent val="0"/>
          <c:showBubbleSize val="0"/>
        </c:dLbls>
        <c:gapWidth val="80"/>
        <c:axId val="549533216"/>
        <c:axId val="545162160"/>
      </c:barChart>
      <c:catAx>
        <c:axId val="54953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162160"/>
        <c:crosses val="autoZero"/>
        <c:auto val="1"/>
        <c:lblAlgn val="ctr"/>
        <c:lblOffset val="100"/>
        <c:noMultiLvlLbl val="0"/>
      </c:catAx>
      <c:valAx>
        <c:axId val="5451621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53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t>Figure 14: Total Number of Cases Opened and Closed per Year (2015-22)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'Annual Report Figure Data'!$C$120</c:f>
              <c:strCache>
                <c:ptCount val="1"/>
                <c:pt idx="0">
                  <c:v>Cases Opened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Data'!$B$121:$B$127</c:f>
              <c:strCache>
                <c:ptCount val="7"/>
                <c:pt idx="0">
                  <c:v>2015-16*</c:v>
                </c:pt>
                <c:pt idx="1">
                  <c:v>2017</c:v>
                </c:pt>
                <c:pt idx="2">
                  <c:v>2018</c:v>
                </c:pt>
                <c:pt idx="3">
                  <c:v>2019</c:v>
                </c:pt>
                <c:pt idx="4">
                  <c:v>2020</c:v>
                </c:pt>
                <c:pt idx="5">
                  <c:v>2021</c:v>
                </c:pt>
                <c:pt idx="6">
                  <c:v>2022</c:v>
                </c:pt>
              </c:strCache>
            </c:strRef>
          </c:cat>
          <c:val>
            <c:numRef>
              <c:f>'Annual Report Figure Data'!$C$121:$C$127</c:f>
              <c:numCache>
                <c:formatCode>General</c:formatCode>
                <c:ptCount val="7"/>
                <c:pt idx="0">
                  <c:v>91</c:v>
                </c:pt>
                <c:pt idx="1">
                  <c:v>72</c:v>
                </c:pt>
                <c:pt idx="2">
                  <c:v>123</c:v>
                </c:pt>
                <c:pt idx="3">
                  <c:v>75</c:v>
                </c:pt>
                <c:pt idx="4">
                  <c:v>164</c:v>
                </c:pt>
                <c:pt idx="5">
                  <c:v>212</c:v>
                </c:pt>
                <c:pt idx="6">
                  <c:v>87</c:v>
                </c:pt>
              </c:numCache>
            </c:numRef>
          </c:val>
          <c:extLst>
            <c:ext xmlns:c16="http://schemas.microsoft.com/office/drawing/2014/chart" uri="{C3380CC4-5D6E-409C-BE32-E72D297353CC}">
              <c16:uniqueId val="{00000000-BF39-4CDF-BBB6-E59B18AA5C20}"/>
            </c:ext>
          </c:extLst>
        </c:ser>
        <c:ser>
          <c:idx val="1"/>
          <c:order val="1"/>
          <c:tx>
            <c:strRef>
              <c:f>'Annual Report Figure Data'!$D$120</c:f>
              <c:strCache>
                <c:ptCount val="1"/>
                <c:pt idx="0">
                  <c:v>Cases Closed</c:v>
                </c:pt>
              </c:strCache>
            </c:strRef>
          </c:tx>
          <c:spPr>
            <a:solidFill>
              <a:schemeClr val="accent2"/>
            </a:solidFill>
            <a:ln>
              <a:noFill/>
            </a:ln>
            <a:effectLst/>
          </c:spPr>
          <c:invertIfNegative val="0"/>
          <c:dLbls>
            <c:dLbl>
              <c:idx val="4"/>
              <c:layout>
                <c:manualLayout>
                  <c:x val="0"/>
                  <c:y val="0.19681219681219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4A-40DB-9F89-D62EC34FC4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Data'!$B$121:$B$127</c:f>
              <c:strCache>
                <c:ptCount val="7"/>
                <c:pt idx="0">
                  <c:v>2015-16*</c:v>
                </c:pt>
                <c:pt idx="1">
                  <c:v>2017</c:v>
                </c:pt>
                <c:pt idx="2">
                  <c:v>2018</c:v>
                </c:pt>
                <c:pt idx="3">
                  <c:v>2019</c:v>
                </c:pt>
                <c:pt idx="4">
                  <c:v>2020</c:v>
                </c:pt>
                <c:pt idx="5">
                  <c:v>2021</c:v>
                </c:pt>
                <c:pt idx="6">
                  <c:v>2022</c:v>
                </c:pt>
              </c:strCache>
            </c:strRef>
          </c:cat>
          <c:val>
            <c:numRef>
              <c:f>'Annual Report Figure Data'!$D$121:$D$127</c:f>
              <c:numCache>
                <c:formatCode>General</c:formatCode>
                <c:ptCount val="7"/>
                <c:pt idx="0">
                  <c:v>68</c:v>
                </c:pt>
                <c:pt idx="1">
                  <c:v>77</c:v>
                </c:pt>
                <c:pt idx="2">
                  <c:v>122</c:v>
                </c:pt>
                <c:pt idx="3">
                  <c:v>80</c:v>
                </c:pt>
                <c:pt idx="4">
                  <c:v>151</c:v>
                </c:pt>
                <c:pt idx="5">
                  <c:v>167</c:v>
                </c:pt>
                <c:pt idx="6">
                  <c:v>138</c:v>
                </c:pt>
              </c:numCache>
            </c:numRef>
          </c:val>
          <c:extLst>
            <c:ext xmlns:c16="http://schemas.microsoft.com/office/drawing/2014/chart" uri="{C3380CC4-5D6E-409C-BE32-E72D297353CC}">
              <c16:uniqueId val="{00000001-BF39-4CDF-BBB6-E59B18AA5C20}"/>
            </c:ext>
          </c:extLst>
        </c:ser>
        <c:dLbls>
          <c:showLegendKey val="0"/>
          <c:showVal val="0"/>
          <c:showCatName val="0"/>
          <c:showSerName val="0"/>
          <c:showPercent val="0"/>
          <c:showBubbleSize val="0"/>
        </c:dLbls>
        <c:gapWidth val="5"/>
        <c:axId val="380492448"/>
        <c:axId val="380493232"/>
      </c:barChart>
      <c:lineChart>
        <c:grouping val="standard"/>
        <c:varyColors val="0"/>
        <c:ser>
          <c:idx val="2"/>
          <c:order val="2"/>
          <c:tx>
            <c:strRef>
              <c:f>'Annual Report Figure Data'!$E$120</c:f>
              <c:strCache>
                <c:ptCount val="1"/>
                <c:pt idx="0">
                  <c:v>Percent of Cases Closed</c:v>
                </c:pt>
              </c:strCache>
            </c:strRef>
          </c:tx>
          <c:spPr>
            <a:ln w="53975" cap="rnd">
              <a:solidFill>
                <a:schemeClr val="accent3"/>
              </a:solidFill>
              <a:round/>
            </a:ln>
            <a:effectLst/>
          </c:spPr>
          <c:marker>
            <c:symbol val="circle"/>
            <c:size val="30"/>
            <c:spPr>
              <a:solidFill>
                <a:schemeClr val="bg1"/>
              </a:solidFill>
              <a:ln w="63500">
                <a:solidFill>
                  <a:schemeClr val="accent3"/>
                </a:solidFill>
              </a:ln>
              <a:effectLst/>
            </c:spPr>
          </c:marker>
          <c:dPt>
            <c:idx val="2"/>
            <c:marker>
              <c:symbol val="circle"/>
              <c:size val="30"/>
              <c:spPr>
                <a:solidFill>
                  <a:schemeClr val="bg1"/>
                </a:solidFill>
                <a:ln w="63500">
                  <a:solidFill>
                    <a:schemeClr val="accent3"/>
                  </a:solidFill>
                </a:ln>
                <a:effectLst/>
              </c:spPr>
            </c:marker>
            <c:bubble3D val="0"/>
            <c:spPr>
              <a:ln w="63500" cap="rnd">
                <a:solidFill>
                  <a:schemeClr val="accent3"/>
                </a:solidFill>
                <a:round/>
              </a:ln>
              <a:effectLst/>
            </c:spPr>
            <c:extLst>
              <c:ext xmlns:c16="http://schemas.microsoft.com/office/drawing/2014/chart" uri="{C3380CC4-5D6E-409C-BE32-E72D297353CC}">
                <c16:uniqueId val="{00000002-BB4A-40DB-9F89-D62EC34FC44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Data'!$B$120:$B$127</c:f>
              <c:strCache>
                <c:ptCount val="8"/>
                <c:pt idx="0">
                  <c:v>Year</c:v>
                </c:pt>
                <c:pt idx="1">
                  <c:v>2015-16*</c:v>
                </c:pt>
                <c:pt idx="2">
                  <c:v>2017</c:v>
                </c:pt>
                <c:pt idx="3">
                  <c:v>2018</c:v>
                </c:pt>
                <c:pt idx="4">
                  <c:v>2019</c:v>
                </c:pt>
                <c:pt idx="5">
                  <c:v>2020</c:v>
                </c:pt>
                <c:pt idx="6">
                  <c:v>2021</c:v>
                </c:pt>
                <c:pt idx="7">
                  <c:v>2022</c:v>
                </c:pt>
              </c:strCache>
            </c:strRef>
          </c:cat>
          <c:val>
            <c:numRef>
              <c:f>'Annual Report Figure Data'!$E$121:$E$127</c:f>
              <c:numCache>
                <c:formatCode>0%</c:formatCode>
                <c:ptCount val="7"/>
                <c:pt idx="0">
                  <c:v>0.74725274725274726</c:v>
                </c:pt>
                <c:pt idx="1">
                  <c:v>1.0694444444444444</c:v>
                </c:pt>
                <c:pt idx="2">
                  <c:v>0.99186991869918695</c:v>
                </c:pt>
                <c:pt idx="3">
                  <c:v>1.0666666666666667</c:v>
                </c:pt>
                <c:pt idx="4">
                  <c:v>0.92073170731707321</c:v>
                </c:pt>
                <c:pt idx="5">
                  <c:v>0.78773584905660377</c:v>
                </c:pt>
                <c:pt idx="6">
                  <c:v>1.5862068965517242</c:v>
                </c:pt>
              </c:numCache>
            </c:numRef>
          </c:val>
          <c:smooth val="1"/>
          <c:extLst>
            <c:ext xmlns:c16="http://schemas.microsoft.com/office/drawing/2014/chart" uri="{C3380CC4-5D6E-409C-BE32-E72D297353CC}">
              <c16:uniqueId val="{00000000-C4C6-4C22-A1F4-79C308CFF9BF}"/>
            </c:ext>
          </c:extLst>
        </c:ser>
        <c:dLbls>
          <c:showLegendKey val="0"/>
          <c:showVal val="0"/>
          <c:showCatName val="0"/>
          <c:showSerName val="0"/>
          <c:showPercent val="0"/>
          <c:showBubbleSize val="0"/>
        </c:dLbls>
        <c:marker val="1"/>
        <c:smooth val="0"/>
        <c:axId val="47214624"/>
        <c:axId val="47205056"/>
      </c:lineChart>
      <c:catAx>
        <c:axId val="3804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93232"/>
        <c:crosses val="autoZero"/>
        <c:auto val="1"/>
        <c:lblAlgn val="ctr"/>
        <c:lblOffset val="100"/>
        <c:noMultiLvlLbl val="0"/>
      </c:catAx>
      <c:valAx>
        <c:axId val="38049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492448"/>
        <c:crosses val="autoZero"/>
        <c:crossBetween val="between"/>
      </c:valAx>
      <c:valAx>
        <c:axId val="47205056"/>
        <c:scaling>
          <c:orientation val="minMax"/>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14624"/>
        <c:crosses val="max"/>
        <c:crossBetween val="between"/>
      </c:valAx>
      <c:catAx>
        <c:axId val="47214624"/>
        <c:scaling>
          <c:orientation val="minMax"/>
        </c:scaling>
        <c:delete val="1"/>
        <c:axPos val="b"/>
        <c:numFmt formatCode="General" sourceLinked="1"/>
        <c:majorTickMark val="out"/>
        <c:minorTickMark val="none"/>
        <c:tickLblPos val="nextTo"/>
        <c:crossAx val="472050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15: Total Number of Types of Issues Raised in Cases (2015 - 22)</a:t>
            </a:r>
          </a:p>
        </c:rich>
      </c:tx>
      <c:overlay val="0"/>
      <c:spPr>
        <a:noFill/>
        <a:ln>
          <a:noFill/>
        </a:ln>
        <a:effectLst/>
      </c:spPr>
    </c:title>
    <c:autoTitleDeleted val="0"/>
    <c:plotArea>
      <c:layout/>
      <c:barChart>
        <c:barDir val="bar"/>
        <c:grouping val="clustered"/>
        <c:varyColors val="0"/>
        <c:ser>
          <c:idx val="2"/>
          <c:order val="0"/>
          <c:tx>
            <c:strRef>
              <c:f>'Annual Report Figure Data'!$B$132</c:f>
              <c:strCache>
                <c:ptCount val="1"/>
                <c:pt idx="0">
                  <c:v>Maintenance/Operations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Data'!$C$132</c:f>
              <c:numCache>
                <c:formatCode>General</c:formatCode>
                <c:ptCount val="1"/>
                <c:pt idx="0">
                  <c:v>10</c:v>
                </c:pt>
              </c:numCache>
            </c:numRef>
          </c:val>
          <c:extLst>
            <c:ext xmlns:c16="http://schemas.microsoft.com/office/drawing/2014/chart" uri="{C3380CC4-5D6E-409C-BE32-E72D297353CC}">
              <c16:uniqueId val="{00000001-D9BF-446A-8A1D-2405246F713B}"/>
            </c:ext>
          </c:extLst>
        </c:ser>
        <c:ser>
          <c:idx val="3"/>
          <c:order val="1"/>
          <c:tx>
            <c:strRef>
              <c:f>'Annual Report Figure Data'!$B$133</c:f>
              <c:strCache>
                <c:ptCount val="1"/>
                <c:pt idx="0">
                  <c:v>Shadow Flicker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Data'!$C$133</c:f>
              <c:numCache>
                <c:formatCode>General</c:formatCode>
                <c:ptCount val="1"/>
                <c:pt idx="0">
                  <c:v>10</c:v>
                </c:pt>
              </c:numCache>
            </c:numRef>
          </c:val>
          <c:extLst>
            <c:ext xmlns:c16="http://schemas.microsoft.com/office/drawing/2014/chart" uri="{C3380CC4-5D6E-409C-BE32-E72D297353CC}">
              <c16:uniqueId val="{00000002-D9BF-446A-8A1D-2405246F713B}"/>
            </c:ext>
          </c:extLst>
        </c:ser>
        <c:ser>
          <c:idx val="4"/>
          <c:order val="2"/>
          <c:tx>
            <c:strRef>
              <c:f>'Annual Report Figure Data'!$B$134</c:f>
              <c:strCache>
                <c:ptCount val="1"/>
                <c:pt idx="0">
                  <c:v>Decommissioning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Data'!$C$134</c:f>
              <c:numCache>
                <c:formatCode>General</c:formatCode>
                <c:ptCount val="1"/>
                <c:pt idx="0">
                  <c:v>19</c:v>
                </c:pt>
              </c:numCache>
            </c:numRef>
          </c:val>
          <c:extLst>
            <c:ext xmlns:c16="http://schemas.microsoft.com/office/drawing/2014/chart" uri="{C3380CC4-5D6E-409C-BE32-E72D297353CC}">
              <c16:uniqueId val="{00000003-D9BF-446A-8A1D-2405246F713B}"/>
            </c:ext>
          </c:extLst>
        </c:ser>
        <c:ser>
          <c:idx val="5"/>
          <c:order val="3"/>
          <c:tx>
            <c:strRef>
              <c:f>'Annual Report Figure Data'!$B$135</c:f>
              <c:strCache>
                <c:ptCount val="1"/>
                <c:pt idx="0">
                  <c:v>Vibration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Data'!$C$135</c:f>
              <c:numCache>
                <c:formatCode>General</c:formatCode>
                <c:ptCount val="1"/>
                <c:pt idx="0">
                  <c:v>21</c:v>
                </c:pt>
              </c:numCache>
            </c:numRef>
          </c:val>
          <c:extLst>
            <c:ext xmlns:c16="http://schemas.microsoft.com/office/drawing/2014/chart" uri="{C3380CC4-5D6E-409C-BE32-E72D297353CC}">
              <c16:uniqueId val="{00000004-D9BF-446A-8A1D-2405246F713B}"/>
            </c:ext>
          </c:extLst>
        </c:ser>
        <c:ser>
          <c:idx val="6"/>
          <c:order val="4"/>
          <c:tx>
            <c:strRef>
              <c:f>'Annual Report Figure Data'!$B$136</c:f>
              <c:strCache>
                <c:ptCount val="1"/>
                <c:pt idx="0">
                  <c:v>Technology Selection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Data'!$C$136</c:f>
              <c:numCache>
                <c:formatCode>General</c:formatCode>
                <c:ptCount val="1"/>
                <c:pt idx="0">
                  <c:v>24</c:v>
                </c:pt>
              </c:numCache>
            </c:numRef>
          </c:val>
          <c:extLst>
            <c:ext xmlns:c16="http://schemas.microsoft.com/office/drawing/2014/chart" uri="{C3380CC4-5D6E-409C-BE32-E72D297353CC}">
              <c16:uniqueId val="{00000005-D9BF-446A-8A1D-2405246F713B}"/>
            </c:ext>
          </c:extLst>
        </c:ser>
        <c:ser>
          <c:idx val="7"/>
          <c:order val="5"/>
          <c:tx>
            <c:strRef>
              <c:f>'Annual Report Figure Data'!$B$137</c:f>
              <c:strCache>
                <c:ptCount val="1"/>
                <c:pt idx="0">
                  <c:v>Route Selection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Data'!$C$137</c:f>
              <c:numCache>
                <c:formatCode>General</c:formatCode>
                <c:ptCount val="1"/>
                <c:pt idx="0">
                  <c:v>26</c:v>
                </c:pt>
              </c:numCache>
            </c:numRef>
          </c:val>
          <c:extLst>
            <c:ext xmlns:c16="http://schemas.microsoft.com/office/drawing/2014/chart" uri="{C3380CC4-5D6E-409C-BE32-E72D297353CC}">
              <c16:uniqueId val="{00000006-D9BF-446A-8A1D-2405246F713B}"/>
            </c:ext>
          </c:extLst>
        </c:ser>
        <c:ser>
          <c:idx val="8"/>
          <c:order val="6"/>
          <c:tx>
            <c:strRef>
              <c:f>'Annual Report Figure Data'!$B$138</c:f>
              <c:strCache>
                <c:ptCount val="1"/>
                <c:pt idx="0">
                  <c:v>Land Access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Data'!$C$138</c:f>
              <c:numCache>
                <c:formatCode>General</c:formatCode>
                <c:ptCount val="1"/>
                <c:pt idx="0">
                  <c:v>37</c:v>
                </c:pt>
              </c:numCache>
            </c:numRef>
          </c:val>
          <c:extLst>
            <c:ext xmlns:c16="http://schemas.microsoft.com/office/drawing/2014/chart" uri="{C3380CC4-5D6E-409C-BE32-E72D297353CC}">
              <c16:uniqueId val="{00000007-D9BF-446A-8A1D-2405246F713B}"/>
            </c:ext>
          </c:extLst>
        </c:ser>
        <c:ser>
          <c:idx val="9"/>
          <c:order val="7"/>
          <c:tx>
            <c:strRef>
              <c:f>'Annual Report Figure Data'!$B$139</c:f>
              <c:strCache>
                <c:ptCount val="1"/>
                <c:pt idx="0">
                  <c:v>Construction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Data'!$C$139</c:f>
              <c:numCache>
                <c:formatCode>General</c:formatCode>
                <c:ptCount val="1"/>
                <c:pt idx="0">
                  <c:v>61</c:v>
                </c:pt>
              </c:numCache>
            </c:numRef>
          </c:val>
          <c:extLst>
            <c:ext xmlns:c16="http://schemas.microsoft.com/office/drawing/2014/chart" uri="{C3380CC4-5D6E-409C-BE32-E72D297353CC}">
              <c16:uniqueId val="{00000008-D9BF-446A-8A1D-2405246F713B}"/>
            </c:ext>
          </c:extLst>
        </c:ser>
        <c:ser>
          <c:idx val="10"/>
          <c:order val="8"/>
          <c:tx>
            <c:strRef>
              <c:f>'Annual Report Figure Data'!$B$140</c:f>
              <c:strCache>
                <c:ptCount val="1"/>
                <c:pt idx="0">
                  <c:v>Commercial Agreement</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Data'!$C$140</c:f>
              <c:numCache>
                <c:formatCode>General</c:formatCode>
                <c:ptCount val="1"/>
                <c:pt idx="0">
                  <c:v>69</c:v>
                </c:pt>
              </c:numCache>
            </c:numRef>
          </c:val>
          <c:extLst>
            <c:ext xmlns:c16="http://schemas.microsoft.com/office/drawing/2014/chart" uri="{C3380CC4-5D6E-409C-BE32-E72D297353CC}">
              <c16:uniqueId val="{00000009-D9BF-446A-8A1D-2405246F713B}"/>
            </c:ext>
          </c:extLst>
        </c:ser>
        <c:ser>
          <c:idx val="11"/>
          <c:order val="9"/>
          <c:tx>
            <c:strRef>
              <c:f>'Annual Report Figure Data'!$B$141</c:f>
              <c:strCache>
                <c:ptCount val="1"/>
                <c:pt idx="0">
                  <c:v>Safety</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Data'!$C$141</c:f>
              <c:numCache>
                <c:formatCode>General</c:formatCode>
                <c:ptCount val="1"/>
                <c:pt idx="0">
                  <c:v>116</c:v>
                </c:pt>
              </c:numCache>
            </c:numRef>
          </c:val>
          <c:extLst>
            <c:ext xmlns:c16="http://schemas.microsoft.com/office/drawing/2014/chart" uri="{C3380CC4-5D6E-409C-BE32-E72D297353CC}">
              <c16:uniqueId val="{0000000A-D9BF-446A-8A1D-2405246F713B}"/>
            </c:ext>
          </c:extLst>
        </c:ser>
        <c:ser>
          <c:idx val="12"/>
          <c:order val="10"/>
          <c:tx>
            <c:strRef>
              <c:f>'Annual Report Figure Data'!$B$142</c:f>
              <c:strCache>
                <c:ptCount val="1"/>
                <c:pt idx="0">
                  <c:v>Health</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Data'!$C$142</c:f>
              <c:numCache>
                <c:formatCode>General</c:formatCode>
                <c:ptCount val="1"/>
                <c:pt idx="0">
                  <c:v>171</c:v>
                </c:pt>
              </c:numCache>
            </c:numRef>
          </c:val>
          <c:extLst>
            <c:ext xmlns:c16="http://schemas.microsoft.com/office/drawing/2014/chart" uri="{C3380CC4-5D6E-409C-BE32-E72D297353CC}">
              <c16:uniqueId val="{0000000B-D9BF-446A-8A1D-2405246F713B}"/>
            </c:ext>
          </c:extLst>
        </c:ser>
        <c:ser>
          <c:idx val="13"/>
          <c:order val="11"/>
          <c:tx>
            <c:strRef>
              <c:f>'Annual Report Figure Data'!$B$143</c:f>
              <c:strCache>
                <c:ptCount val="1"/>
                <c:pt idx="0">
                  <c:v>Planning Process</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Data'!$C$143</c:f>
              <c:numCache>
                <c:formatCode>General</c:formatCode>
                <c:ptCount val="1"/>
                <c:pt idx="0">
                  <c:v>187</c:v>
                </c:pt>
              </c:numCache>
            </c:numRef>
          </c:val>
          <c:extLst>
            <c:ext xmlns:c16="http://schemas.microsoft.com/office/drawing/2014/chart" uri="{C3380CC4-5D6E-409C-BE32-E72D297353CC}">
              <c16:uniqueId val="{0000000C-D9BF-446A-8A1D-2405246F713B}"/>
            </c:ext>
          </c:extLst>
        </c:ser>
        <c:ser>
          <c:idx val="14"/>
          <c:order val="12"/>
          <c:tx>
            <c:strRef>
              <c:f>'Annual Report Figure Data'!$B$144</c:f>
              <c:strCache>
                <c:ptCount val="1"/>
                <c:pt idx="0">
                  <c:v>Economic Loss</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Data'!$C$144</c:f>
              <c:numCache>
                <c:formatCode>General</c:formatCode>
                <c:ptCount val="1"/>
                <c:pt idx="0">
                  <c:v>211</c:v>
                </c:pt>
              </c:numCache>
            </c:numRef>
          </c:val>
          <c:extLst>
            <c:ext xmlns:c16="http://schemas.microsoft.com/office/drawing/2014/chart" uri="{C3380CC4-5D6E-409C-BE32-E72D297353CC}">
              <c16:uniqueId val="{0000000D-D9BF-446A-8A1D-2405246F713B}"/>
            </c:ext>
          </c:extLst>
        </c:ser>
        <c:ser>
          <c:idx val="15"/>
          <c:order val="13"/>
          <c:tx>
            <c:strRef>
              <c:f>'Annual Report Figure Data'!$B$145</c:f>
              <c:strCache>
                <c:ptCount val="1"/>
                <c:pt idx="0">
                  <c:v>Noise</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Data'!$C$145</c:f>
              <c:numCache>
                <c:formatCode>General</c:formatCode>
                <c:ptCount val="1"/>
                <c:pt idx="0">
                  <c:v>251</c:v>
                </c:pt>
              </c:numCache>
            </c:numRef>
          </c:val>
          <c:extLst>
            <c:ext xmlns:c16="http://schemas.microsoft.com/office/drawing/2014/chart" uri="{C3380CC4-5D6E-409C-BE32-E72D297353CC}">
              <c16:uniqueId val="{0000000E-D9BF-446A-8A1D-2405246F713B}"/>
            </c:ext>
          </c:extLst>
        </c:ser>
        <c:ser>
          <c:idx val="16"/>
          <c:order val="14"/>
          <c:tx>
            <c:strRef>
              <c:f>'Annual Report Figure Data'!$B$146</c:f>
              <c:strCache>
                <c:ptCount val="1"/>
                <c:pt idx="0">
                  <c:v>Natural Environment</c:v>
                </c:pt>
              </c:strCache>
            </c:strRef>
          </c:tx>
          <c:spPr>
            <a:solidFill>
              <a:schemeClr val="accent5">
                <a:lumMod val="80000"/>
                <a:lumOff val="20000"/>
              </a:schemeClr>
            </a:solidFill>
            <a:ln>
              <a:noFill/>
            </a:ln>
            <a:effectLst/>
          </c:spPr>
          <c:invertIfNegative val="0"/>
          <c:dLbls>
            <c:dLbl>
              <c:idx val="0"/>
              <c:layout>
                <c:manualLayout>
                  <c:x val="0"/>
                  <c:y val="6.2745098039215397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extLst>
                <c:ext xmlns:c15="http://schemas.microsoft.com/office/drawing/2012/chart" uri="{CE6537A1-D6FC-4f65-9D91-7224C49458BB}">
                  <c15:layout>
                    <c:manualLayout>
                      <c:w val="0.13268011527377521"/>
                      <c:h val="6.2698039215686271E-2"/>
                    </c:manualLayout>
                  </c15:layout>
                </c:ext>
                <c:ext xmlns:c16="http://schemas.microsoft.com/office/drawing/2014/chart" uri="{C3380CC4-5D6E-409C-BE32-E72D297353CC}">
                  <c16:uniqueId val="{00000000-5326-4D0F-80E3-355C4D5221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Data'!$C$146</c:f>
              <c:numCache>
                <c:formatCode>General</c:formatCode>
                <c:ptCount val="1"/>
                <c:pt idx="0">
                  <c:v>253</c:v>
                </c:pt>
              </c:numCache>
            </c:numRef>
          </c:val>
          <c:extLst>
            <c:ext xmlns:c16="http://schemas.microsoft.com/office/drawing/2014/chart" uri="{C3380CC4-5D6E-409C-BE32-E72D297353CC}">
              <c16:uniqueId val="{0000000F-D9BF-446A-8A1D-2405246F713B}"/>
            </c:ext>
          </c:extLst>
        </c:ser>
        <c:ser>
          <c:idx val="0"/>
          <c:order val="15"/>
          <c:tx>
            <c:strRef>
              <c:f>'Annual Report Figure Data'!$B$147</c:f>
              <c:strCache>
                <c:ptCount val="1"/>
                <c:pt idx="0">
                  <c:v>Community Engagement</c:v>
                </c:pt>
              </c:strCache>
            </c:strRef>
          </c:tx>
          <c:spPr>
            <a:solidFill>
              <a:schemeClr val="accent1"/>
            </a:solidFill>
            <a:ln>
              <a:noFill/>
            </a:ln>
            <a:effectLst/>
          </c:spPr>
          <c:invertIfNegative val="0"/>
          <c:dLbls>
            <c:dLbl>
              <c:idx val="0"/>
              <c:layout>
                <c:manualLayout>
                  <c:x val="0"/>
                  <c:y val="3.7579857196542651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918D0DA-966B-4229-BAD4-D05006FAEB21}" type="SERIESNAME">
                      <a:rPr lang="en-US"/>
                      <a:pPr>
                        <a:defRPr sz="900" b="1" i="0" u="none" strike="noStrike" kern="1200" baseline="0">
                          <a:solidFill>
                            <a:schemeClr val="tx1">
                              <a:lumMod val="75000"/>
                              <a:lumOff val="25000"/>
                            </a:schemeClr>
                          </a:solidFill>
                          <a:latin typeface="+mn-lt"/>
                          <a:ea typeface="+mn-ea"/>
                          <a:cs typeface="+mn-cs"/>
                        </a:defRPr>
                      </a:pPr>
                      <a:t>[SERIES NAME]</a:t>
                    </a:fld>
                    <a:r>
                      <a:rPr lang="en-US" baseline="0"/>
                      <a:t>
</a:t>
                    </a:r>
                    <a:fld id="{815792FE-F082-4162-99B4-6C770669DC86}" type="VALUE">
                      <a:rPr lang="en-US" baseline="0"/>
                      <a:pPr>
                        <a:defRPr sz="900" b="1"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showLegendKey val="0"/>
              <c:showVal val="1"/>
              <c:showCatName val="0"/>
              <c:showSerName val="1"/>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848991887377713"/>
                      <c:h val="6.4958824904496865E-2"/>
                    </c:manualLayout>
                  </c15:layout>
                  <c15:dlblFieldTable/>
                  <c15:showDataLabelsRange val="0"/>
                </c:ext>
                <c:ext xmlns:c16="http://schemas.microsoft.com/office/drawing/2014/chart" uri="{C3380CC4-5D6E-409C-BE32-E72D297353CC}">
                  <c16:uniqueId val="{00000000-CF8F-4938-BCFF-BCE320FE2A7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cat>
            <c:numRef>
              <c:f>'Annual Report Figure Data'!$C$130</c:f>
              <c:numCache>
                <c:formatCode>General</c:formatCode>
                <c:ptCount val="1"/>
              </c:numCache>
            </c:numRef>
          </c:cat>
          <c:val>
            <c:numRef>
              <c:f>'Annual Report Figure Data'!$C$147</c:f>
              <c:numCache>
                <c:formatCode>General</c:formatCode>
                <c:ptCount val="1"/>
                <c:pt idx="0">
                  <c:v>261</c:v>
                </c:pt>
              </c:numCache>
            </c:numRef>
          </c:val>
          <c:extLst>
            <c:ext xmlns:c16="http://schemas.microsoft.com/office/drawing/2014/chart" uri="{C3380CC4-5D6E-409C-BE32-E72D297353CC}">
              <c16:uniqueId val="{00000011-D9BF-446A-8A1D-2405246F713B}"/>
            </c:ext>
          </c:extLst>
        </c:ser>
        <c:ser>
          <c:idx val="1"/>
          <c:order val="16"/>
          <c:tx>
            <c:strRef>
              <c:f>'Annual Report Figure Data'!$B$148</c:f>
              <c:strCache>
                <c:ptCount val="1"/>
                <c:pt idx="0">
                  <c:v>Amenity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1"/>
            <c:showBubbleSize val="0"/>
            <c:separator>
</c:separator>
            <c:showLeaderLines val="0"/>
            <c:extLst>
              <c:ext xmlns:c15="http://schemas.microsoft.com/office/drawing/2012/chart" uri="{CE6537A1-D6FC-4f65-9D91-7224C49458BB}">
                <c15:showLeaderLines val="0"/>
              </c:ext>
            </c:extLst>
          </c:dLbls>
          <c:val>
            <c:numRef>
              <c:f>'Annual Report Figure Data'!$C$148</c:f>
              <c:numCache>
                <c:formatCode>General</c:formatCode>
                <c:ptCount val="1"/>
                <c:pt idx="0">
                  <c:v>281</c:v>
                </c:pt>
              </c:numCache>
            </c:numRef>
          </c:val>
          <c:extLst>
            <c:ext xmlns:c16="http://schemas.microsoft.com/office/drawing/2014/chart" uri="{C3380CC4-5D6E-409C-BE32-E72D297353CC}">
              <c16:uniqueId val="{00000010-E6CE-4B19-B35D-3C6E3B4409B5}"/>
            </c:ext>
          </c:extLst>
        </c:ser>
        <c:dLbls>
          <c:showLegendKey val="0"/>
          <c:showVal val="0"/>
          <c:showCatName val="1"/>
          <c:showSerName val="0"/>
          <c:showPercent val="1"/>
          <c:showBubbleSize val="0"/>
        </c:dLbls>
        <c:gapWidth val="167"/>
        <c:overlap val="-8"/>
        <c:axId val="686152288"/>
        <c:axId val="686159776"/>
      </c:barChart>
      <c:catAx>
        <c:axId val="686152288"/>
        <c:scaling>
          <c:orientation val="minMax"/>
        </c:scaling>
        <c:delete val="1"/>
        <c:axPos val="l"/>
        <c:numFmt formatCode="General" sourceLinked="1"/>
        <c:majorTickMark val="none"/>
        <c:minorTickMark val="none"/>
        <c:tickLblPos val="nextTo"/>
        <c:crossAx val="686159776"/>
        <c:crosses val="autoZero"/>
        <c:auto val="1"/>
        <c:lblAlgn val="ctr"/>
        <c:lblOffset val="100"/>
        <c:noMultiLvlLbl val="0"/>
      </c:catAx>
      <c:valAx>
        <c:axId val="686159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15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16: Issues Raised in Cases relating to </a:t>
            </a:r>
            <a:r>
              <a:rPr lang="en-US" sz="1200" b="1" baseline="0"/>
              <a:t>Wind Farms</a:t>
            </a:r>
            <a:endParaRPr lang="en-US" sz="1200" b="1"/>
          </a:p>
        </c:rich>
      </c:tx>
      <c:layout>
        <c:manualLayout>
          <c:xMode val="edge"/>
          <c:yMode val="edge"/>
          <c:x val="0.23280161100552083"/>
          <c:y val="2.668184011536283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537363863999759"/>
          <c:y val="5.4025056941334595E-2"/>
          <c:w val="0.76299800886958091"/>
          <c:h val="0.93943402929827891"/>
        </c:manualLayout>
      </c:layout>
      <c:barChart>
        <c:barDir val="bar"/>
        <c:grouping val="clustered"/>
        <c:varyColors val="0"/>
        <c:ser>
          <c:idx val="6"/>
          <c:order val="0"/>
          <c:tx>
            <c:strRef>
              <c:f>'Annual Report Figure Data'!$I$152</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Data'!$I$153:$I$168</c:f>
              <c:numCache>
                <c:formatCode>General</c:formatCode>
                <c:ptCount val="16"/>
                <c:pt idx="0">
                  <c:v>0</c:v>
                </c:pt>
                <c:pt idx="1">
                  <c:v>0</c:v>
                </c:pt>
                <c:pt idx="2">
                  <c:v>0</c:v>
                </c:pt>
                <c:pt idx="3">
                  <c:v>1</c:v>
                </c:pt>
                <c:pt idx="4">
                  <c:v>5</c:v>
                </c:pt>
                <c:pt idx="5">
                  <c:v>10</c:v>
                </c:pt>
                <c:pt idx="6">
                  <c:v>1</c:v>
                </c:pt>
                <c:pt idx="7">
                  <c:v>2</c:v>
                </c:pt>
                <c:pt idx="8">
                  <c:v>0</c:v>
                </c:pt>
                <c:pt idx="9">
                  <c:v>1</c:v>
                </c:pt>
                <c:pt idx="10">
                  <c:v>3</c:v>
                </c:pt>
                <c:pt idx="11">
                  <c:v>1</c:v>
                </c:pt>
                <c:pt idx="12">
                  <c:v>6</c:v>
                </c:pt>
                <c:pt idx="13">
                  <c:v>7</c:v>
                </c:pt>
                <c:pt idx="14">
                  <c:v>2</c:v>
                </c:pt>
                <c:pt idx="15">
                  <c:v>8</c:v>
                </c:pt>
              </c:numCache>
            </c:numRef>
          </c:val>
          <c:extLst>
            <c:ext xmlns:c16="http://schemas.microsoft.com/office/drawing/2014/chart" uri="{C3380CC4-5D6E-409C-BE32-E72D297353CC}">
              <c16:uniqueId val="{00000006-CE85-46EE-9A19-9CCBE219D728}"/>
            </c:ext>
          </c:extLst>
        </c:ser>
        <c:ser>
          <c:idx val="5"/>
          <c:order val="1"/>
          <c:tx>
            <c:strRef>
              <c:f>'Annual Report Figure Data'!$H$152</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Data'!$H$153:$H$168</c:f>
              <c:numCache>
                <c:formatCode>General</c:formatCode>
                <c:ptCount val="16"/>
                <c:pt idx="0">
                  <c:v>0</c:v>
                </c:pt>
                <c:pt idx="1">
                  <c:v>2</c:v>
                </c:pt>
                <c:pt idx="2">
                  <c:v>6</c:v>
                </c:pt>
                <c:pt idx="3">
                  <c:v>0</c:v>
                </c:pt>
                <c:pt idx="4">
                  <c:v>6</c:v>
                </c:pt>
                <c:pt idx="5">
                  <c:v>19</c:v>
                </c:pt>
                <c:pt idx="6">
                  <c:v>0</c:v>
                </c:pt>
                <c:pt idx="7">
                  <c:v>16</c:v>
                </c:pt>
                <c:pt idx="8">
                  <c:v>1</c:v>
                </c:pt>
                <c:pt idx="9">
                  <c:v>8</c:v>
                </c:pt>
                <c:pt idx="10">
                  <c:v>9</c:v>
                </c:pt>
                <c:pt idx="11">
                  <c:v>3</c:v>
                </c:pt>
                <c:pt idx="12">
                  <c:v>8</c:v>
                </c:pt>
                <c:pt idx="13">
                  <c:v>14</c:v>
                </c:pt>
                <c:pt idx="14">
                  <c:v>11</c:v>
                </c:pt>
                <c:pt idx="15">
                  <c:v>18</c:v>
                </c:pt>
              </c:numCache>
            </c:numRef>
          </c:val>
          <c:extLst>
            <c:ext xmlns:c16="http://schemas.microsoft.com/office/drawing/2014/chart" uri="{C3380CC4-5D6E-409C-BE32-E72D297353CC}">
              <c16:uniqueId val="{00000005-CE85-46EE-9A19-9CCBE219D728}"/>
            </c:ext>
          </c:extLst>
        </c:ser>
        <c:ser>
          <c:idx val="4"/>
          <c:order val="2"/>
          <c:tx>
            <c:strRef>
              <c:f>'Annual Report Figure Data'!$G$152</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Data'!$G$153:$G$168</c:f>
              <c:numCache>
                <c:formatCode>General</c:formatCode>
                <c:ptCount val="16"/>
                <c:pt idx="0">
                  <c:v>0</c:v>
                </c:pt>
                <c:pt idx="1">
                  <c:v>1</c:v>
                </c:pt>
                <c:pt idx="2">
                  <c:v>29</c:v>
                </c:pt>
                <c:pt idx="3">
                  <c:v>0</c:v>
                </c:pt>
                <c:pt idx="4">
                  <c:v>41</c:v>
                </c:pt>
                <c:pt idx="5">
                  <c:v>67</c:v>
                </c:pt>
                <c:pt idx="6">
                  <c:v>0</c:v>
                </c:pt>
                <c:pt idx="7">
                  <c:v>67</c:v>
                </c:pt>
                <c:pt idx="8">
                  <c:v>0</c:v>
                </c:pt>
                <c:pt idx="9">
                  <c:v>35</c:v>
                </c:pt>
                <c:pt idx="10">
                  <c:v>50</c:v>
                </c:pt>
                <c:pt idx="11">
                  <c:v>3</c:v>
                </c:pt>
                <c:pt idx="12">
                  <c:v>4</c:v>
                </c:pt>
                <c:pt idx="13">
                  <c:v>54</c:v>
                </c:pt>
                <c:pt idx="14">
                  <c:v>8</c:v>
                </c:pt>
                <c:pt idx="15">
                  <c:v>79</c:v>
                </c:pt>
              </c:numCache>
            </c:numRef>
          </c:val>
          <c:extLst>
            <c:ext xmlns:c16="http://schemas.microsoft.com/office/drawing/2014/chart" uri="{C3380CC4-5D6E-409C-BE32-E72D297353CC}">
              <c16:uniqueId val="{00000004-CE85-46EE-9A19-9CCBE219D728}"/>
            </c:ext>
          </c:extLst>
        </c:ser>
        <c:ser>
          <c:idx val="3"/>
          <c:order val="3"/>
          <c:tx>
            <c:strRef>
              <c:f>'Annual Report Figure Data'!$F$152</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Data'!$F$153:$F$168</c:f>
              <c:numCache>
                <c:formatCode>General</c:formatCode>
                <c:ptCount val="16"/>
                <c:pt idx="0">
                  <c:v>0</c:v>
                </c:pt>
                <c:pt idx="1">
                  <c:v>0</c:v>
                </c:pt>
                <c:pt idx="2">
                  <c:v>11</c:v>
                </c:pt>
                <c:pt idx="3">
                  <c:v>0</c:v>
                </c:pt>
                <c:pt idx="4">
                  <c:v>9</c:v>
                </c:pt>
                <c:pt idx="5">
                  <c:v>10</c:v>
                </c:pt>
                <c:pt idx="6">
                  <c:v>0</c:v>
                </c:pt>
                <c:pt idx="7">
                  <c:v>14</c:v>
                </c:pt>
                <c:pt idx="8">
                  <c:v>3</c:v>
                </c:pt>
                <c:pt idx="9">
                  <c:v>5</c:v>
                </c:pt>
                <c:pt idx="10">
                  <c:v>8</c:v>
                </c:pt>
                <c:pt idx="11">
                  <c:v>1</c:v>
                </c:pt>
                <c:pt idx="12">
                  <c:v>6</c:v>
                </c:pt>
                <c:pt idx="13">
                  <c:v>25</c:v>
                </c:pt>
                <c:pt idx="14">
                  <c:v>5</c:v>
                </c:pt>
                <c:pt idx="15">
                  <c:v>15</c:v>
                </c:pt>
              </c:numCache>
            </c:numRef>
          </c:val>
          <c:extLst>
            <c:ext xmlns:c16="http://schemas.microsoft.com/office/drawing/2014/chart" uri="{C3380CC4-5D6E-409C-BE32-E72D297353CC}">
              <c16:uniqueId val="{00000003-CE85-46EE-9A19-9CCBE219D728}"/>
            </c:ext>
          </c:extLst>
        </c:ser>
        <c:ser>
          <c:idx val="2"/>
          <c:order val="4"/>
          <c:tx>
            <c:strRef>
              <c:f>'Annual Report Figure Data'!$E$152</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Data'!$E$153:$E$168</c:f>
              <c:numCache>
                <c:formatCode>General</c:formatCode>
                <c:ptCount val="16"/>
                <c:pt idx="0">
                  <c:v>0</c:v>
                </c:pt>
                <c:pt idx="1">
                  <c:v>4</c:v>
                </c:pt>
                <c:pt idx="2">
                  <c:v>10</c:v>
                </c:pt>
                <c:pt idx="3">
                  <c:v>0</c:v>
                </c:pt>
                <c:pt idx="4">
                  <c:v>39</c:v>
                </c:pt>
                <c:pt idx="5">
                  <c:v>35</c:v>
                </c:pt>
                <c:pt idx="6">
                  <c:v>0</c:v>
                </c:pt>
                <c:pt idx="7">
                  <c:v>34</c:v>
                </c:pt>
                <c:pt idx="8">
                  <c:v>0</c:v>
                </c:pt>
                <c:pt idx="9">
                  <c:v>16</c:v>
                </c:pt>
                <c:pt idx="10">
                  <c:v>17</c:v>
                </c:pt>
                <c:pt idx="11">
                  <c:v>3</c:v>
                </c:pt>
                <c:pt idx="12">
                  <c:v>14</c:v>
                </c:pt>
                <c:pt idx="13">
                  <c:v>40</c:v>
                </c:pt>
                <c:pt idx="14">
                  <c:v>5</c:v>
                </c:pt>
                <c:pt idx="15">
                  <c:v>54</c:v>
                </c:pt>
              </c:numCache>
            </c:numRef>
          </c:val>
          <c:extLst>
            <c:ext xmlns:c16="http://schemas.microsoft.com/office/drawing/2014/chart" uri="{C3380CC4-5D6E-409C-BE32-E72D297353CC}">
              <c16:uniqueId val="{00000002-CE85-46EE-9A19-9CCBE219D728}"/>
            </c:ext>
          </c:extLst>
        </c:ser>
        <c:ser>
          <c:idx val="1"/>
          <c:order val="5"/>
          <c:tx>
            <c:strRef>
              <c:f>'Annual Report Figure Data'!$D$152</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Data'!$D$153:$D$168</c:f>
              <c:numCache>
                <c:formatCode>General</c:formatCode>
                <c:ptCount val="16"/>
                <c:pt idx="0">
                  <c:v>2</c:v>
                </c:pt>
                <c:pt idx="1">
                  <c:v>3</c:v>
                </c:pt>
                <c:pt idx="2">
                  <c:v>1</c:v>
                </c:pt>
                <c:pt idx="3">
                  <c:v>0</c:v>
                </c:pt>
                <c:pt idx="4">
                  <c:v>11</c:v>
                </c:pt>
                <c:pt idx="5">
                  <c:v>39</c:v>
                </c:pt>
                <c:pt idx="6">
                  <c:v>0</c:v>
                </c:pt>
                <c:pt idx="7">
                  <c:v>17</c:v>
                </c:pt>
                <c:pt idx="8">
                  <c:v>0</c:v>
                </c:pt>
                <c:pt idx="9">
                  <c:v>21</c:v>
                </c:pt>
                <c:pt idx="10">
                  <c:v>18</c:v>
                </c:pt>
                <c:pt idx="11">
                  <c:v>2</c:v>
                </c:pt>
                <c:pt idx="12">
                  <c:v>7</c:v>
                </c:pt>
                <c:pt idx="13">
                  <c:v>11</c:v>
                </c:pt>
                <c:pt idx="14">
                  <c:v>2</c:v>
                </c:pt>
                <c:pt idx="15">
                  <c:v>22</c:v>
                </c:pt>
              </c:numCache>
            </c:numRef>
          </c:val>
          <c:extLst>
            <c:ext xmlns:c16="http://schemas.microsoft.com/office/drawing/2014/chart" uri="{C3380CC4-5D6E-409C-BE32-E72D297353CC}">
              <c16:uniqueId val="{00000001-CE85-46EE-9A19-9CCBE219D728}"/>
            </c:ext>
          </c:extLst>
        </c:ser>
        <c:ser>
          <c:idx val="0"/>
          <c:order val="6"/>
          <c:tx>
            <c:strRef>
              <c:f>'Annual Report Figure Data'!$C$152</c:f>
              <c:strCache>
                <c:ptCount val="1"/>
                <c:pt idx="0">
                  <c:v>2015-2016*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Data'!$B$153:$B$168</c:f>
              <c:strCache>
                <c:ptCount val="16"/>
                <c:pt idx="0">
                  <c:v>Vibration</c:v>
                </c:pt>
                <c:pt idx="1">
                  <c:v>Shadow flicker</c:v>
                </c:pt>
                <c:pt idx="2">
                  <c:v>Safety</c:v>
                </c:pt>
                <c:pt idx="3">
                  <c:v>Technology Selection</c:v>
                </c:pt>
                <c:pt idx="4">
                  <c:v>Planning process</c:v>
                </c:pt>
                <c:pt idx="5">
                  <c:v>Noise</c:v>
                </c:pt>
                <c:pt idx="6">
                  <c:v>Land Access</c:v>
                </c:pt>
                <c:pt idx="7">
                  <c:v>Natural Environment</c:v>
                </c:pt>
                <c:pt idx="8">
                  <c:v>Maintenance/operations</c:v>
                </c:pt>
                <c:pt idx="9">
                  <c:v>Health</c:v>
                </c:pt>
                <c:pt idx="10">
                  <c:v>Economic loss</c:v>
                </c:pt>
                <c:pt idx="11">
                  <c:v>Decommissioning</c:v>
                </c:pt>
                <c:pt idx="12">
                  <c:v>Construction</c:v>
                </c:pt>
                <c:pt idx="13">
                  <c:v>Community engagement</c:v>
                </c:pt>
                <c:pt idx="14">
                  <c:v>Commercial agreement</c:v>
                </c:pt>
                <c:pt idx="15">
                  <c:v>Amenity</c:v>
                </c:pt>
              </c:strCache>
            </c:strRef>
          </c:cat>
          <c:val>
            <c:numRef>
              <c:f>'Annual Report Figure Data'!$C$153:$C$168</c:f>
              <c:numCache>
                <c:formatCode>General</c:formatCode>
                <c:ptCount val="16"/>
                <c:pt idx="0">
                  <c:v>18</c:v>
                </c:pt>
                <c:pt idx="1">
                  <c:v>0</c:v>
                </c:pt>
                <c:pt idx="2">
                  <c:v>5</c:v>
                </c:pt>
                <c:pt idx="3">
                  <c:v>0</c:v>
                </c:pt>
                <c:pt idx="4">
                  <c:v>26</c:v>
                </c:pt>
                <c:pt idx="5">
                  <c:v>58</c:v>
                </c:pt>
                <c:pt idx="6">
                  <c:v>0</c:v>
                </c:pt>
                <c:pt idx="7">
                  <c:v>20</c:v>
                </c:pt>
                <c:pt idx="8">
                  <c:v>0</c:v>
                </c:pt>
                <c:pt idx="9">
                  <c:v>51</c:v>
                </c:pt>
                <c:pt idx="10">
                  <c:v>32</c:v>
                </c:pt>
                <c:pt idx="11">
                  <c:v>0</c:v>
                </c:pt>
                <c:pt idx="12">
                  <c:v>7</c:v>
                </c:pt>
                <c:pt idx="13">
                  <c:v>15</c:v>
                </c:pt>
                <c:pt idx="14">
                  <c:v>7</c:v>
                </c:pt>
                <c:pt idx="15">
                  <c:v>24</c:v>
                </c:pt>
              </c:numCache>
            </c:numRef>
          </c:val>
          <c:extLst>
            <c:ext xmlns:c16="http://schemas.microsoft.com/office/drawing/2014/chart" uri="{C3380CC4-5D6E-409C-BE32-E72D297353CC}">
              <c16:uniqueId val="{00000000-CE85-46EE-9A19-9CCBE219D728}"/>
            </c:ext>
          </c:extLst>
        </c:ser>
        <c:dLbls>
          <c:showLegendKey val="0"/>
          <c:showVal val="0"/>
          <c:showCatName val="0"/>
          <c:showSerName val="0"/>
          <c:showPercent val="0"/>
          <c:showBubbleSize val="0"/>
        </c:dLbls>
        <c:gapWidth val="0"/>
        <c:overlap val="-15"/>
        <c:axId val="297414136"/>
        <c:axId val="297416096"/>
      </c:barChart>
      <c:catAx>
        <c:axId val="29741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16096"/>
        <c:crosses val="autoZero"/>
        <c:auto val="1"/>
        <c:lblAlgn val="ctr"/>
        <c:lblOffset val="100"/>
        <c:noMultiLvlLbl val="0"/>
      </c:catAx>
      <c:valAx>
        <c:axId val="297416096"/>
        <c:scaling>
          <c:orientation val="minMax"/>
        </c:scaling>
        <c:delete val="1"/>
        <c:axPos val="b"/>
        <c:majorGridlines>
          <c:spPr>
            <a:ln w="9525" cap="flat" cmpd="sng" algn="ctr">
              <a:solidFill>
                <a:schemeClr val="bg1">
                  <a:alpha val="79000"/>
                </a:schemeClr>
              </a:solidFill>
              <a:round/>
            </a:ln>
            <a:effectLst/>
          </c:spPr>
        </c:majorGridlines>
        <c:numFmt formatCode="General" sourceLinked="1"/>
        <c:majorTickMark val="none"/>
        <c:minorTickMark val="none"/>
        <c:tickLblPos val="nextTo"/>
        <c:crossAx val="297414136"/>
        <c:crosses val="autoZero"/>
        <c:crossBetween val="between"/>
      </c:valAx>
      <c:spPr>
        <a:noFill/>
        <a:ln>
          <a:noFill/>
        </a:ln>
        <a:effectLst/>
      </c:spPr>
    </c:plotArea>
    <c:legend>
      <c:legendPos val="t"/>
      <c:layout>
        <c:manualLayout>
          <c:xMode val="edge"/>
          <c:yMode val="edge"/>
          <c:x val="0.24249720940054906"/>
          <c:y val="2.6093039524309195E-2"/>
          <c:w val="0.51117416357438084"/>
          <c:h val="2.36098189719989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Figure 17: Issues Raised in General Enquires, Proposed Solar Farms and </a:t>
            </a:r>
          </a:p>
          <a:p>
            <a:pPr>
              <a:defRPr/>
            </a:pPr>
            <a:r>
              <a:rPr lang="en-US" sz="1200" b="1" i="0" baseline="0">
                <a:effectLst/>
              </a:rPr>
              <a:t>Energy Storage</a:t>
            </a:r>
          </a:p>
        </c:rich>
      </c:tx>
      <c:layout>
        <c:manualLayout>
          <c:xMode val="edge"/>
          <c:yMode val="edge"/>
          <c:x val="0.11585256584306274"/>
          <c:y val="3.94620422175193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36108848462908"/>
          <c:y val="0.10380392284989273"/>
          <c:w val="0.77556611458050506"/>
          <c:h val="0.88172662856751183"/>
        </c:manualLayout>
      </c:layout>
      <c:barChart>
        <c:barDir val="bar"/>
        <c:grouping val="clustered"/>
        <c:varyColors val="0"/>
        <c:ser>
          <c:idx val="6"/>
          <c:order val="0"/>
          <c:tx>
            <c:strRef>
              <c:f>'Annual Report Figure Data'!$I$185</c:f>
              <c:strCache>
                <c:ptCount val="1"/>
                <c:pt idx="0">
                  <c:v>2022</c:v>
                </c:pt>
              </c:strCache>
            </c:strRef>
          </c:tx>
          <c:spPr>
            <a:solidFill>
              <a:schemeClr val="accent1">
                <a:lumMod val="6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Data'!$I$186:$I$199</c:f>
              <c:numCache>
                <c:formatCode>General</c:formatCode>
                <c:ptCount val="13"/>
                <c:pt idx="2">
                  <c:v>1</c:v>
                </c:pt>
                <c:pt idx="5">
                  <c:v>4</c:v>
                </c:pt>
                <c:pt idx="6">
                  <c:v>2</c:v>
                </c:pt>
                <c:pt idx="7">
                  <c:v>1</c:v>
                </c:pt>
                <c:pt idx="10">
                  <c:v>3</c:v>
                </c:pt>
                <c:pt idx="11">
                  <c:v>6</c:v>
                </c:pt>
                <c:pt idx="12">
                  <c:v>3</c:v>
                </c:pt>
              </c:numCache>
              <c:extLst/>
            </c:numRef>
          </c:val>
          <c:extLst>
            <c:ext xmlns:c16="http://schemas.microsoft.com/office/drawing/2014/chart" uri="{C3380CC4-5D6E-409C-BE32-E72D297353CC}">
              <c16:uniqueId val="{00000006-E160-41D5-9E6B-EC75955370A1}"/>
            </c:ext>
          </c:extLst>
        </c:ser>
        <c:ser>
          <c:idx val="5"/>
          <c:order val="1"/>
          <c:tx>
            <c:strRef>
              <c:f>'Annual Report Figure Data'!$H$185</c:f>
              <c:strCache>
                <c:ptCount val="1"/>
                <c:pt idx="0">
                  <c:v>2021</c:v>
                </c:pt>
              </c:strCache>
            </c:strRef>
          </c:tx>
          <c:spPr>
            <a:solidFill>
              <a:schemeClr val="accent6"/>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Data'!$H$186:$H$199</c:f>
              <c:numCache>
                <c:formatCode>General</c:formatCode>
                <c:ptCount val="13"/>
                <c:pt idx="3">
                  <c:v>5</c:v>
                </c:pt>
                <c:pt idx="4">
                  <c:v>3</c:v>
                </c:pt>
                <c:pt idx="5">
                  <c:v>6</c:v>
                </c:pt>
                <c:pt idx="6">
                  <c:v>1</c:v>
                </c:pt>
                <c:pt idx="7">
                  <c:v>3</c:v>
                </c:pt>
                <c:pt idx="8">
                  <c:v>2</c:v>
                </c:pt>
                <c:pt idx="9">
                  <c:v>1</c:v>
                </c:pt>
                <c:pt idx="10">
                  <c:v>4</c:v>
                </c:pt>
                <c:pt idx="11">
                  <c:v>10</c:v>
                </c:pt>
                <c:pt idx="12">
                  <c:v>2</c:v>
                </c:pt>
              </c:numCache>
              <c:extLst/>
            </c:numRef>
          </c:val>
          <c:extLst>
            <c:ext xmlns:c16="http://schemas.microsoft.com/office/drawing/2014/chart" uri="{C3380CC4-5D6E-409C-BE32-E72D297353CC}">
              <c16:uniqueId val="{00000005-E160-41D5-9E6B-EC75955370A1}"/>
            </c:ext>
          </c:extLst>
        </c:ser>
        <c:ser>
          <c:idx val="4"/>
          <c:order val="2"/>
          <c:tx>
            <c:strRef>
              <c:f>'Annual Report Figure Data'!$G$185</c:f>
              <c:strCache>
                <c:ptCount val="1"/>
                <c:pt idx="0">
                  <c:v>2020</c:v>
                </c:pt>
              </c:strCache>
            </c:strRef>
          </c:tx>
          <c:spPr>
            <a:solidFill>
              <a:schemeClr val="accent5"/>
            </a:solidFill>
            <a:ln w="12700">
              <a:solidFill>
                <a:schemeClr val="bg1"/>
              </a:solidFill>
            </a:ln>
            <a:effectLst/>
          </c:spPr>
          <c:invertIfNegative val="0"/>
          <c:dLbls>
            <c:dLbl>
              <c:idx val="7"/>
              <c:delete val="1"/>
              <c:extLst>
                <c:ext xmlns:c15="http://schemas.microsoft.com/office/drawing/2012/chart" uri="{CE6537A1-D6FC-4f65-9D91-7224C49458BB}">
                  <c15:layout>
                    <c:manualLayout>
                      <c:w val="2.8869731800766282E-2"/>
                      <c:h val="3.4477512344855195E-2"/>
                    </c:manualLayout>
                  </c15:layout>
                </c:ext>
                <c:ext xmlns:c16="http://schemas.microsoft.com/office/drawing/2014/chart" uri="{C3380CC4-5D6E-409C-BE32-E72D297353CC}">
                  <c16:uniqueId val="{00000000-FA14-4F5C-AFB6-8BC3F336A5A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Data'!$G$186:$G$199</c:f>
              <c:numCache>
                <c:formatCode>General</c:formatCode>
                <c:ptCount val="13"/>
                <c:pt idx="1">
                  <c:v>3</c:v>
                </c:pt>
                <c:pt idx="3">
                  <c:v>3</c:v>
                </c:pt>
                <c:pt idx="4">
                  <c:v>1</c:v>
                </c:pt>
                <c:pt idx="5">
                  <c:v>5</c:v>
                </c:pt>
                <c:pt idx="6">
                  <c:v>1</c:v>
                </c:pt>
                <c:pt idx="8">
                  <c:v>2</c:v>
                </c:pt>
                <c:pt idx="9">
                  <c:v>1</c:v>
                </c:pt>
                <c:pt idx="10">
                  <c:v>2</c:v>
                </c:pt>
                <c:pt idx="11">
                  <c:v>6</c:v>
                </c:pt>
              </c:numCache>
              <c:extLst/>
            </c:numRef>
          </c:val>
          <c:extLst>
            <c:ext xmlns:c16="http://schemas.microsoft.com/office/drawing/2014/chart" uri="{C3380CC4-5D6E-409C-BE32-E72D297353CC}">
              <c16:uniqueId val="{00000004-E160-41D5-9E6B-EC75955370A1}"/>
            </c:ext>
          </c:extLst>
        </c:ser>
        <c:ser>
          <c:idx val="3"/>
          <c:order val="3"/>
          <c:tx>
            <c:strRef>
              <c:f>'Annual Report Figure Data'!$F$185</c:f>
              <c:strCache>
                <c:ptCount val="1"/>
                <c:pt idx="0">
                  <c:v>2019</c:v>
                </c:pt>
              </c:strCache>
            </c:strRef>
          </c:tx>
          <c:spPr>
            <a:solidFill>
              <a:schemeClr val="accent4"/>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Data'!$F$186:$F$199</c:f>
              <c:numCache>
                <c:formatCode>General</c:formatCode>
                <c:ptCount val="13"/>
                <c:pt idx="1">
                  <c:v>1</c:v>
                </c:pt>
                <c:pt idx="3">
                  <c:v>7</c:v>
                </c:pt>
                <c:pt idx="5">
                  <c:v>1</c:v>
                </c:pt>
                <c:pt idx="7">
                  <c:v>2</c:v>
                </c:pt>
                <c:pt idx="8">
                  <c:v>2</c:v>
                </c:pt>
                <c:pt idx="9">
                  <c:v>2</c:v>
                </c:pt>
                <c:pt idx="10">
                  <c:v>2</c:v>
                </c:pt>
                <c:pt idx="11">
                  <c:v>2</c:v>
                </c:pt>
              </c:numCache>
              <c:extLst/>
            </c:numRef>
          </c:val>
          <c:extLst>
            <c:ext xmlns:c16="http://schemas.microsoft.com/office/drawing/2014/chart" uri="{C3380CC4-5D6E-409C-BE32-E72D297353CC}">
              <c16:uniqueId val="{00000003-E160-41D5-9E6B-EC75955370A1}"/>
            </c:ext>
          </c:extLst>
        </c:ser>
        <c:ser>
          <c:idx val="2"/>
          <c:order val="4"/>
          <c:tx>
            <c:strRef>
              <c:f>'Annual Report Figure Data'!$E$185</c:f>
              <c:strCache>
                <c:ptCount val="1"/>
                <c:pt idx="0">
                  <c:v>2018*</c:v>
                </c:pt>
              </c:strCache>
            </c:strRef>
          </c:tx>
          <c:spPr>
            <a:solidFill>
              <a:schemeClr val="accent3"/>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Data'!$E$186:$E$199</c:f>
              <c:numCache>
                <c:formatCode>General</c:formatCode>
                <c:ptCount val="13"/>
                <c:pt idx="1">
                  <c:v>1</c:v>
                </c:pt>
                <c:pt idx="3">
                  <c:v>3</c:v>
                </c:pt>
                <c:pt idx="4">
                  <c:v>3</c:v>
                </c:pt>
                <c:pt idx="5">
                  <c:v>4</c:v>
                </c:pt>
                <c:pt idx="6">
                  <c:v>2</c:v>
                </c:pt>
                <c:pt idx="7">
                  <c:v>2</c:v>
                </c:pt>
                <c:pt idx="9">
                  <c:v>1</c:v>
                </c:pt>
                <c:pt idx="12">
                  <c:v>4</c:v>
                </c:pt>
              </c:numCache>
              <c:extLst/>
            </c:numRef>
          </c:val>
          <c:extLst>
            <c:ext xmlns:c16="http://schemas.microsoft.com/office/drawing/2014/chart" uri="{C3380CC4-5D6E-409C-BE32-E72D297353CC}">
              <c16:uniqueId val="{00000002-E160-41D5-9E6B-EC75955370A1}"/>
            </c:ext>
          </c:extLst>
        </c:ser>
        <c:ser>
          <c:idx val="1"/>
          <c:order val="5"/>
          <c:tx>
            <c:strRef>
              <c:f>'Annual Report Figure Data'!$D$185</c:f>
              <c:strCache>
                <c:ptCount val="1"/>
                <c:pt idx="0">
                  <c:v>2017</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Data'!$D$186:$D$199</c:f>
              <c:numCache>
                <c:formatCode>General</c:formatCode>
                <c:ptCount val="13"/>
                <c:pt idx="4">
                  <c:v>1</c:v>
                </c:pt>
                <c:pt idx="6">
                  <c:v>2</c:v>
                </c:pt>
                <c:pt idx="7">
                  <c:v>1</c:v>
                </c:pt>
                <c:pt idx="12">
                  <c:v>2</c:v>
                </c:pt>
              </c:numCache>
              <c:extLst/>
            </c:numRef>
          </c:val>
          <c:extLst>
            <c:ext xmlns:c16="http://schemas.microsoft.com/office/drawing/2014/chart" uri="{C3380CC4-5D6E-409C-BE32-E72D297353CC}">
              <c16:uniqueId val="{00000001-E160-41D5-9E6B-EC75955370A1}"/>
            </c:ext>
          </c:extLst>
        </c:ser>
        <c:ser>
          <c:idx val="0"/>
          <c:order val="6"/>
          <c:tx>
            <c:strRef>
              <c:f>'Annual Report Figure Data'!$C$185</c:f>
              <c:strCache>
                <c:ptCount val="1"/>
                <c:pt idx="0">
                  <c:v>2015-16*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Data'!$B$185:$B$199</c:f>
              <c:strCache>
                <c:ptCount val="14"/>
                <c:pt idx="0">
                  <c:v>Maintenance/operations</c:v>
                </c:pt>
                <c:pt idx="1">
                  <c:v>Vibration</c:v>
                </c:pt>
                <c:pt idx="2">
                  <c:v>Safety</c:v>
                </c:pt>
                <c:pt idx="3">
                  <c:v>Technology Selection </c:v>
                </c:pt>
                <c:pt idx="4">
                  <c:v>Planning process</c:v>
                </c:pt>
                <c:pt idx="5">
                  <c:v>Noise</c:v>
                </c:pt>
                <c:pt idx="6">
                  <c:v>Natural Environment</c:v>
                </c:pt>
                <c:pt idx="7">
                  <c:v>Health</c:v>
                </c:pt>
                <c:pt idx="8">
                  <c:v>Economic loss</c:v>
                </c:pt>
                <c:pt idx="9">
                  <c:v>Decommissioning</c:v>
                </c:pt>
                <c:pt idx="10">
                  <c:v>Construction</c:v>
                </c:pt>
                <c:pt idx="11">
                  <c:v>Community engagement</c:v>
                </c:pt>
                <c:pt idx="12">
                  <c:v>Commercial agreement</c:v>
                </c:pt>
                <c:pt idx="13">
                  <c:v>Amenity</c:v>
                </c:pt>
              </c:strCache>
              <c:extLst/>
            </c:strRef>
          </c:cat>
          <c:val>
            <c:numRef>
              <c:f>'Annual Report Figure Data'!$C$186:$C$199</c:f>
              <c:numCache>
                <c:formatCode>General</c:formatCode>
                <c:ptCount val="13"/>
                <c:pt idx="0">
                  <c:v>1</c:v>
                </c:pt>
                <c:pt idx="4">
                  <c:v>1</c:v>
                </c:pt>
                <c:pt idx="6">
                  <c:v>1</c:v>
                </c:pt>
              </c:numCache>
              <c:extLst/>
            </c:numRef>
          </c:val>
          <c:extLst>
            <c:ext xmlns:c16="http://schemas.microsoft.com/office/drawing/2014/chart" uri="{C3380CC4-5D6E-409C-BE32-E72D297353CC}">
              <c16:uniqueId val="{00000000-E160-41D5-9E6B-EC75955370A1}"/>
            </c:ext>
          </c:extLst>
        </c:ser>
        <c:dLbls>
          <c:showLegendKey val="0"/>
          <c:showVal val="0"/>
          <c:showCatName val="0"/>
          <c:showSerName val="0"/>
          <c:showPercent val="0"/>
          <c:showBubbleSize val="0"/>
        </c:dLbls>
        <c:gapWidth val="0"/>
        <c:axId val="297414136"/>
        <c:axId val="297416096"/>
      </c:barChart>
      <c:catAx>
        <c:axId val="29741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16096"/>
        <c:crosses val="autoZero"/>
        <c:auto val="1"/>
        <c:lblAlgn val="ctr"/>
        <c:lblOffset val="100"/>
        <c:noMultiLvlLbl val="0"/>
      </c:catAx>
      <c:valAx>
        <c:axId val="297416096"/>
        <c:scaling>
          <c:orientation val="minMax"/>
        </c:scaling>
        <c:delete val="1"/>
        <c:axPos val="b"/>
        <c:numFmt formatCode="General" sourceLinked="1"/>
        <c:majorTickMark val="none"/>
        <c:minorTickMark val="none"/>
        <c:tickLblPos val="nextTo"/>
        <c:crossAx val="297414136"/>
        <c:crosses val="autoZero"/>
        <c:crossBetween val="between"/>
      </c:valAx>
      <c:spPr>
        <a:noFill/>
        <a:ln>
          <a:noFill/>
        </a:ln>
        <a:effectLst/>
      </c:spPr>
    </c:plotArea>
    <c:legend>
      <c:legendPos val="t"/>
      <c:layout>
        <c:manualLayout>
          <c:xMode val="edge"/>
          <c:yMode val="edge"/>
          <c:x val="0.25681132530847439"/>
          <c:y val="6.0420642783890428E-2"/>
          <c:w val="0.50050743657042873"/>
          <c:h val="2.4483305201648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t>Figure 18: Issues Raised in Cases relating to </a:t>
            </a:r>
            <a:r>
              <a:rPr lang="en-US" sz="1200" b="1" baseline="0"/>
              <a:t>Transmission Projects</a:t>
            </a:r>
            <a:endParaRPr lang="en-US" sz="1200" b="1"/>
          </a:p>
        </c:rich>
      </c:tx>
      <c:layout>
        <c:manualLayout>
          <c:xMode val="edge"/>
          <c:yMode val="edge"/>
          <c:x val="0.24429586387908409"/>
          <c:y val="9.6286107290233843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560352369746886"/>
          <c:y val="9.1633289648972702E-2"/>
          <c:w val="0.68828541593591119"/>
          <c:h val="0.87645713777303258"/>
        </c:manualLayout>
      </c:layout>
      <c:barChart>
        <c:barDir val="bar"/>
        <c:grouping val="clustered"/>
        <c:varyColors val="0"/>
        <c:ser>
          <c:idx val="0"/>
          <c:order val="0"/>
          <c:tx>
            <c:strRef>
              <c:f>'Annual Report Figure Data'!$D$203</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Data'!$B$204:$B$216</c:f>
              <c:strCache>
                <c:ptCount val="13"/>
                <c:pt idx="0">
                  <c:v>Technology Selection</c:v>
                </c:pt>
                <c:pt idx="1">
                  <c:v>Safety</c:v>
                </c:pt>
                <c:pt idx="2">
                  <c:v>Route Selection</c:v>
                </c:pt>
                <c:pt idx="3">
                  <c:v>Planning process</c:v>
                </c:pt>
                <c:pt idx="4">
                  <c:v>Noise</c:v>
                </c:pt>
                <c:pt idx="5">
                  <c:v>Natural Environment</c:v>
                </c:pt>
                <c:pt idx="6">
                  <c:v>Land Access</c:v>
                </c:pt>
                <c:pt idx="7">
                  <c:v>Health</c:v>
                </c:pt>
                <c:pt idx="8">
                  <c:v>Economic loss</c:v>
                </c:pt>
                <c:pt idx="9">
                  <c:v>Construction</c:v>
                </c:pt>
                <c:pt idx="10">
                  <c:v>Community engagement</c:v>
                </c:pt>
                <c:pt idx="11">
                  <c:v>Commercial agreement</c:v>
                </c:pt>
                <c:pt idx="12">
                  <c:v>Amenity</c:v>
                </c:pt>
              </c:strCache>
            </c:strRef>
          </c:cat>
          <c:val>
            <c:numRef>
              <c:f>'Annual Report Figure Data'!$D$204:$D$216</c:f>
              <c:numCache>
                <c:formatCode>General</c:formatCode>
                <c:ptCount val="13"/>
                <c:pt idx="0">
                  <c:v>15</c:v>
                </c:pt>
                <c:pt idx="1">
                  <c:v>8</c:v>
                </c:pt>
                <c:pt idx="2">
                  <c:v>19</c:v>
                </c:pt>
                <c:pt idx="3">
                  <c:v>8</c:v>
                </c:pt>
                <c:pt idx="4">
                  <c:v>1</c:v>
                </c:pt>
                <c:pt idx="5">
                  <c:v>16</c:v>
                </c:pt>
                <c:pt idx="6">
                  <c:v>11</c:v>
                </c:pt>
                <c:pt idx="7">
                  <c:v>8</c:v>
                </c:pt>
                <c:pt idx="8">
                  <c:v>19</c:v>
                </c:pt>
                <c:pt idx="9">
                  <c:v>0</c:v>
                </c:pt>
                <c:pt idx="10">
                  <c:v>23</c:v>
                </c:pt>
                <c:pt idx="11">
                  <c:v>4</c:v>
                </c:pt>
                <c:pt idx="12">
                  <c:v>18</c:v>
                </c:pt>
              </c:numCache>
            </c:numRef>
          </c:val>
          <c:extLst>
            <c:ext xmlns:c16="http://schemas.microsoft.com/office/drawing/2014/chart" uri="{C3380CC4-5D6E-409C-BE32-E72D297353CC}">
              <c16:uniqueId val="{00000000-C24B-45C1-97D4-52C3517890FF}"/>
            </c:ext>
          </c:extLst>
        </c:ser>
        <c:ser>
          <c:idx val="1"/>
          <c:order val="1"/>
          <c:tx>
            <c:strRef>
              <c:f>'Annual Report Figure Data'!$C$203</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Data'!$B$204:$B$216</c:f>
              <c:strCache>
                <c:ptCount val="13"/>
                <c:pt idx="0">
                  <c:v>Technology Selection</c:v>
                </c:pt>
                <c:pt idx="1">
                  <c:v>Safety</c:v>
                </c:pt>
                <c:pt idx="2">
                  <c:v>Route Selection</c:v>
                </c:pt>
                <c:pt idx="3">
                  <c:v>Planning process</c:v>
                </c:pt>
                <c:pt idx="4">
                  <c:v>Noise</c:v>
                </c:pt>
                <c:pt idx="5">
                  <c:v>Natural Environment</c:v>
                </c:pt>
                <c:pt idx="6">
                  <c:v>Land Access</c:v>
                </c:pt>
                <c:pt idx="7">
                  <c:v>Health</c:v>
                </c:pt>
                <c:pt idx="8">
                  <c:v>Economic loss</c:v>
                </c:pt>
                <c:pt idx="9">
                  <c:v>Construction</c:v>
                </c:pt>
                <c:pt idx="10">
                  <c:v>Community engagement</c:v>
                </c:pt>
                <c:pt idx="11">
                  <c:v>Commercial agreement</c:v>
                </c:pt>
                <c:pt idx="12">
                  <c:v>Amenity</c:v>
                </c:pt>
              </c:strCache>
            </c:strRef>
          </c:cat>
          <c:val>
            <c:numRef>
              <c:f>'Annual Report Figure Data'!$C$204:$C$216</c:f>
              <c:numCache>
                <c:formatCode>General</c:formatCode>
                <c:ptCount val="13"/>
                <c:pt idx="0">
                  <c:v>7</c:v>
                </c:pt>
                <c:pt idx="1">
                  <c:v>41</c:v>
                </c:pt>
                <c:pt idx="2">
                  <c:v>7</c:v>
                </c:pt>
                <c:pt idx="3">
                  <c:v>24</c:v>
                </c:pt>
                <c:pt idx="4">
                  <c:v>3</c:v>
                </c:pt>
                <c:pt idx="5">
                  <c:v>47</c:v>
                </c:pt>
                <c:pt idx="6">
                  <c:v>25</c:v>
                </c:pt>
                <c:pt idx="7">
                  <c:v>17</c:v>
                </c:pt>
                <c:pt idx="8">
                  <c:v>46</c:v>
                </c:pt>
                <c:pt idx="9">
                  <c:v>4</c:v>
                </c:pt>
                <c:pt idx="10">
                  <c:v>61</c:v>
                </c:pt>
                <c:pt idx="11">
                  <c:v>1</c:v>
                </c:pt>
                <c:pt idx="12">
                  <c:v>32</c:v>
                </c:pt>
              </c:numCache>
            </c:numRef>
          </c:val>
          <c:extLst>
            <c:ext xmlns:c16="http://schemas.microsoft.com/office/drawing/2014/chart" uri="{C3380CC4-5D6E-409C-BE32-E72D297353CC}">
              <c16:uniqueId val="{00000001-C24B-45C1-97D4-52C3517890FF}"/>
            </c:ext>
          </c:extLst>
        </c:ser>
        <c:dLbls>
          <c:showLegendKey val="0"/>
          <c:showVal val="0"/>
          <c:showCatName val="0"/>
          <c:showSerName val="0"/>
          <c:showPercent val="0"/>
          <c:showBubbleSize val="0"/>
        </c:dLbls>
        <c:gapWidth val="70"/>
        <c:overlap val="-10"/>
        <c:axId val="261006128"/>
        <c:axId val="435712960"/>
      </c:barChart>
      <c:catAx>
        <c:axId val="26100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12960"/>
        <c:crosses val="autoZero"/>
        <c:auto val="1"/>
        <c:lblAlgn val="ctr"/>
        <c:lblOffset val="100"/>
        <c:noMultiLvlLbl val="0"/>
      </c:catAx>
      <c:valAx>
        <c:axId val="435712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006128"/>
        <c:crosses val="autoZero"/>
        <c:crossBetween val="between"/>
      </c:valAx>
      <c:spPr>
        <a:noFill/>
        <a:ln>
          <a:noFill/>
        </a:ln>
        <a:effectLst/>
      </c:spPr>
    </c:plotArea>
    <c:legend>
      <c:legendPos val="b"/>
      <c:layout>
        <c:manualLayout>
          <c:xMode val="edge"/>
          <c:yMode val="edge"/>
          <c:x val="0.29824388330769003"/>
          <c:y val="5.9318957207377961E-2"/>
          <c:w val="0.12931728361541014"/>
          <c:h val="2.32119918985367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2: Number of Wind Farm Cases in 2022</a:t>
            </a:r>
            <a:r>
              <a:rPr lang="en-US" sz="1200" b="1" baseline="0"/>
              <a:t> Per</a:t>
            </a:r>
            <a:r>
              <a:rPr lang="en-US" sz="1200" b="1"/>
              <a:t> State</a:t>
            </a:r>
          </a:p>
          <a:p>
            <a:pPr>
              <a:defRPr/>
            </a:pPr>
            <a:r>
              <a:rPr lang="en-US" sz="1200" b="1"/>
              <a:t>Total: 29 Cases</a:t>
            </a:r>
          </a:p>
        </c:rich>
      </c:tx>
      <c:layout>
        <c:manualLayout>
          <c:xMode val="edge"/>
          <c:yMode val="edge"/>
          <c:x val="0.24937621832358678"/>
          <c:y val="2.1453248576486082E-2"/>
        </c:manualLayout>
      </c:layout>
      <c:overlay val="0"/>
      <c:spPr>
        <a:noFill/>
        <a:ln>
          <a:noFill/>
        </a:ln>
        <a:effectLst/>
      </c:spPr>
      <c:txPr>
        <a:bodyPr rot="0" spcFirstLastPara="1" vertOverflow="ellipsis" vert="horz" wrap="square" anchor="t"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72345781338736E-2"/>
          <c:y val="0.25955616013114641"/>
          <c:w val="0.93183404705990702"/>
          <c:h val="0.65983135828951622"/>
        </c:manualLayout>
      </c:layout>
      <c:barChart>
        <c:barDir val="col"/>
        <c:grouping val="stacked"/>
        <c:varyColors val="0"/>
        <c:ser>
          <c:idx val="0"/>
          <c:order val="0"/>
          <c:tx>
            <c:strRef>
              <c:f>'Annual Report Figure Data'!$C$16</c:f>
              <c:strCache>
                <c:ptCount val="1"/>
                <c:pt idx="0">
                  <c:v>Proposed Wind Farms</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Data'!$B$17:$B$19</c:f>
              <c:strCache>
                <c:ptCount val="3"/>
                <c:pt idx="0">
                  <c:v>Victoria</c:v>
                </c:pt>
                <c:pt idx="1">
                  <c:v>New South Wales</c:v>
                </c:pt>
                <c:pt idx="2">
                  <c:v>Queensland</c:v>
                </c:pt>
              </c:strCache>
            </c:strRef>
          </c:cat>
          <c:val>
            <c:numRef>
              <c:f>'Annual Report Figure Data'!$C$17:$C$19</c:f>
              <c:numCache>
                <c:formatCode>General</c:formatCode>
                <c:ptCount val="3"/>
                <c:pt idx="0">
                  <c:v>10</c:v>
                </c:pt>
                <c:pt idx="1">
                  <c:v>11</c:v>
                </c:pt>
                <c:pt idx="2">
                  <c:v>3</c:v>
                </c:pt>
              </c:numCache>
            </c:numRef>
          </c:val>
          <c:extLst>
            <c:ext xmlns:c16="http://schemas.microsoft.com/office/drawing/2014/chart" uri="{C3380CC4-5D6E-409C-BE32-E72D297353CC}">
              <c16:uniqueId val="{00000000-D1B3-4852-8DC9-FB871447A5D7}"/>
            </c:ext>
          </c:extLst>
        </c:ser>
        <c:ser>
          <c:idx val="1"/>
          <c:order val="1"/>
          <c:tx>
            <c:strRef>
              <c:f>'Annual Report Figure Data'!$D$16</c:f>
              <c:strCache>
                <c:ptCount val="1"/>
                <c:pt idx="0">
                  <c:v>Operating Wind Farms</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Data'!$B$17:$B$19</c:f>
              <c:strCache>
                <c:ptCount val="3"/>
                <c:pt idx="0">
                  <c:v>Victoria</c:v>
                </c:pt>
                <c:pt idx="1">
                  <c:v>New South Wales</c:v>
                </c:pt>
                <c:pt idx="2">
                  <c:v>Queensland</c:v>
                </c:pt>
              </c:strCache>
            </c:strRef>
          </c:cat>
          <c:val>
            <c:numRef>
              <c:f>'Annual Report Figure Data'!$D$17:$D$19</c:f>
              <c:numCache>
                <c:formatCode>General</c:formatCode>
                <c:ptCount val="3"/>
                <c:pt idx="0">
                  <c:v>5</c:v>
                </c:pt>
              </c:numCache>
            </c:numRef>
          </c:val>
          <c:extLst>
            <c:ext xmlns:c16="http://schemas.microsoft.com/office/drawing/2014/chart" uri="{C3380CC4-5D6E-409C-BE32-E72D297353CC}">
              <c16:uniqueId val="{00000001-D1B3-4852-8DC9-FB871447A5D7}"/>
            </c:ext>
          </c:extLst>
        </c:ser>
        <c:dLbls>
          <c:showLegendKey val="0"/>
          <c:showVal val="0"/>
          <c:showCatName val="0"/>
          <c:showSerName val="0"/>
          <c:showPercent val="0"/>
          <c:showBubbleSize val="0"/>
        </c:dLbls>
        <c:gapWidth val="150"/>
        <c:overlap val="100"/>
        <c:axId val="1963602752"/>
        <c:axId val="1963601920"/>
      </c:barChart>
      <c:catAx>
        <c:axId val="19636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601920"/>
        <c:crosses val="autoZero"/>
        <c:auto val="1"/>
        <c:lblAlgn val="ctr"/>
        <c:lblOffset val="100"/>
        <c:noMultiLvlLbl val="0"/>
      </c:catAx>
      <c:valAx>
        <c:axId val="1963601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602752"/>
        <c:crosses val="autoZero"/>
        <c:crossBetween val="between"/>
      </c:valAx>
      <c:spPr>
        <a:noFill/>
        <a:ln>
          <a:noFill/>
        </a:ln>
        <a:effectLst/>
      </c:spPr>
    </c:plotArea>
    <c:legend>
      <c:legendPos val="b"/>
      <c:layout>
        <c:manualLayout>
          <c:xMode val="edge"/>
          <c:yMode val="edge"/>
          <c:x val="0.24521066445641662"/>
          <c:y val="0.1838960470850235"/>
          <c:w val="0.50568003560958386"/>
          <c:h val="7.50005249343832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3: Total Number of Wind Farm Projects in which cases were received in 2022 (Per State)</a:t>
            </a:r>
          </a:p>
          <a:p>
            <a:pPr>
              <a:defRPr/>
            </a:pPr>
            <a:r>
              <a:rPr lang="en-US" sz="1200" b="1"/>
              <a:t>Total: 19 Wind</a:t>
            </a:r>
            <a:r>
              <a:rPr lang="en-US" sz="1200" b="1" baseline="0"/>
              <a:t> Farms</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72345781338736E-2"/>
          <c:y val="0.28764514435695532"/>
          <c:w val="0.93183404705990702"/>
          <c:h val="0.63570603674540682"/>
        </c:manualLayout>
      </c:layout>
      <c:barChart>
        <c:barDir val="col"/>
        <c:grouping val="stacked"/>
        <c:varyColors val="0"/>
        <c:ser>
          <c:idx val="0"/>
          <c:order val="0"/>
          <c:tx>
            <c:strRef>
              <c:f>'Annual Report Figure Data'!$C$25</c:f>
              <c:strCache>
                <c:ptCount val="1"/>
                <c:pt idx="0">
                  <c:v>Proposed Wind Farms</c:v>
                </c:pt>
              </c:strCache>
            </c:strRef>
          </c:tx>
          <c:spPr>
            <a:solidFill>
              <a:schemeClr val="accent1"/>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Data'!$B$26:$B$28</c:f>
              <c:strCache>
                <c:ptCount val="3"/>
                <c:pt idx="0">
                  <c:v>Victoria</c:v>
                </c:pt>
                <c:pt idx="1">
                  <c:v>New South Wales</c:v>
                </c:pt>
                <c:pt idx="2">
                  <c:v>Queensland</c:v>
                </c:pt>
              </c:strCache>
            </c:strRef>
          </c:cat>
          <c:val>
            <c:numRef>
              <c:f>'Annual Report Figure Data'!$C$26:$C$28</c:f>
              <c:numCache>
                <c:formatCode>General</c:formatCode>
                <c:ptCount val="3"/>
                <c:pt idx="0">
                  <c:v>6</c:v>
                </c:pt>
                <c:pt idx="1">
                  <c:v>7</c:v>
                </c:pt>
                <c:pt idx="2">
                  <c:v>2</c:v>
                </c:pt>
              </c:numCache>
            </c:numRef>
          </c:val>
          <c:extLst>
            <c:ext xmlns:c16="http://schemas.microsoft.com/office/drawing/2014/chart" uri="{C3380CC4-5D6E-409C-BE32-E72D297353CC}">
              <c16:uniqueId val="{00000000-47CF-4251-BCAA-8716D21EF468}"/>
            </c:ext>
          </c:extLst>
        </c:ser>
        <c:ser>
          <c:idx val="1"/>
          <c:order val="1"/>
          <c:tx>
            <c:strRef>
              <c:f>'Annual Report Figure Data'!$D$25</c:f>
              <c:strCache>
                <c:ptCount val="1"/>
                <c:pt idx="0">
                  <c:v>Operating Wind Farms</c:v>
                </c:pt>
              </c:strCache>
            </c:strRef>
          </c:tx>
          <c:spPr>
            <a:solidFill>
              <a:schemeClr val="accent2"/>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Data'!$B$26:$B$28</c:f>
              <c:strCache>
                <c:ptCount val="3"/>
                <c:pt idx="0">
                  <c:v>Victoria</c:v>
                </c:pt>
                <c:pt idx="1">
                  <c:v>New South Wales</c:v>
                </c:pt>
                <c:pt idx="2">
                  <c:v>Queensland</c:v>
                </c:pt>
              </c:strCache>
            </c:strRef>
          </c:cat>
          <c:val>
            <c:numRef>
              <c:f>'Annual Report Figure Data'!$D$26:$D$28</c:f>
              <c:numCache>
                <c:formatCode>General</c:formatCode>
                <c:ptCount val="3"/>
                <c:pt idx="0">
                  <c:v>4</c:v>
                </c:pt>
              </c:numCache>
            </c:numRef>
          </c:val>
          <c:extLst>
            <c:ext xmlns:c16="http://schemas.microsoft.com/office/drawing/2014/chart" uri="{C3380CC4-5D6E-409C-BE32-E72D297353CC}">
              <c16:uniqueId val="{00000001-47CF-4251-BCAA-8716D21EF468}"/>
            </c:ext>
          </c:extLst>
        </c:ser>
        <c:dLbls>
          <c:showLegendKey val="0"/>
          <c:showVal val="1"/>
          <c:showCatName val="0"/>
          <c:showSerName val="0"/>
          <c:showPercent val="0"/>
          <c:showBubbleSize val="0"/>
        </c:dLbls>
        <c:gapWidth val="150"/>
        <c:overlap val="100"/>
        <c:axId val="1963602752"/>
        <c:axId val="1963601920"/>
      </c:barChart>
      <c:catAx>
        <c:axId val="19636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601920"/>
        <c:crosses val="autoZero"/>
        <c:auto val="1"/>
        <c:lblAlgn val="ctr"/>
        <c:lblOffset val="100"/>
        <c:noMultiLvlLbl val="0"/>
      </c:catAx>
      <c:valAx>
        <c:axId val="1963601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602752"/>
        <c:crosses val="autoZero"/>
        <c:crossBetween val="between"/>
      </c:valAx>
      <c:spPr>
        <a:noFill/>
        <a:ln>
          <a:noFill/>
        </a:ln>
        <a:effectLst/>
      </c:spPr>
    </c:plotArea>
    <c:legend>
      <c:legendPos val="b"/>
      <c:layout>
        <c:manualLayout>
          <c:xMode val="edge"/>
          <c:yMode val="edge"/>
          <c:x val="0.24715998219520804"/>
          <c:y val="0.20716220472440944"/>
          <c:w val="0.50762935334837533"/>
          <c:h val="7.65832453380359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4: Number of Large-scale Transmission </a:t>
            </a:r>
            <a:r>
              <a:rPr lang="en-AU" sz="1200" b="1"/>
              <a:t>Cases Per State</a:t>
            </a:r>
          </a:p>
          <a:p>
            <a:pPr>
              <a:defRPr/>
            </a:pPr>
            <a:r>
              <a:rPr lang="en-AU" sz="1200" b="1"/>
              <a:t>Total: 44 Cases</a:t>
            </a:r>
            <a:endParaRPr lang="en-US" sz="1200" b="1"/>
          </a:p>
        </c:rich>
      </c:tx>
      <c:layout>
        <c:manualLayout>
          <c:xMode val="edge"/>
          <c:yMode val="edge"/>
          <c:x val="0.25403100775193793"/>
          <c:y val="3.12540810447474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'Annual Report Figure Data'!$C$34</c:f>
              <c:strCache>
                <c:ptCount val="1"/>
                <c:pt idx="0">
                  <c:v>Number of Cases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Data'!$B$35:$B$36</c:f>
              <c:strCache>
                <c:ptCount val="2"/>
                <c:pt idx="0">
                  <c:v>Victoria</c:v>
                </c:pt>
                <c:pt idx="1">
                  <c:v>New South Wales</c:v>
                </c:pt>
              </c:strCache>
            </c:strRef>
          </c:cat>
          <c:val>
            <c:numRef>
              <c:f>'Annual Report Figure Data'!$C$35:$C$36</c:f>
              <c:numCache>
                <c:formatCode>General</c:formatCode>
                <c:ptCount val="2"/>
                <c:pt idx="0">
                  <c:v>29</c:v>
                </c:pt>
                <c:pt idx="1">
                  <c:v>15</c:v>
                </c:pt>
              </c:numCache>
            </c:numRef>
          </c:val>
          <c:extLst>
            <c:ext xmlns:c16="http://schemas.microsoft.com/office/drawing/2014/chart" uri="{C3380CC4-5D6E-409C-BE32-E72D297353CC}">
              <c16:uniqueId val="{00000000-4A3C-4DCD-9F3F-BFE49F84918B}"/>
            </c:ext>
          </c:extLst>
        </c:ser>
        <c:dLbls>
          <c:showLegendKey val="0"/>
          <c:showVal val="0"/>
          <c:showCatName val="0"/>
          <c:showSerName val="0"/>
          <c:showPercent val="0"/>
          <c:showBubbleSize val="0"/>
        </c:dLbls>
        <c:gapWidth val="219"/>
        <c:axId val="155628832"/>
        <c:axId val="155625088"/>
      </c:barChart>
      <c:catAx>
        <c:axId val="15562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5088"/>
        <c:crosses val="autoZero"/>
        <c:auto val="1"/>
        <c:lblAlgn val="ctr"/>
        <c:lblOffset val="100"/>
        <c:noMultiLvlLbl val="0"/>
      </c:catAx>
      <c:valAx>
        <c:axId val="1556250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2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AU" sz="1200" b="1">
                <a:solidFill>
                  <a:schemeClr val="tx1">
                    <a:lumMod val="65000"/>
                    <a:lumOff val="35000"/>
                  </a:schemeClr>
                </a:solidFill>
              </a:rPr>
              <a:t>Figure 5: Total Number of Case Opened per Year (2015-22)</a:t>
            </a:r>
          </a:p>
        </c:rich>
      </c:tx>
      <c:layout>
        <c:manualLayout>
          <c:xMode val="edge"/>
          <c:yMode val="edge"/>
          <c:x val="0.19391533070174563"/>
          <c:y val="2.55427841634738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2.2502457027945188E-2"/>
          <c:y val="0.16725417439703158"/>
          <c:w val="0.95602784452372835"/>
          <c:h val="0.7270646958603858"/>
        </c:manualLayout>
      </c:layout>
      <c:lineChart>
        <c:grouping val="stacked"/>
        <c:varyColors val="0"/>
        <c:ser>
          <c:idx val="1"/>
          <c:order val="0"/>
          <c:tx>
            <c:strRef>
              <c:f>'Annual Report Figure Data'!$B$43</c:f>
              <c:strCache>
                <c:ptCount val="1"/>
                <c:pt idx="0">
                  <c:v>Total Cases Received per Year</c:v>
                </c:pt>
              </c:strCache>
            </c:strRef>
          </c:tx>
          <c:spPr>
            <a:ln w="63500" cap="rnd" cmpd="sng" algn="ctr">
              <a:solidFill>
                <a:schemeClr val="accent1"/>
              </a:solidFill>
              <a:round/>
            </a:ln>
            <a:effectLst/>
          </c:spPr>
          <c:marker>
            <c:symbol val="circle"/>
            <c:size val="29"/>
            <c:spPr>
              <a:solidFill>
                <a:schemeClr val="bg1"/>
              </a:solidFill>
              <a:ln w="63500" cap="flat" cmpd="sng" algn="ctr">
                <a:solidFill>
                  <a:schemeClr val="accent1"/>
                </a:solidFill>
                <a:round/>
              </a:ln>
              <a:effectLst/>
            </c:spPr>
          </c:marker>
          <c:dPt>
            <c:idx val="1"/>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1-AD29-4F91-971B-8224A80E75F3}"/>
              </c:ext>
            </c:extLst>
          </c:dPt>
          <c:dPt>
            <c:idx val="2"/>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3-AD29-4F91-971B-8224A80E75F3}"/>
              </c:ext>
            </c:extLst>
          </c:dPt>
          <c:dPt>
            <c:idx val="3"/>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5-AD29-4F91-971B-8224A80E75F3}"/>
              </c:ext>
            </c:extLst>
          </c:dPt>
          <c:dPt>
            <c:idx val="4"/>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7-AD29-4F91-971B-8224A80E75F3}"/>
              </c:ext>
            </c:extLst>
          </c:dPt>
          <c:dPt>
            <c:idx val="5"/>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9-AD29-4F91-971B-8224A80E75F3}"/>
              </c:ext>
            </c:extLst>
          </c:dPt>
          <c:dPt>
            <c:idx val="6"/>
            <c:marker>
              <c:symbol val="circle"/>
              <c:size val="29"/>
              <c:spPr>
                <a:solidFill>
                  <a:schemeClr val="bg1"/>
                </a:solidFill>
                <a:ln w="63500" cap="flat" cmpd="sng" algn="ctr">
                  <a:solidFill>
                    <a:schemeClr val="accent1"/>
                  </a:solidFill>
                  <a:round/>
                </a:ln>
                <a:effectLst/>
              </c:spPr>
            </c:marker>
            <c:bubble3D val="0"/>
            <c:spPr>
              <a:ln w="63500" cap="rnd" cmpd="sng" algn="ctr">
                <a:solidFill>
                  <a:schemeClr val="accent1"/>
                </a:solidFill>
                <a:round/>
              </a:ln>
              <a:effectLst/>
            </c:spPr>
            <c:extLst>
              <c:ext xmlns:c16="http://schemas.microsoft.com/office/drawing/2014/chart" uri="{C3380CC4-5D6E-409C-BE32-E72D297353CC}">
                <c16:uniqueId val="{0000000B-AD29-4F91-971B-8224A80E75F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'Annual Report Figure Data'!$C$42:$I$42</c:f>
              <c:strCache>
                <c:ptCount val="7"/>
                <c:pt idx="0">
                  <c:v>2015-16*</c:v>
                </c:pt>
                <c:pt idx="1">
                  <c:v>2017</c:v>
                </c:pt>
                <c:pt idx="2">
                  <c:v>2018</c:v>
                </c:pt>
                <c:pt idx="3">
                  <c:v>2019</c:v>
                </c:pt>
                <c:pt idx="4">
                  <c:v>2020</c:v>
                </c:pt>
                <c:pt idx="5">
                  <c:v>2021</c:v>
                </c:pt>
                <c:pt idx="6">
                  <c:v>2022</c:v>
                </c:pt>
              </c:strCache>
            </c:strRef>
          </c:cat>
          <c:val>
            <c:numRef>
              <c:f>'Annual Report Figure Data'!$C$43:$I$43</c:f>
              <c:numCache>
                <c:formatCode>General</c:formatCode>
                <c:ptCount val="7"/>
                <c:pt idx="0">
                  <c:v>91</c:v>
                </c:pt>
                <c:pt idx="1">
                  <c:v>72</c:v>
                </c:pt>
                <c:pt idx="2">
                  <c:v>123</c:v>
                </c:pt>
                <c:pt idx="3">
                  <c:v>75</c:v>
                </c:pt>
                <c:pt idx="4">
                  <c:v>164</c:v>
                </c:pt>
                <c:pt idx="5">
                  <c:v>212</c:v>
                </c:pt>
                <c:pt idx="6">
                  <c:v>87</c:v>
                </c:pt>
              </c:numCache>
            </c:numRef>
          </c:val>
          <c:smooth val="0"/>
          <c:extLst>
            <c:ext xmlns:c16="http://schemas.microsoft.com/office/drawing/2014/chart" uri="{C3380CC4-5D6E-409C-BE32-E72D297353CC}">
              <c16:uniqueId val="{0000000C-9C2A-4497-B900-8F0FF4A96A62}"/>
            </c:ext>
          </c:extLst>
        </c:ser>
        <c:dLbls>
          <c:showLegendKey val="0"/>
          <c:showVal val="1"/>
          <c:showCatName val="0"/>
          <c:showSerName val="0"/>
          <c:showPercent val="0"/>
          <c:showBubbleSize val="0"/>
        </c:dLbls>
        <c:marker val="1"/>
        <c:smooth val="0"/>
        <c:axId val="297411784"/>
        <c:axId val="297413352"/>
      </c:lineChart>
      <c:catAx>
        <c:axId val="297411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spc="20" baseline="0">
                <a:solidFill>
                  <a:schemeClr val="dk1">
                    <a:lumMod val="65000"/>
                    <a:lumOff val="35000"/>
                  </a:schemeClr>
                </a:solidFill>
                <a:latin typeface="+mn-lt"/>
                <a:ea typeface="+mn-ea"/>
                <a:cs typeface="+mn-cs"/>
              </a:defRPr>
            </a:pPr>
            <a:endParaRPr lang="en-US"/>
          </a:p>
        </c:txPr>
        <c:crossAx val="297413352"/>
        <c:crosses val="autoZero"/>
        <c:auto val="1"/>
        <c:lblAlgn val="ctr"/>
        <c:lblOffset val="100"/>
        <c:noMultiLvlLbl val="0"/>
      </c:catAx>
      <c:valAx>
        <c:axId val="297413352"/>
        <c:scaling>
          <c:orientation val="minMax"/>
        </c:scaling>
        <c:delete val="1"/>
        <c:axPos val="l"/>
        <c:numFmt formatCode="General" sourceLinked="1"/>
        <c:majorTickMark val="none"/>
        <c:minorTickMark val="none"/>
        <c:tickLblPos val="nextTo"/>
        <c:crossAx val="2974117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AU" sz="1200" b="1">
                <a:solidFill>
                  <a:schemeClr val="tx1">
                    <a:lumMod val="65000"/>
                    <a:lumOff val="35000"/>
                  </a:schemeClr>
                </a:solidFill>
              </a:rPr>
              <a:t>Figure 6: Total Number of Case Closed per Year (2015-22)</a:t>
            </a:r>
          </a:p>
        </c:rich>
      </c:tx>
      <c:layout>
        <c:manualLayout>
          <c:xMode val="edge"/>
          <c:yMode val="edge"/>
          <c:x val="0.19831162414349812"/>
          <c:y val="1.574803149606299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2.2502457027945188E-2"/>
          <c:y val="0.16725417439703158"/>
          <c:w val="0.95602784452372835"/>
          <c:h val="0.72808685603719336"/>
        </c:manualLayout>
      </c:layout>
      <c:lineChart>
        <c:grouping val="stacked"/>
        <c:varyColors val="0"/>
        <c:ser>
          <c:idx val="1"/>
          <c:order val="0"/>
          <c:tx>
            <c:strRef>
              <c:f>'Annual Report Figure Data'!$B$45</c:f>
              <c:strCache>
                <c:ptCount val="1"/>
                <c:pt idx="0">
                  <c:v>Total Cases Closed per Year</c:v>
                </c:pt>
              </c:strCache>
            </c:strRef>
          </c:tx>
          <c:spPr>
            <a:ln w="63500" cap="rnd" cmpd="sng" algn="ctr">
              <a:solidFill>
                <a:schemeClr val="accent2"/>
              </a:solidFill>
              <a:round/>
            </a:ln>
            <a:effectLst/>
          </c:spPr>
          <c:marker>
            <c:symbol val="circle"/>
            <c:size val="29"/>
            <c:spPr>
              <a:solidFill>
                <a:schemeClr val="bg1"/>
              </a:solidFill>
              <a:ln w="63500"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'Annual Report Figure Data'!$C$44:$I$44</c:f>
              <c:strCache>
                <c:ptCount val="7"/>
                <c:pt idx="0">
                  <c:v>2015-16*</c:v>
                </c:pt>
                <c:pt idx="1">
                  <c:v>2017</c:v>
                </c:pt>
                <c:pt idx="2">
                  <c:v>2018</c:v>
                </c:pt>
                <c:pt idx="3">
                  <c:v>2019</c:v>
                </c:pt>
                <c:pt idx="4">
                  <c:v>2020</c:v>
                </c:pt>
                <c:pt idx="5">
                  <c:v>2021</c:v>
                </c:pt>
                <c:pt idx="6">
                  <c:v>2022</c:v>
                </c:pt>
              </c:strCache>
            </c:strRef>
          </c:cat>
          <c:val>
            <c:numRef>
              <c:f>'Annual Report Figure Data'!$C$45:$I$45</c:f>
              <c:numCache>
                <c:formatCode>General</c:formatCode>
                <c:ptCount val="7"/>
                <c:pt idx="0">
                  <c:v>68</c:v>
                </c:pt>
                <c:pt idx="1">
                  <c:v>77</c:v>
                </c:pt>
                <c:pt idx="2">
                  <c:v>122</c:v>
                </c:pt>
                <c:pt idx="3">
                  <c:v>80</c:v>
                </c:pt>
                <c:pt idx="4">
                  <c:v>151</c:v>
                </c:pt>
                <c:pt idx="5">
                  <c:v>167</c:v>
                </c:pt>
                <c:pt idx="6">
                  <c:v>138</c:v>
                </c:pt>
              </c:numCache>
            </c:numRef>
          </c:val>
          <c:smooth val="0"/>
          <c:extLst>
            <c:ext xmlns:c16="http://schemas.microsoft.com/office/drawing/2014/chart" uri="{C3380CC4-5D6E-409C-BE32-E72D297353CC}">
              <c16:uniqueId val="{0000000C-776F-4272-A783-85FD14311D56}"/>
            </c:ext>
          </c:extLst>
        </c:ser>
        <c:dLbls>
          <c:showLegendKey val="0"/>
          <c:showVal val="1"/>
          <c:showCatName val="0"/>
          <c:showSerName val="0"/>
          <c:showPercent val="0"/>
          <c:showBubbleSize val="0"/>
        </c:dLbls>
        <c:marker val="1"/>
        <c:smooth val="0"/>
        <c:axId val="297411784"/>
        <c:axId val="297413352"/>
      </c:lineChart>
      <c:catAx>
        <c:axId val="297411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spc="20" baseline="0">
                <a:solidFill>
                  <a:schemeClr val="dk1">
                    <a:lumMod val="65000"/>
                    <a:lumOff val="35000"/>
                  </a:schemeClr>
                </a:solidFill>
                <a:latin typeface="+mn-lt"/>
                <a:ea typeface="+mn-ea"/>
                <a:cs typeface="+mn-cs"/>
              </a:defRPr>
            </a:pPr>
            <a:endParaRPr lang="en-US"/>
          </a:p>
        </c:txPr>
        <c:crossAx val="297413352"/>
        <c:crosses val="autoZero"/>
        <c:auto val="1"/>
        <c:lblAlgn val="ctr"/>
        <c:lblOffset val="100"/>
        <c:noMultiLvlLbl val="0"/>
      </c:catAx>
      <c:valAx>
        <c:axId val="297413352"/>
        <c:scaling>
          <c:orientation val="minMax"/>
        </c:scaling>
        <c:delete val="1"/>
        <c:axPos val="l"/>
        <c:numFmt formatCode="General" sourceLinked="1"/>
        <c:majorTickMark val="none"/>
        <c:minorTickMark val="none"/>
        <c:tickLblPos val="nextTo"/>
        <c:crossAx val="2974117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spc="120" normalizeH="0" baseline="0">
                <a:solidFill>
                  <a:schemeClr val="tx1">
                    <a:lumMod val="65000"/>
                    <a:lumOff val="35000"/>
                  </a:schemeClr>
                </a:solidFill>
                <a:latin typeface="+mn-lt"/>
                <a:ea typeface="+mn-ea"/>
                <a:cs typeface="+mn-cs"/>
              </a:defRPr>
            </a:pPr>
            <a:r>
              <a:rPr lang="en-AU" sz="1200" b="1" kern="1200" cap="none" spc="0" baseline="0">
                <a:latin typeface="Calibri" panose="020F0502020204030204" pitchFamily="34" charset="0"/>
              </a:rPr>
              <a:t>Figure 7: Cases by Development Stage Per Year (2015-22)</a:t>
            </a:r>
          </a:p>
        </c:rich>
      </c:tx>
      <c:overlay val="0"/>
      <c:spPr>
        <a:noFill/>
        <a:ln>
          <a:noFill/>
        </a:ln>
        <a:effectLst/>
      </c:spPr>
      <c:txPr>
        <a:bodyPr rot="0" spcFirstLastPara="1" vertOverflow="ellipsis" vert="horz" wrap="square" anchor="ctr" anchorCtr="1"/>
        <a:lstStyle/>
        <a:p>
          <a:pPr algn="ct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066743273005843E-2"/>
          <c:y val="0.14880969711651004"/>
          <c:w val="0.95786651345398832"/>
          <c:h val="0.75917227917875452"/>
        </c:manualLayout>
      </c:layout>
      <c:barChart>
        <c:barDir val="col"/>
        <c:grouping val="clustered"/>
        <c:varyColors val="0"/>
        <c:ser>
          <c:idx val="0"/>
          <c:order val="0"/>
          <c:tx>
            <c:strRef>
              <c:f>'Annual Report Figure Data'!$C$48</c:f>
              <c:strCache>
                <c:ptCount val="1"/>
                <c:pt idx="0">
                  <c:v>2015-16*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Data'!$C$49:$C$54</c:f>
              <c:numCache>
                <c:formatCode>General</c:formatCode>
                <c:ptCount val="6"/>
                <c:pt idx="0">
                  <c:v>46</c:v>
                </c:pt>
                <c:pt idx="1">
                  <c:v>43</c:v>
                </c:pt>
                <c:pt idx="5">
                  <c:v>2</c:v>
                </c:pt>
              </c:numCache>
            </c:numRef>
          </c:val>
          <c:extLst>
            <c:ext xmlns:c16="http://schemas.microsoft.com/office/drawing/2014/chart" uri="{C3380CC4-5D6E-409C-BE32-E72D297353CC}">
              <c16:uniqueId val="{00000000-65ED-4C63-8559-0F6EDFDB4FFB}"/>
            </c:ext>
          </c:extLst>
        </c:ser>
        <c:ser>
          <c:idx val="1"/>
          <c:order val="1"/>
          <c:tx>
            <c:strRef>
              <c:f>'Annual Report Figure Data'!$D$48</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Data'!$D$49:$D$54</c:f>
              <c:numCache>
                <c:formatCode>General</c:formatCode>
                <c:ptCount val="6"/>
                <c:pt idx="0">
                  <c:v>11</c:v>
                </c:pt>
                <c:pt idx="1">
                  <c:v>53</c:v>
                </c:pt>
                <c:pt idx="5">
                  <c:v>8</c:v>
                </c:pt>
              </c:numCache>
            </c:numRef>
          </c:val>
          <c:extLst>
            <c:ext xmlns:c16="http://schemas.microsoft.com/office/drawing/2014/chart" uri="{C3380CC4-5D6E-409C-BE32-E72D297353CC}">
              <c16:uniqueId val="{00000001-65ED-4C63-8559-0F6EDFDB4FFB}"/>
            </c:ext>
          </c:extLst>
        </c:ser>
        <c:ser>
          <c:idx val="2"/>
          <c:order val="2"/>
          <c:tx>
            <c:strRef>
              <c:f>'Annual Report Figure Data'!$E$48</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Data'!$E$49:$E$54</c:f>
              <c:numCache>
                <c:formatCode>General</c:formatCode>
                <c:ptCount val="6"/>
                <c:pt idx="0">
                  <c:v>8</c:v>
                </c:pt>
                <c:pt idx="1">
                  <c:v>94</c:v>
                </c:pt>
                <c:pt idx="2">
                  <c:v>3</c:v>
                </c:pt>
                <c:pt idx="5">
                  <c:v>18</c:v>
                </c:pt>
              </c:numCache>
            </c:numRef>
          </c:val>
          <c:extLst>
            <c:ext xmlns:c16="http://schemas.microsoft.com/office/drawing/2014/chart" uri="{C3380CC4-5D6E-409C-BE32-E72D297353CC}">
              <c16:uniqueId val="{00000002-65ED-4C63-8559-0F6EDFDB4FFB}"/>
            </c:ext>
          </c:extLst>
        </c:ser>
        <c:ser>
          <c:idx val="3"/>
          <c:order val="3"/>
          <c:tx>
            <c:strRef>
              <c:f>'Annual Report Figure Data'!$F$48</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Data'!$F$49:$F$54</c:f>
              <c:numCache>
                <c:formatCode>General</c:formatCode>
                <c:ptCount val="6"/>
                <c:pt idx="0">
                  <c:v>5</c:v>
                </c:pt>
                <c:pt idx="1">
                  <c:v>44</c:v>
                </c:pt>
                <c:pt idx="2">
                  <c:v>3</c:v>
                </c:pt>
                <c:pt idx="5">
                  <c:v>23</c:v>
                </c:pt>
              </c:numCache>
            </c:numRef>
          </c:val>
          <c:extLst>
            <c:ext xmlns:c16="http://schemas.microsoft.com/office/drawing/2014/chart" uri="{C3380CC4-5D6E-409C-BE32-E72D297353CC}">
              <c16:uniqueId val="{00000003-65ED-4C63-8559-0F6EDFDB4FFB}"/>
            </c:ext>
          </c:extLst>
        </c:ser>
        <c:ser>
          <c:idx val="4"/>
          <c:order val="4"/>
          <c:tx>
            <c:strRef>
              <c:f>'Annual Report Figure Data'!$G$48</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Data'!$G$49:$G$54</c:f>
              <c:numCache>
                <c:formatCode>General</c:formatCode>
                <c:ptCount val="6"/>
                <c:pt idx="0">
                  <c:v>9</c:v>
                </c:pt>
                <c:pt idx="1">
                  <c:v>122</c:v>
                </c:pt>
                <c:pt idx="2">
                  <c:v>1</c:v>
                </c:pt>
                <c:pt idx="5">
                  <c:v>32</c:v>
                </c:pt>
              </c:numCache>
            </c:numRef>
          </c:val>
          <c:extLst>
            <c:ext xmlns:c16="http://schemas.microsoft.com/office/drawing/2014/chart" uri="{C3380CC4-5D6E-409C-BE32-E72D297353CC}">
              <c16:uniqueId val="{00000004-65ED-4C63-8559-0F6EDFDB4FFB}"/>
            </c:ext>
          </c:extLst>
        </c:ser>
        <c:ser>
          <c:idx val="5"/>
          <c:order val="5"/>
          <c:tx>
            <c:strRef>
              <c:f>'Annual Report Figure Data'!$H$48</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Data'!$H$49:$H$54</c:f>
              <c:numCache>
                <c:formatCode>General</c:formatCode>
                <c:ptCount val="6"/>
                <c:pt idx="0">
                  <c:v>14</c:v>
                </c:pt>
                <c:pt idx="1">
                  <c:v>49</c:v>
                </c:pt>
                <c:pt idx="2">
                  <c:v>8</c:v>
                </c:pt>
                <c:pt idx="4">
                  <c:v>111</c:v>
                </c:pt>
                <c:pt idx="5">
                  <c:v>30</c:v>
                </c:pt>
              </c:numCache>
            </c:numRef>
          </c:val>
          <c:extLst>
            <c:ext xmlns:c16="http://schemas.microsoft.com/office/drawing/2014/chart" uri="{C3380CC4-5D6E-409C-BE32-E72D297353CC}">
              <c16:uniqueId val="{00000005-65ED-4C63-8559-0F6EDFDB4FFB}"/>
            </c:ext>
          </c:extLst>
        </c:ser>
        <c:ser>
          <c:idx val="6"/>
          <c:order val="6"/>
          <c:tx>
            <c:strRef>
              <c:f>'Annual Report Figure Data'!$I$48</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Data'!$B$49:$B$54</c:f>
              <c:strCache>
                <c:ptCount val="6"/>
                <c:pt idx="0">
                  <c:v>Operating Wind Farms</c:v>
                </c:pt>
                <c:pt idx="1">
                  <c:v>Proposed Wind Farms</c:v>
                </c:pt>
                <c:pt idx="2">
                  <c:v>Proposed Solar Farms</c:v>
                </c:pt>
                <c:pt idx="3">
                  <c:v>Proposed Storage Facility</c:v>
                </c:pt>
                <c:pt idx="4">
                  <c:v>Proposed Transmission</c:v>
                </c:pt>
                <c:pt idx="5">
                  <c:v>Enquiries</c:v>
                </c:pt>
              </c:strCache>
            </c:strRef>
          </c:cat>
          <c:val>
            <c:numRef>
              <c:f>'Annual Report Figure Data'!$I$49:$I$54</c:f>
              <c:numCache>
                <c:formatCode>General</c:formatCode>
                <c:ptCount val="6"/>
                <c:pt idx="0">
                  <c:v>5</c:v>
                </c:pt>
                <c:pt idx="1">
                  <c:v>24</c:v>
                </c:pt>
                <c:pt idx="2">
                  <c:v>2</c:v>
                </c:pt>
                <c:pt idx="3">
                  <c:v>2</c:v>
                </c:pt>
                <c:pt idx="4">
                  <c:v>44</c:v>
                </c:pt>
                <c:pt idx="5">
                  <c:v>10</c:v>
                </c:pt>
              </c:numCache>
            </c:numRef>
          </c:val>
          <c:extLst>
            <c:ext xmlns:c16="http://schemas.microsoft.com/office/drawing/2014/chart" uri="{C3380CC4-5D6E-409C-BE32-E72D297353CC}">
              <c16:uniqueId val="{00000006-65ED-4C63-8559-0F6EDFDB4FFB}"/>
            </c:ext>
          </c:extLst>
        </c:ser>
        <c:dLbls>
          <c:dLblPos val="outEnd"/>
          <c:showLegendKey val="0"/>
          <c:showVal val="1"/>
          <c:showCatName val="0"/>
          <c:showSerName val="0"/>
          <c:showPercent val="0"/>
          <c:showBubbleSize val="0"/>
        </c:dLbls>
        <c:gapWidth val="444"/>
        <c:overlap val="-20"/>
        <c:axId val="297414528"/>
        <c:axId val="297416880"/>
      </c:barChart>
      <c:catAx>
        <c:axId val="29741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75000"/>
                    <a:lumOff val="25000"/>
                  </a:schemeClr>
                </a:solidFill>
                <a:latin typeface="+mn-lt"/>
                <a:ea typeface="+mn-ea"/>
                <a:cs typeface="Arial" panose="020B0604020202020204" pitchFamily="34" charset="0"/>
              </a:defRPr>
            </a:pPr>
            <a:endParaRPr lang="en-US"/>
          </a:p>
        </c:txPr>
        <c:crossAx val="297416880"/>
        <c:crosses val="autoZero"/>
        <c:auto val="1"/>
        <c:lblAlgn val="ctr"/>
        <c:lblOffset val="100"/>
        <c:noMultiLvlLbl val="0"/>
      </c:catAx>
      <c:valAx>
        <c:axId val="297416880"/>
        <c:scaling>
          <c:orientation val="minMax"/>
        </c:scaling>
        <c:delete val="1"/>
        <c:axPos val="l"/>
        <c:numFmt formatCode="General" sourceLinked="1"/>
        <c:majorTickMark val="none"/>
        <c:minorTickMark val="none"/>
        <c:tickLblPos val="nextTo"/>
        <c:crossAx val="297414528"/>
        <c:crosses val="autoZero"/>
        <c:crossBetween val="between"/>
      </c:valAx>
      <c:spPr>
        <a:noFill/>
        <a:ln>
          <a:noFill/>
        </a:ln>
        <a:effectLst/>
      </c:spPr>
    </c:plotArea>
    <c:legend>
      <c:legendPos val="t"/>
      <c:layout>
        <c:manualLayout>
          <c:xMode val="edge"/>
          <c:yMode val="edge"/>
          <c:x val="0.2576470242282628"/>
          <c:y val="8.139736119732556E-2"/>
          <c:w val="0.49006779208617307"/>
          <c:h val="4.99190004740015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spc="120" normalizeH="0" baseline="0">
                <a:solidFill>
                  <a:schemeClr val="tx1">
                    <a:lumMod val="65000"/>
                    <a:lumOff val="35000"/>
                  </a:schemeClr>
                </a:solidFill>
                <a:latin typeface="+mn-lt"/>
                <a:ea typeface="+mn-ea"/>
                <a:cs typeface="+mn-cs"/>
              </a:defRPr>
            </a:pPr>
            <a:r>
              <a:rPr lang="en-AU" sz="1200" b="1" kern="1200" cap="none" spc="0" baseline="0">
                <a:latin typeface="Calibri" panose="020F0502020204030204" pitchFamily="34" charset="0"/>
              </a:rPr>
              <a:t>Figure 8: Total Number of Cases Per State each Year (2015-22)</a:t>
            </a:r>
          </a:p>
        </c:rich>
      </c:tx>
      <c:overlay val="0"/>
      <c:spPr>
        <a:noFill/>
        <a:ln>
          <a:noFill/>
        </a:ln>
        <a:effectLst/>
      </c:spPr>
      <c:txPr>
        <a:bodyPr rot="0" spcFirstLastPara="1" vertOverflow="ellipsis" vert="horz" wrap="square" anchor="ctr" anchorCtr="1"/>
        <a:lstStyle/>
        <a:p>
          <a:pPr algn="ct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066743273005843E-2"/>
          <c:y val="0.14880969711651004"/>
          <c:w val="0.95786651345398832"/>
          <c:h val="0.75917227917875452"/>
        </c:manualLayout>
      </c:layout>
      <c:barChart>
        <c:barDir val="col"/>
        <c:grouping val="clustered"/>
        <c:varyColors val="0"/>
        <c:ser>
          <c:idx val="0"/>
          <c:order val="0"/>
          <c:tx>
            <c:strRef>
              <c:f>'Annual Report Figure Data'!$C$60</c:f>
              <c:strCache>
                <c:ptCount val="1"/>
                <c:pt idx="0">
                  <c:v>2015-16*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Data'!$C$61:$C$66</c:f>
              <c:numCache>
                <c:formatCode>General</c:formatCode>
                <c:ptCount val="6"/>
                <c:pt idx="0">
                  <c:v>40</c:v>
                </c:pt>
                <c:pt idx="1">
                  <c:v>24</c:v>
                </c:pt>
                <c:pt idx="2">
                  <c:v>2</c:v>
                </c:pt>
                <c:pt idx="3">
                  <c:v>23</c:v>
                </c:pt>
              </c:numCache>
            </c:numRef>
          </c:val>
          <c:extLst>
            <c:ext xmlns:c16="http://schemas.microsoft.com/office/drawing/2014/chart" uri="{C3380CC4-5D6E-409C-BE32-E72D297353CC}">
              <c16:uniqueId val="{00000000-0363-4566-B5DB-E8FC28F935F4}"/>
            </c:ext>
          </c:extLst>
        </c:ser>
        <c:ser>
          <c:idx val="1"/>
          <c:order val="1"/>
          <c:tx>
            <c:strRef>
              <c:f>'Annual Report Figure Data'!$D$60</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Data'!$D$61:$D$66</c:f>
              <c:numCache>
                <c:formatCode>General</c:formatCode>
                <c:ptCount val="6"/>
                <c:pt idx="0">
                  <c:v>48</c:v>
                </c:pt>
                <c:pt idx="1">
                  <c:v>11</c:v>
                </c:pt>
                <c:pt idx="2">
                  <c:v>3</c:v>
                </c:pt>
                <c:pt idx="3">
                  <c:v>1</c:v>
                </c:pt>
                <c:pt idx="4">
                  <c:v>1</c:v>
                </c:pt>
              </c:numCache>
            </c:numRef>
          </c:val>
          <c:extLst>
            <c:ext xmlns:c16="http://schemas.microsoft.com/office/drawing/2014/chart" uri="{C3380CC4-5D6E-409C-BE32-E72D297353CC}">
              <c16:uniqueId val="{00000001-0363-4566-B5DB-E8FC28F935F4}"/>
            </c:ext>
          </c:extLst>
        </c:ser>
        <c:ser>
          <c:idx val="2"/>
          <c:order val="2"/>
          <c:tx>
            <c:strRef>
              <c:f>'Annual Report Figure Data'!$E$60</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Data'!$E$61:$E$66</c:f>
              <c:numCache>
                <c:formatCode>General</c:formatCode>
                <c:ptCount val="6"/>
                <c:pt idx="0">
                  <c:v>77</c:v>
                </c:pt>
                <c:pt idx="1">
                  <c:v>13</c:v>
                </c:pt>
                <c:pt idx="2">
                  <c:v>1</c:v>
                </c:pt>
                <c:pt idx="3">
                  <c:v>11</c:v>
                </c:pt>
                <c:pt idx="4">
                  <c:v>2</c:v>
                </c:pt>
                <c:pt idx="5">
                  <c:v>1</c:v>
                </c:pt>
              </c:numCache>
            </c:numRef>
          </c:val>
          <c:extLst>
            <c:ext xmlns:c16="http://schemas.microsoft.com/office/drawing/2014/chart" uri="{C3380CC4-5D6E-409C-BE32-E72D297353CC}">
              <c16:uniqueId val="{00000002-0363-4566-B5DB-E8FC28F935F4}"/>
            </c:ext>
          </c:extLst>
        </c:ser>
        <c:ser>
          <c:idx val="3"/>
          <c:order val="3"/>
          <c:tx>
            <c:strRef>
              <c:f>'Annual Report Figure Data'!$F$60</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Data'!$F$61:$F$66</c:f>
              <c:numCache>
                <c:formatCode>General</c:formatCode>
                <c:ptCount val="6"/>
                <c:pt idx="0">
                  <c:v>27</c:v>
                </c:pt>
                <c:pt idx="1">
                  <c:v>5</c:v>
                </c:pt>
                <c:pt idx="2">
                  <c:v>5</c:v>
                </c:pt>
                <c:pt idx="3">
                  <c:v>9</c:v>
                </c:pt>
                <c:pt idx="4">
                  <c:v>6</c:v>
                </c:pt>
              </c:numCache>
            </c:numRef>
          </c:val>
          <c:extLst>
            <c:ext xmlns:c16="http://schemas.microsoft.com/office/drawing/2014/chart" uri="{C3380CC4-5D6E-409C-BE32-E72D297353CC}">
              <c16:uniqueId val="{00000003-0363-4566-B5DB-E8FC28F935F4}"/>
            </c:ext>
          </c:extLst>
        </c:ser>
        <c:ser>
          <c:idx val="4"/>
          <c:order val="4"/>
          <c:tx>
            <c:strRef>
              <c:f>'Annual Report Figure Data'!$G$60</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Data'!$G$61:$G$66</c:f>
              <c:numCache>
                <c:formatCode>General</c:formatCode>
                <c:ptCount val="6"/>
                <c:pt idx="0">
                  <c:v>43</c:v>
                </c:pt>
                <c:pt idx="1">
                  <c:v>45</c:v>
                </c:pt>
                <c:pt idx="2">
                  <c:v>42</c:v>
                </c:pt>
                <c:pt idx="3">
                  <c:v>1</c:v>
                </c:pt>
                <c:pt idx="4">
                  <c:v>1</c:v>
                </c:pt>
              </c:numCache>
            </c:numRef>
          </c:val>
          <c:extLst>
            <c:ext xmlns:c16="http://schemas.microsoft.com/office/drawing/2014/chart" uri="{C3380CC4-5D6E-409C-BE32-E72D297353CC}">
              <c16:uniqueId val="{00000004-0363-4566-B5DB-E8FC28F935F4}"/>
            </c:ext>
          </c:extLst>
        </c:ser>
        <c:ser>
          <c:idx val="5"/>
          <c:order val="5"/>
          <c:tx>
            <c:strRef>
              <c:f>'Annual Report Figure Data'!$H$60</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Data'!$H$61:$H$66</c:f>
              <c:numCache>
                <c:formatCode>General</c:formatCode>
                <c:ptCount val="6"/>
                <c:pt idx="0">
                  <c:v>113</c:v>
                </c:pt>
                <c:pt idx="1">
                  <c:v>59</c:v>
                </c:pt>
                <c:pt idx="2">
                  <c:v>6</c:v>
                </c:pt>
                <c:pt idx="4">
                  <c:v>4</c:v>
                </c:pt>
              </c:numCache>
            </c:numRef>
          </c:val>
          <c:extLst>
            <c:ext xmlns:c16="http://schemas.microsoft.com/office/drawing/2014/chart" uri="{C3380CC4-5D6E-409C-BE32-E72D297353CC}">
              <c16:uniqueId val="{00000005-0363-4566-B5DB-E8FC28F935F4}"/>
            </c:ext>
          </c:extLst>
        </c:ser>
        <c:ser>
          <c:idx val="6"/>
          <c:order val="6"/>
          <c:tx>
            <c:strRef>
              <c:f>'Annual Report Figure Data'!$I$60</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Report Figure Data'!$B$61:$B$66</c:f>
              <c:strCache>
                <c:ptCount val="6"/>
                <c:pt idx="0">
                  <c:v>Victoria</c:v>
                </c:pt>
                <c:pt idx="1">
                  <c:v>New South Wales</c:v>
                </c:pt>
                <c:pt idx="2">
                  <c:v>Queensland</c:v>
                </c:pt>
                <c:pt idx="3">
                  <c:v>South Australia</c:v>
                </c:pt>
                <c:pt idx="4">
                  <c:v>Tasmainia</c:v>
                </c:pt>
                <c:pt idx="5">
                  <c:v>Western Australia</c:v>
                </c:pt>
              </c:strCache>
            </c:strRef>
          </c:cat>
          <c:val>
            <c:numRef>
              <c:f>'Annual Report Figure Data'!$I$61:$I$66</c:f>
              <c:numCache>
                <c:formatCode>General</c:formatCode>
                <c:ptCount val="6"/>
                <c:pt idx="0">
                  <c:v>45</c:v>
                </c:pt>
                <c:pt idx="1">
                  <c:v>29</c:v>
                </c:pt>
                <c:pt idx="2">
                  <c:v>3</c:v>
                </c:pt>
              </c:numCache>
            </c:numRef>
          </c:val>
          <c:extLst>
            <c:ext xmlns:c16="http://schemas.microsoft.com/office/drawing/2014/chart" uri="{C3380CC4-5D6E-409C-BE32-E72D297353CC}">
              <c16:uniqueId val="{00000006-0363-4566-B5DB-E8FC28F935F4}"/>
            </c:ext>
          </c:extLst>
        </c:ser>
        <c:dLbls>
          <c:dLblPos val="outEnd"/>
          <c:showLegendKey val="0"/>
          <c:showVal val="1"/>
          <c:showCatName val="0"/>
          <c:showSerName val="0"/>
          <c:showPercent val="0"/>
          <c:showBubbleSize val="0"/>
        </c:dLbls>
        <c:gapWidth val="444"/>
        <c:overlap val="-20"/>
        <c:axId val="297414528"/>
        <c:axId val="297416880"/>
      </c:barChart>
      <c:catAx>
        <c:axId val="29741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75000"/>
                    <a:lumOff val="25000"/>
                  </a:schemeClr>
                </a:solidFill>
                <a:latin typeface="+mn-lt"/>
                <a:ea typeface="+mn-ea"/>
                <a:cs typeface="Arial" panose="020B0604020202020204" pitchFamily="34" charset="0"/>
              </a:defRPr>
            </a:pPr>
            <a:endParaRPr lang="en-US"/>
          </a:p>
        </c:txPr>
        <c:crossAx val="297416880"/>
        <c:crosses val="autoZero"/>
        <c:auto val="1"/>
        <c:lblAlgn val="ctr"/>
        <c:lblOffset val="100"/>
        <c:noMultiLvlLbl val="0"/>
      </c:catAx>
      <c:valAx>
        <c:axId val="297416880"/>
        <c:scaling>
          <c:orientation val="minMax"/>
        </c:scaling>
        <c:delete val="1"/>
        <c:axPos val="l"/>
        <c:numFmt formatCode="General" sourceLinked="1"/>
        <c:majorTickMark val="none"/>
        <c:minorTickMark val="none"/>
        <c:tickLblPos val="nextTo"/>
        <c:crossAx val="297414528"/>
        <c:crosses val="autoZero"/>
        <c:crossBetween val="between"/>
      </c:valAx>
      <c:spPr>
        <a:noFill/>
        <a:ln>
          <a:noFill/>
        </a:ln>
        <a:effectLst/>
      </c:spPr>
    </c:plotArea>
    <c:legend>
      <c:legendPos val="t"/>
      <c:layout>
        <c:manualLayout>
          <c:xMode val="edge"/>
          <c:yMode val="edge"/>
          <c:x val="0.2576470242282628"/>
          <c:y val="8.139736119732556E-2"/>
          <c:w val="0.49006779208617307"/>
          <c:h val="4.99190004740015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9: Total</a:t>
            </a:r>
            <a:r>
              <a:rPr lang="en-US" sz="1200" b="1" baseline="0"/>
              <a:t> </a:t>
            </a:r>
            <a:r>
              <a:rPr lang="en-US" sz="1200" b="1" i="0" u="none" strike="noStrike" baseline="0">
                <a:effectLst/>
              </a:rPr>
              <a:t>Number of Wind Farm Cases Per State </a:t>
            </a:r>
            <a:r>
              <a:rPr lang="en-AU" sz="1200" b="1" i="0" u="none" strike="noStrike" baseline="0">
                <a:effectLst/>
              </a:rPr>
              <a:t>Since Inception</a:t>
            </a:r>
            <a:endParaRPr lang="en-US" sz="1200" b="1" i="0" u="none" strike="noStrike" baseline="0">
              <a:effectLst/>
            </a:endParaRPr>
          </a:p>
          <a:p>
            <a:pPr>
              <a:defRPr/>
            </a:pPr>
            <a:r>
              <a:rPr lang="en-US" sz="1200" b="1" i="0" u="none" strike="noStrike" baseline="0">
                <a:effectLst/>
              </a:rPr>
              <a:t>(Nov 2015 - Dec 2022)</a:t>
            </a:r>
            <a:endParaRPr lang="en-US" sz="1200" b="1"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531160794681685E-2"/>
          <c:y val="0.2217077011714999"/>
          <c:w val="0.9230576469912064"/>
          <c:h val="0.68984264771781578"/>
        </c:manualLayout>
      </c:layout>
      <c:barChart>
        <c:barDir val="col"/>
        <c:grouping val="clustered"/>
        <c:varyColors val="0"/>
        <c:ser>
          <c:idx val="0"/>
          <c:order val="0"/>
          <c:tx>
            <c:strRef>
              <c:f>'Annual Report Figure Data'!$B$73</c:f>
              <c:strCache>
                <c:ptCount val="1"/>
                <c:pt idx="0">
                  <c:v>Victoria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Data'!$C$73:$D$73</c:f>
              <c:numCache>
                <c:formatCode>General</c:formatCode>
                <c:ptCount val="2"/>
                <c:pt idx="0">
                  <c:v>213</c:v>
                </c:pt>
                <c:pt idx="1">
                  <c:v>60</c:v>
                </c:pt>
              </c:numCache>
            </c:numRef>
          </c:val>
          <c:extLst>
            <c:ext xmlns:c16="http://schemas.microsoft.com/office/drawing/2014/chart" uri="{C3380CC4-5D6E-409C-BE32-E72D297353CC}">
              <c16:uniqueId val="{00000000-965B-4254-B2CC-078F89447E4E}"/>
            </c:ext>
          </c:extLst>
        </c:ser>
        <c:ser>
          <c:idx val="1"/>
          <c:order val="1"/>
          <c:tx>
            <c:strRef>
              <c:f>'Annual Report Figure Data'!$B$74</c:f>
              <c:strCache>
                <c:ptCount val="1"/>
                <c:pt idx="0">
                  <c:v>New South Wales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Data'!$C$74:$D$74</c:f>
              <c:numCache>
                <c:formatCode>General</c:formatCode>
                <c:ptCount val="2"/>
                <c:pt idx="0">
                  <c:v>125</c:v>
                </c:pt>
                <c:pt idx="1">
                  <c:v>15</c:v>
                </c:pt>
              </c:numCache>
            </c:numRef>
          </c:val>
          <c:extLst>
            <c:ext xmlns:c16="http://schemas.microsoft.com/office/drawing/2014/chart" uri="{C3380CC4-5D6E-409C-BE32-E72D297353CC}">
              <c16:uniqueId val="{00000001-965B-4254-B2CC-078F89447E4E}"/>
            </c:ext>
          </c:extLst>
        </c:ser>
        <c:ser>
          <c:idx val="2"/>
          <c:order val="2"/>
          <c:tx>
            <c:strRef>
              <c:f>'Annual Report Figure Data'!$B$75</c:f>
              <c:strCache>
                <c:ptCount val="1"/>
                <c:pt idx="0">
                  <c:v>South Australia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Data'!$C$75:$D$75</c:f>
              <c:numCache>
                <c:formatCode>General</c:formatCode>
                <c:ptCount val="2"/>
                <c:pt idx="0">
                  <c:v>27</c:v>
                </c:pt>
                <c:pt idx="1">
                  <c:v>18</c:v>
                </c:pt>
              </c:numCache>
            </c:numRef>
          </c:val>
          <c:extLst>
            <c:ext xmlns:c16="http://schemas.microsoft.com/office/drawing/2014/chart" uri="{C3380CC4-5D6E-409C-BE32-E72D297353CC}">
              <c16:uniqueId val="{00000002-965B-4254-B2CC-078F89447E4E}"/>
            </c:ext>
          </c:extLst>
        </c:ser>
        <c:ser>
          <c:idx val="3"/>
          <c:order val="3"/>
          <c:tx>
            <c:strRef>
              <c:f>'Annual Report Figure Data'!$B$76</c:f>
              <c:strCache>
                <c:ptCount val="1"/>
                <c:pt idx="0">
                  <c:v>Queensland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Data'!$C$76:$D$76</c:f>
              <c:numCache>
                <c:formatCode>General</c:formatCode>
                <c:ptCount val="2"/>
                <c:pt idx="0">
                  <c:v>50</c:v>
                </c:pt>
                <c:pt idx="1">
                  <c:v>4</c:v>
                </c:pt>
              </c:numCache>
            </c:numRef>
          </c:val>
          <c:extLst>
            <c:ext xmlns:c16="http://schemas.microsoft.com/office/drawing/2014/chart" uri="{C3380CC4-5D6E-409C-BE32-E72D297353CC}">
              <c16:uniqueId val="{00000003-965B-4254-B2CC-078F89447E4E}"/>
            </c:ext>
          </c:extLst>
        </c:ser>
        <c:ser>
          <c:idx val="4"/>
          <c:order val="4"/>
          <c:tx>
            <c:strRef>
              <c:f>'Annual Report Figure Data'!$B$77</c:f>
              <c:strCache>
                <c:ptCount val="1"/>
                <c:pt idx="0">
                  <c:v>Tasmania</c:v>
                </c:pt>
              </c:strCache>
            </c:strRef>
          </c:tx>
          <c:spPr>
            <a:solidFill>
              <a:schemeClr val="accent5"/>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5B-4254-B2CC-078F89447E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Data'!$C$77:$D$77</c:f>
              <c:numCache>
                <c:formatCode>General</c:formatCode>
                <c:ptCount val="2"/>
                <c:pt idx="0">
                  <c:v>14</c:v>
                </c:pt>
              </c:numCache>
            </c:numRef>
          </c:val>
          <c:extLst>
            <c:ext xmlns:c16="http://schemas.microsoft.com/office/drawing/2014/chart" uri="{C3380CC4-5D6E-409C-BE32-E72D297353CC}">
              <c16:uniqueId val="{00000004-965B-4254-B2CC-078F89447E4E}"/>
            </c:ext>
          </c:extLst>
        </c:ser>
        <c:ser>
          <c:idx val="5"/>
          <c:order val="5"/>
          <c:tx>
            <c:strRef>
              <c:f>'Annual Report Figure Data'!$B$78</c:f>
              <c:strCache>
                <c:ptCount val="1"/>
                <c:pt idx="0">
                  <c:v>Western Australia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Figure Data'!$C$72:$D$72</c:f>
              <c:strCache>
                <c:ptCount val="2"/>
                <c:pt idx="0">
                  <c:v>Proposed Wind Farms</c:v>
                </c:pt>
                <c:pt idx="1">
                  <c:v>Operating Wind Farms</c:v>
                </c:pt>
              </c:strCache>
            </c:strRef>
          </c:cat>
          <c:val>
            <c:numRef>
              <c:f>'Annual Report Figure Data'!$C$78:$D$78</c:f>
              <c:numCache>
                <c:formatCode>General</c:formatCode>
                <c:ptCount val="2"/>
                <c:pt idx="0">
                  <c:v>1</c:v>
                </c:pt>
              </c:numCache>
            </c:numRef>
          </c:val>
          <c:extLst>
            <c:ext xmlns:c16="http://schemas.microsoft.com/office/drawing/2014/chart" uri="{C3380CC4-5D6E-409C-BE32-E72D297353CC}">
              <c16:uniqueId val="{00000005-965B-4254-B2CC-078F89447E4E}"/>
            </c:ext>
          </c:extLst>
        </c:ser>
        <c:dLbls>
          <c:showLegendKey val="0"/>
          <c:showVal val="0"/>
          <c:showCatName val="0"/>
          <c:showSerName val="0"/>
          <c:showPercent val="0"/>
          <c:showBubbleSize val="0"/>
        </c:dLbls>
        <c:gapWidth val="133"/>
        <c:overlap val="-5"/>
        <c:axId val="1960350032"/>
        <c:axId val="1960347536"/>
      </c:barChart>
      <c:valAx>
        <c:axId val="1960347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0350032"/>
        <c:crosses val="autoZero"/>
        <c:crossBetween val="between"/>
      </c:valAx>
      <c:catAx>
        <c:axId val="19603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0347536"/>
        <c:crosses val="autoZero"/>
        <c:auto val="1"/>
        <c:lblAlgn val="ctr"/>
        <c:lblOffset val="100"/>
        <c:noMultiLvlLbl val="0"/>
      </c:catAx>
      <c:spPr>
        <a:noFill/>
        <a:ln>
          <a:noFill/>
        </a:ln>
        <a:effectLst/>
      </c:spPr>
    </c:plotArea>
    <c:legend>
      <c:legendPos val="b"/>
      <c:layout>
        <c:manualLayout>
          <c:xMode val="edge"/>
          <c:yMode val="edge"/>
          <c:x val="0.12094856205291768"/>
          <c:y val="0.14512150586546901"/>
          <c:w val="0.756363998803947"/>
          <c:h val="5.49230857940967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2" ma:contentTypeDescription="Create a new document." ma:contentTypeScope="" ma:versionID="c33b9310f5eac76302940cbac52fb5c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6d0b423179acbbff209fe84a55cb49e"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75FF6-5B6A-4A4E-A668-2312F3F006A8}">
  <ds:schemaRefs>
    <ds:schemaRef ds:uri="http://schemas.microsoft.com/sharepoint/v3/contenttype/forms"/>
  </ds:schemaRefs>
</ds:datastoreItem>
</file>

<file path=customXml/itemProps2.xml><?xml version="1.0" encoding="utf-8"?>
<ds:datastoreItem xmlns:ds="http://schemas.openxmlformats.org/officeDocument/2006/customXml" ds:itemID="{B8DA8E20-377E-4D37-9A08-B9409F44FEA0}">
  <ds:schemaRefs>
    <ds:schemaRef ds:uri="http://purl.org/dc/elements/1.1/"/>
    <ds:schemaRef ds:uri="http://schemas.microsoft.com/office/infopath/2007/PartnerControls"/>
    <ds:schemaRef ds:uri="http://www.w3.org/XML/1998/namespace"/>
    <ds:schemaRef ds:uri="http://schemas.microsoft.com/office/2006/documentManagement/types"/>
    <ds:schemaRef ds:uri="b98728ac-f998-415c-abee-6b046fb1441e"/>
    <ds:schemaRef ds:uri="http://purl.org/dc/dcmitype/"/>
    <ds:schemaRef ds:uri="http://purl.org/dc/terms/"/>
    <ds:schemaRef ds:uri="http://schemas.openxmlformats.org/package/2006/metadata/core-properties"/>
    <ds:schemaRef ds:uri="d869c146-c82e-4435-92e4-da91542262fd"/>
    <ds:schemaRef ds:uri="81c01dc6-2c49-4730-b140-874c95cac377"/>
    <ds:schemaRef ds:uri="http://schemas.microsoft.com/office/2006/metadata/properties"/>
  </ds:schemaRefs>
</ds:datastoreItem>
</file>

<file path=customXml/itemProps3.xml><?xml version="1.0" encoding="utf-8"?>
<ds:datastoreItem xmlns:ds="http://schemas.openxmlformats.org/officeDocument/2006/customXml" ds:itemID="{FADD4444-9551-4719-919E-8B4C7059E15D}">
  <ds:schemaRefs>
    <ds:schemaRef ds:uri="http://schemas.openxmlformats.org/officeDocument/2006/bibliography"/>
  </ds:schemaRefs>
</ds:datastoreItem>
</file>

<file path=customXml/itemProps4.xml><?xml version="1.0" encoding="utf-8"?>
<ds:datastoreItem xmlns:ds="http://schemas.openxmlformats.org/officeDocument/2006/customXml" ds:itemID="{2A789145-1ADC-4513-B6A3-DB4EEE290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728ac-f998-415c-abee-6b046fb1441e"/>
    <ds:schemaRef ds:uri="81c01dc6-2c49-4730-b140-874c95cac377"/>
    <ds:schemaRef ds:uri="d869c146-c82e-4435-92e4-da9154226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101</Pages>
  <Words>43384</Words>
  <Characters>247293</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AEIC 2022 Annual Report</vt:lpstr>
    </vt:vector>
  </TitlesOfParts>
  <Company/>
  <LinksUpToDate>false</LinksUpToDate>
  <CharactersWithSpaces>290097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AEIC 2022 Annual Report</dc:title>
  <dc:subject/>
  <dc:creator>Office of the Australian Energy Infrastructure Commissioner</dc:creator>
  <cp:keywords/>
  <dc:description/>
  <cp:lastModifiedBy>Nguyen, Lien</cp:lastModifiedBy>
  <cp:revision>35</cp:revision>
  <cp:lastPrinted>2023-06-29T04:33:00Z</cp:lastPrinted>
  <dcterms:created xsi:type="dcterms:W3CDTF">2023-05-19T01:07:00Z</dcterms:created>
  <dcterms:modified xsi:type="dcterms:W3CDTF">2023-06-30T00:01:00Z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RecordPoint_WorkflowType">
    <vt:lpwstr>ActiveSubmitStub</vt:lpwstr>
  </property>
  <property fmtid="{D5CDD505-2E9C-101B-9397-08002B2CF9AE}" pid="4" name="RecordPoint_ActiveItemSiteId">
    <vt:lpwstr>{22ddc83e-3d55-4f4b-84b0-b8f29513b89f}</vt:lpwstr>
  </property>
  <property fmtid="{D5CDD505-2E9C-101B-9397-08002B2CF9AE}" pid="5" name="RecordPoint_ActiveItemListId">
    <vt:lpwstr>{eba0daa3-7a6b-4345-a184-35bbfa05a52e}</vt:lpwstr>
  </property>
  <property fmtid="{D5CDD505-2E9C-101B-9397-08002B2CF9AE}" pid="6" name="RecordPoint_ActiveItemUniqueId">
    <vt:lpwstr>{c7f303cf-4e73-4432-adbf-b63f54c0b646}</vt:lpwstr>
  </property>
  <property fmtid="{D5CDD505-2E9C-101B-9397-08002B2CF9AE}" pid="7" name="RecordPoint_ActiveItemWebId">
    <vt:lpwstr>{c7ab633b-628c-4474-be8c-b698d69082f2}</vt:lpwstr>
  </property>
  <property fmtid="{D5CDD505-2E9C-101B-9397-08002B2CF9AE}" pid="8" name="DocHub_Year">
    <vt:lpwstr/>
  </property>
  <property fmtid="{D5CDD505-2E9C-101B-9397-08002B2CF9AE}" pid="9" name="DocHub_DocumentType">
    <vt:lpwstr>107;#Publication|06e93801-71cb-48e6-a8b7-fc1a9a5a1404</vt:lpwstr>
  </property>
  <property fmtid="{D5CDD505-2E9C-101B-9397-08002B2CF9AE}" pid="10" name="DocHub_SecurityClassification">
    <vt:lpwstr>1;#OFFICIAL|6106d03b-a1a0-4e30-9d91-d5e9fb4314f9</vt:lpwstr>
  </property>
  <property fmtid="{D5CDD505-2E9C-101B-9397-08002B2CF9AE}" pid="11" name="DocHub_Keywords">
    <vt:lpwstr/>
  </property>
  <property fmtid="{D5CDD505-2E9C-101B-9397-08002B2CF9AE}" pid="12" name="DocHub_WorkActivity">
    <vt:lpwstr>17;#Reporting|12af97d0-e555-43d0-b3d2-0f0b8e33cc04</vt:lpwstr>
  </property>
  <property fmtid="{D5CDD505-2E9C-101B-9397-08002B2CF9AE}" pid="13" name="_CopySource">
    <vt:lpwstr/>
  </property>
  <property fmtid="{D5CDD505-2E9C-101B-9397-08002B2CF9AE}" pid="14" name="MediaServiceImageTags">
    <vt:lpwstr/>
  </property>
</Properties>
</file>