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5253687" w:displacedByCustomXml="next"/>
    <w:bookmarkStart w:id="1" w:name="_Toc84430828" w:displacedByCustomXml="next"/>
    <w:sdt>
      <w:sdtPr>
        <w:id w:val="1020360"/>
        <w:docPartObj>
          <w:docPartGallery w:val="Cover Pages"/>
          <w:docPartUnique/>
        </w:docPartObj>
      </w:sdtPr>
      <w:sdtEndPr>
        <w:rPr>
          <w:b/>
          <w:bCs/>
        </w:rPr>
      </w:sdtEndPr>
      <w:sdtContent>
        <w:p w14:paraId="5B83F889" w14:textId="12991330" w:rsidR="00BB56D2" w:rsidRDefault="00BB56D2" w:rsidP="00F55004">
          <w:pPr>
            <w:spacing w:before="11" w:after="50"/>
            <w:ind w:left="3974" w:right="3917"/>
            <w:jc w:val="center"/>
            <w:textAlignment w:val="baseline"/>
            <w:rPr>
              <w:rFonts w:ascii="Times New Roman" w:eastAsia="Times New Roman" w:hAnsi="Times New Roman"/>
              <w:color w:val="000000"/>
              <w:spacing w:val="5"/>
              <w:sz w:val="21"/>
              <w:lang w:val="en-US"/>
            </w:rPr>
          </w:pPr>
        </w:p>
        <w:p w14:paraId="1FCD8421" w14:textId="1581C12A" w:rsidR="00F55004" w:rsidRDefault="00911853" w:rsidP="00F55004">
          <w:pPr>
            <w:spacing w:before="111" w:after="1774" w:line="233" w:lineRule="exact"/>
            <w:jc w:val="center"/>
            <w:textAlignment w:val="baseline"/>
            <w:rPr>
              <w:rFonts w:eastAsia="Arial"/>
              <w:b/>
              <w:color w:val="210403"/>
              <w:spacing w:val="21"/>
              <w:w w:val="90"/>
              <w:sz w:val="64"/>
              <w:lang w:val="en-US"/>
            </w:rPr>
          </w:pPr>
          <w:r>
            <w:rPr>
              <w:noProof/>
            </w:rPr>
            <w:drawing>
              <wp:anchor distT="0" distB="0" distL="114300" distR="114300" simplePos="0" relativeHeight="251659274" behindDoc="0" locked="0" layoutInCell="1" allowOverlap="1" wp14:anchorId="28F33A43" wp14:editId="4B6E4EAA">
                <wp:simplePos x="0" y="0"/>
                <wp:positionH relativeFrom="column">
                  <wp:posOffset>1655445</wp:posOffset>
                </wp:positionH>
                <wp:positionV relativeFrom="paragraph">
                  <wp:posOffset>220980</wp:posOffset>
                </wp:positionV>
                <wp:extent cx="3330575" cy="1274445"/>
                <wp:effectExtent l="0" t="0" r="3175" b="1905"/>
                <wp:wrapSquare wrapText="bothSides"/>
                <wp:docPr id="150416902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69022" name="Picture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0575"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85030" w14:textId="77777777" w:rsidR="00F55004" w:rsidRDefault="00F55004" w:rsidP="00C11DD7">
          <w:pPr>
            <w:spacing w:before="5" w:after="93" w:line="696" w:lineRule="exact"/>
            <w:jc w:val="center"/>
            <w:textAlignment w:val="baseline"/>
            <w:rPr>
              <w:rFonts w:eastAsia="Arial"/>
              <w:b/>
              <w:color w:val="210403"/>
              <w:spacing w:val="21"/>
              <w:w w:val="90"/>
              <w:sz w:val="64"/>
              <w:lang w:val="en-US"/>
            </w:rPr>
          </w:pPr>
        </w:p>
        <w:p w14:paraId="031A69B1" w14:textId="77777777" w:rsidR="00911853" w:rsidRDefault="00911853" w:rsidP="00C11DD7">
          <w:pPr>
            <w:spacing w:before="5" w:after="93" w:line="696" w:lineRule="exact"/>
            <w:jc w:val="center"/>
            <w:textAlignment w:val="baseline"/>
            <w:rPr>
              <w:rFonts w:eastAsia="Arial"/>
              <w:b/>
              <w:color w:val="210403"/>
              <w:spacing w:val="21"/>
              <w:w w:val="90"/>
              <w:sz w:val="64"/>
              <w:lang w:val="en-US"/>
            </w:rPr>
          </w:pPr>
        </w:p>
        <w:p w14:paraId="0E41EB14" w14:textId="77777777" w:rsidR="00911853" w:rsidRDefault="00911853" w:rsidP="00C11DD7">
          <w:pPr>
            <w:spacing w:before="5" w:after="93" w:line="696" w:lineRule="exact"/>
            <w:jc w:val="center"/>
            <w:textAlignment w:val="baseline"/>
            <w:rPr>
              <w:rFonts w:eastAsia="Arial"/>
              <w:b/>
              <w:color w:val="210403"/>
              <w:spacing w:val="21"/>
              <w:w w:val="90"/>
              <w:sz w:val="64"/>
              <w:lang w:val="en-US"/>
            </w:rPr>
          </w:pPr>
        </w:p>
        <w:p w14:paraId="5DB9C159" w14:textId="77777777" w:rsidR="00911853" w:rsidRDefault="00911853" w:rsidP="00C11DD7">
          <w:pPr>
            <w:spacing w:before="5" w:after="93" w:line="696" w:lineRule="exact"/>
            <w:jc w:val="center"/>
            <w:textAlignment w:val="baseline"/>
            <w:rPr>
              <w:rFonts w:eastAsia="Arial"/>
              <w:b/>
              <w:color w:val="210403"/>
              <w:spacing w:val="21"/>
              <w:w w:val="90"/>
              <w:sz w:val="64"/>
              <w:lang w:val="en-US"/>
            </w:rPr>
          </w:pPr>
        </w:p>
        <w:p w14:paraId="707E8A93" w14:textId="77777777" w:rsidR="00911853" w:rsidRDefault="00911853" w:rsidP="00C11DD7">
          <w:pPr>
            <w:spacing w:before="5" w:after="93" w:line="696" w:lineRule="exact"/>
            <w:jc w:val="center"/>
            <w:textAlignment w:val="baseline"/>
            <w:rPr>
              <w:rFonts w:eastAsia="Arial"/>
              <w:b/>
              <w:color w:val="210403"/>
              <w:spacing w:val="21"/>
              <w:w w:val="90"/>
              <w:sz w:val="64"/>
              <w:lang w:val="en-US"/>
            </w:rPr>
          </w:pPr>
        </w:p>
        <w:p w14:paraId="4A0E85B8" w14:textId="6A5325F8" w:rsidR="00BB56D2" w:rsidRDefault="00911853" w:rsidP="00C11DD7">
          <w:pPr>
            <w:spacing w:before="5" w:after="93" w:line="696" w:lineRule="exact"/>
            <w:jc w:val="center"/>
            <w:textAlignment w:val="baseline"/>
            <w:rPr>
              <w:rFonts w:eastAsia="Arial"/>
              <w:b/>
              <w:color w:val="210403"/>
              <w:spacing w:val="21"/>
              <w:w w:val="90"/>
              <w:sz w:val="64"/>
            </w:rPr>
          </w:pPr>
          <w:r>
            <w:rPr>
              <w:rFonts w:ascii="Times New Roman" w:eastAsia="PMingLiU" w:hAnsi="Times New Roman"/>
              <w:noProof/>
              <w:lang w:val="en-US"/>
            </w:rPr>
            <mc:AlternateContent>
              <mc:Choice Requires="wps">
                <w:drawing>
                  <wp:anchor distT="0" distB="0" distL="114300" distR="114300" simplePos="0" relativeHeight="251658243" behindDoc="0" locked="0" layoutInCell="1" allowOverlap="1" wp14:anchorId="59AFD86C" wp14:editId="3F88CE3F">
                    <wp:simplePos x="0" y="0"/>
                    <wp:positionH relativeFrom="margin">
                      <wp:posOffset>429895</wp:posOffset>
                    </wp:positionH>
                    <wp:positionV relativeFrom="paragraph">
                      <wp:posOffset>476412</wp:posOffset>
                    </wp:positionV>
                    <wp:extent cx="579183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0"/>
                            </a:xfrm>
                            <a:prstGeom prst="line">
                              <a:avLst/>
                            </a:prstGeom>
                            <a:noFill/>
                            <a:ln w="19050">
                              <a:solidFill>
                                <a:srgbClr val="5434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D65A" id="Straight Connector 27"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85pt,37.5pt" to="489.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otQEAAEkDAAAOAAAAZHJzL2Uyb0RvYy54bWysU8tu2zAQvBfoPxC815KSOE0Eyzk4j0va&#10;Gkj6AWuSkohQXIJLW/Lfl2RsJ0huRS7Ech/D2dnl4mYaDNspTxptw6tZyZmyAqW2XcP/Pt//uOKM&#10;AlgJBq1q+F4Rv1l+/7YYXa3OsEcjlWcRxFI9uob3Ibi6KEj0agCaoVM2Blv0A4R49V0hPYwRfTDF&#10;WVleFiN66TwKRRS9t69Bvsz4batE+NO2pAIzDY/cQj59PjfpLJYLqDsPrtfiQAP+g8UA2sZHT1C3&#10;EIBtvf4ENWjhkbANM4FDgW2rhco9xG6q8kM3Tz04lXuJ4pA7yURfByt+71Z27RN1Mdkn94jihZjF&#10;VQ+2U5nA897FwVVJqmJ0VJ9K0oXc2rPN+AtlzIFtwKzC1PohQcb+2JTF3p/EVlNgIjrnP6+rq/M5&#10;Z+IYK6A+FjpP4UHhwJLRcKNt0gFq2D1SSESgPqYkt8V7bUyepbFsjGyvy3mZKwiNlima8sh3m5Xx&#10;bAdxHeYX5xfVZW4rRt6nedxamdF6BfLuYAfQ5tWOrxt7UCMJkLaN6g3K/dofVYrzyjQPu5UW4v09&#10;V7/9gOU/AAAA//8DAFBLAwQUAAYACAAAACEABpWZTdwAAAAIAQAADwAAAGRycy9kb3ducmV2Lnht&#10;bEyPwU7DMBBE70j8g7VIXBB1CNC0aZyqROKIVEo/wI23SSBeB9tpw9+ziAMcd2Y0O69YT7YXJ/Sh&#10;c6TgbpaAQKqd6ahRsH97vl2ACFGT0b0jVPCFAdbl5UWhc+PO9IqnXWwEl1DItYI2xiGXMtQtWh1m&#10;bkBi7+i81ZFP30jj9ZnLbS/TJJlLqzviD60esGqx/tiNVkG6f9mET18l4/v2prL3YVqkD09KXV9N&#10;mxWIiFP8C8PPfJ4OJW86uJFMEL2CeZZxUkH2yEjsL7Mloxx+BVkW8j9A+Q0AAP//AwBQSwECLQAU&#10;AAYACAAAACEAtoM4kv4AAADhAQAAEwAAAAAAAAAAAAAAAAAAAAAAW0NvbnRlbnRfVHlwZXNdLnht&#10;bFBLAQItABQABgAIAAAAIQA4/SH/1gAAAJQBAAALAAAAAAAAAAAAAAAAAC8BAABfcmVscy8ucmVs&#10;c1BLAQItABQABgAIAAAAIQC+OvBotQEAAEkDAAAOAAAAAAAAAAAAAAAAAC4CAABkcnMvZTJvRG9j&#10;LnhtbFBLAQItABQABgAIAAAAIQAGlZlN3AAAAAgBAAAPAAAAAAAAAAAAAAAAAA8EAABkcnMvZG93&#10;bnJldi54bWxQSwUGAAAAAAQABADzAAAAGAUAAAAA&#10;" strokecolor="#543416" strokeweight="1.5pt">
                    <w10:wrap anchorx="margin"/>
                  </v:line>
                </w:pict>
              </mc:Fallback>
            </mc:AlternateContent>
          </w:r>
          <w:r w:rsidR="00BB56D2">
            <w:rPr>
              <w:rFonts w:eastAsia="Arial"/>
              <w:b/>
              <w:color w:val="210403"/>
              <w:spacing w:val="21"/>
              <w:w w:val="90"/>
              <w:sz w:val="64"/>
              <w:lang w:val="en-US"/>
            </w:rPr>
            <w:t>Annual Report</w:t>
          </w:r>
        </w:p>
        <w:p w14:paraId="2A2CBF8F" w14:textId="41801930" w:rsidR="00BB56D2" w:rsidRDefault="00BB56D2" w:rsidP="00BB56D2">
          <w:pPr>
            <w:spacing w:before="103" w:line="352" w:lineRule="exact"/>
            <w:jc w:val="center"/>
            <w:textAlignment w:val="baseline"/>
            <w:rPr>
              <w:rFonts w:eastAsia="Arial"/>
              <w:color w:val="210403"/>
              <w:spacing w:val="16"/>
              <w:sz w:val="29"/>
            </w:rPr>
          </w:pPr>
          <w:r>
            <w:rPr>
              <w:rFonts w:eastAsia="Arial"/>
              <w:color w:val="210403"/>
              <w:spacing w:val="16"/>
              <w:sz w:val="29"/>
              <w:lang w:val="en-US"/>
            </w:rPr>
            <w:t>to the Parliament of Australia</w:t>
          </w:r>
        </w:p>
        <w:p w14:paraId="20203F81" w14:textId="77777777" w:rsidR="00911853" w:rsidRDefault="00911853" w:rsidP="00BB56D2">
          <w:pPr>
            <w:jc w:val="center"/>
          </w:pPr>
        </w:p>
        <w:p w14:paraId="3FF7D7D2" w14:textId="77777777" w:rsidR="00911853" w:rsidRDefault="00911853" w:rsidP="00BB56D2">
          <w:pPr>
            <w:jc w:val="center"/>
          </w:pPr>
        </w:p>
        <w:p w14:paraId="141A13F9" w14:textId="77777777" w:rsidR="00911853" w:rsidRDefault="00911853" w:rsidP="00BB56D2">
          <w:pPr>
            <w:jc w:val="center"/>
          </w:pPr>
        </w:p>
        <w:p w14:paraId="2A5CC027" w14:textId="77777777" w:rsidR="00911853" w:rsidRDefault="00911853" w:rsidP="00BB56D2">
          <w:pPr>
            <w:jc w:val="center"/>
          </w:pPr>
        </w:p>
        <w:p w14:paraId="3067C94B" w14:textId="68B8EF41" w:rsidR="00304241" w:rsidRPr="00911853" w:rsidRDefault="00BB56D2" w:rsidP="00BB56D2">
          <w:pPr>
            <w:jc w:val="center"/>
            <w:rPr>
              <w:b/>
              <w:bCs/>
            </w:rPr>
          </w:pPr>
          <w:r w:rsidRPr="00911853">
            <w:rPr>
              <w:b/>
              <w:bCs/>
            </w:rPr>
            <w:t>Year ending 31 December 202</w:t>
          </w:r>
          <w:r w:rsidR="00925A4B" w:rsidRPr="00911853">
            <w:rPr>
              <w:b/>
              <w:bCs/>
            </w:rPr>
            <w:t>3</w:t>
          </w:r>
        </w:p>
        <w:p w14:paraId="19A9FCE1" w14:textId="43446DBC" w:rsidR="00304241" w:rsidRDefault="003551F5" w:rsidP="00911853">
          <w:pPr>
            <w:spacing w:after="0" w:line="240" w:lineRule="auto"/>
          </w:pPr>
        </w:p>
      </w:sdtContent>
    </w:sdt>
    <w:p w14:paraId="29570B72" w14:textId="4AD3B08F" w:rsidR="00304241" w:rsidRPr="003E23E9" w:rsidRDefault="00304241" w:rsidP="00304241"/>
    <w:p w14:paraId="0B5EE7BD" w14:textId="49D9F399" w:rsidR="00304241" w:rsidRDefault="00304241" w:rsidP="00304241"/>
    <w:p w14:paraId="3889F903" w14:textId="77777777" w:rsidR="00682240" w:rsidRDefault="00682240" w:rsidP="00304241"/>
    <w:p w14:paraId="6DF2B619" w14:textId="77777777" w:rsidR="00682240" w:rsidRDefault="00682240" w:rsidP="00304241"/>
    <w:p w14:paraId="3F44FF55" w14:textId="77777777" w:rsidR="00682240" w:rsidRDefault="00682240" w:rsidP="00304241"/>
    <w:p w14:paraId="1C021238" w14:textId="77777777" w:rsidR="00682240" w:rsidRDefault="00682240" w:rsidP="00304241"/>
    <w:p w14:paraId="09124578" w14:textId="77777777" w:rsidR="00682240" w:rsidRDefault="00682240" w:rsidP="00304241"/>
    <w:p w14:paraId="1B6C9939" w14:textId="77777777" w:rsidR="00682240" w:rsidRDefault="00682240" w:rsidP="00304241"/>
    <w:p w14:paraId="7466AD2F" w14:textId="77777777" w:rsidR="00682240" w:rsidRDefault="00682240" w:rsidP="00304241"/>
    <w:p w14:paraId="2F5E34B8" w14:textId="77777777" w:rsidR="00682240" w:rsidRDefault="00682240" w:rsidP="00304241"/>
    <w:p w14:paraId="7E64E758" w14:textId="77777777" w:rsidR="00682240" w:rsidRDefault="00682240" w:rsidP="00304241"/>
    <w:p w14:paraId="694AB1DF" w14:textId="77777777" w:rsidR="00682240" w:rsidRDefault="00682240" w:rsidP="00304241"/>
    <w:p w14:paraId="3DC7198F" w14:textId="77777777" w:rsidR="00682240" w:rsidRDefault="00682240" w:rsidP="00304241"/>
    <w:p w14:paraId="309A9DF5" w14:textId="77777777" w:rsidR="00682240" w:rsidRDefault="00682240" w:rsidP="00304241"/>
    <w:p w14:paraId="4605B15F" w14:textId="77777777" w:rsidR="00682240" w:rsidRPr="003E23E9" w:rsidRDefault="00682240" w:rsidP="00304241"/>
    <w:p w14:paraId="52ECF089" w14:textId="7386B9BA" w:rsidR="00304241" w:rsidRPr="003E23E9" w:rsidRDefault="00304241" w:rsidP="00304241"/>
    <w:p w14:paraId="66D49E6B" w14:textId="7C2704D0" w:rsidR="00304241" w:rsidRPr="003E23E9" w:rsidRDefault="00304241" w:rsidP="00304241"/>
    <w:p w14:paraId="05CE693C" w14:textId="77777777" w:rsidR="00304241" w:rsidRPr="003E23E9" w:rsidRDefault="00304241" w:rsidP="00304241"/>
    <w:p w14:paraId="5AA7C7A9" w14:textId="05293FAD" w:rsidR="00304241" w:rsidRDefault="00304241" w:rsidP="00304241">
      <w:pPr>
        <w:tabs>
          <w:tab w:val="left" w:pos="6083"/>
        </w:tabs>
      </w:pPr>
    </w:p>
    <w:p w14:paraId="71A38651" w14:textId="6374713E" w:rsidR="00D90EFC" w:rsidRDefault="00D90EFC" w:rsidP="00304241">
      <w:pPr>
        <w:tabs>
          <w:tab w:val="left" w:pos="6083"/>
        </w:tabs>
      </w:pPr>
    </w:p>
    <w:p w14:paraId="06B8F351" w14:textId="77777777" w:rsidR="00A41F17" w:rsidRDefault="00A41F17" w:rsidP="00A41F17">
      <w:pPr>
        <w:rPr>
          <w:rFonts w:ascii="Garamond" w:hAnsi="Garamond"/>
        </w:rPr>
      </w:pPr>
    </w:p>
    <w:p w14:paraId="751A7714" w14:textId="77777777" w:rsidR="00A41F17" w:rsidRDefault="00A41F17" w:rsidP="00A41F17">
      <w:pPr>
        <w:rPr>
          <w:rFonts w:ascii="Garamond" w:hAnsi="Garamond"/>
        </w:rPr>
      </w:pPr>
    </w:p>
    <w:p w14:paraId="5928A5AA" w14:textId="77777777" w:rsidR="00D13FA4" w:rsidRDefault="00D13FA4" w:rsidP="00A41F17">
      <w:pPr>
        <w:rPr>
          <w:rFonts w:ascii="Garamond" w:hAnsi="Garamond"/>
        </w:rPr>
      </w:pPr>
    </w:p>
    <w:p w14:paraId="1F8136A9" w14:textId="77777777" w:rsidR="00911853" w:rsidRDefault="00911853" w:rsidP="00A41F17">
      <w:pPr>
        <w:rPr>
          <w:rFonts w:ascii="Garamond" w:hAnsi="Garamond"/>
        </w:rPr>
      </w:pPr>
    </w:p>
    <w:p w14:paraId="0B0B0FF8" w14:textId="77777777" w:rsidR="00911853" w:rsidRDefault="00911853" w:rsidP="00A41F17">
      <w:pPr>
        <w:rPr>
          <w:rFonts w:ascii="Garamond" w:hAnsi="Garamond"/>
        </w:rPr>
      </w:pPr>
    </w:p>
    <w:p w14:paraId="7A44225C" w14:textId="77777777" w:rsidR="00564352" w:rsidRDefault="00564352" w:rsidP="00A41F17">
      <w:pPr>
        <w:rPr>
          <w:rFonts w:ascii="Garamond" w:hAnsi="Garamond"/>
        </w:rPr>
      </w:pPr>
    </w:p>
    <w:p w14:paraId="128D73FB" w14:textId="73055B46" w:rsidR="00D23BA7" w:rsidRPr="00D23BA7" w:rsidRDefault="00A41F17" w:rsidP="00D23BA7">
      <w:pPr>
        <w:rPr>
          <w:rFonts w:ascii="Garamond" w:hAnsi="Garamond"/>
        </w:rPr>
      </w:pPr>
      <w:r w:rsidRPr="00EF4A08">
        <w:rPr>
          <w:rFonts w:ascii="Garamond" w:hAnsi="Garamond"/>
        </w:rPr>
        <w:t>ISBN</w:t>
      </w:r>
      <w:r w:rsidRPr="00013C79">
        <w:rPr>
          <w:rFonts w:ascii="Garamond" w:hAnsi="Garamond"/>
        </w:rPr>
        <w:t xml:space="preserve">: </w:t>
      </w:r>
      <w:r w:rsidR="00D23BA7" w:rsidRPr="00D23BA7">
        <w:rPr>
          <w:rFonts w:ascii="Garamond" w:hAnsi="Garamond"/>
        </w:rPr>
        <w:t>978-1-7635223-0-5</w:t>
      </w:r>
      <w:r w:rsidR="00D23BA7">
        <w:rPr>
          <w:rFonts w:ascii="Garamond" w:hAnsi="Garamond"/>
        </w:rPr>
        <w:t xml:space="preserve"> [Print]</w:t>
      </w:r>
    </w:p>
    <w:p w14:paraId="7D9CC715" w14:textId="77777777" w:rsidR="00D23BA7" w:rsidRDefault="00D23BA7" w:rsidP="00D23BA7">
      <w:pPr>
        <w:rPr>
          <w:rFonts w:ascii="Garamond" w:hAnsi="Garamond"/>
        </w:rPr>
      </w:pPr>
      <w:r w:rsidRPr="00EF4A08">
        <w:rPr>
          <w:rFonts w:ascii="Garamond" w:hAnsi="Garamond"/>
        </w:rPr>
        <w:t>ISBN</w:t>
      </w:r>
      <w:r w:rsidRPr="00013C79">
        <w:rPr>
          <w:rFonts w:ascii="Garamond" w:hAnsi="Garamond"/>
        </w:rPr>
        <w:t xml:space="preserve">: </w:t>
      </w:r>
      <w:r w:rsidRPr="00D23BA7">
        <w:rPr>
          <w:rFonts w:ascii="Garamond" w:hAnsi="Garamond"/>
        </w:rPr>
        <w:t>978-1-7635223-1-2</w:t>
      </w:r>
      <w:r>
        <w:rPr>
          <w:rFonts w:ascii="Garamond" w:hAnsi="Garamond"/>
        </w:rPr>
        <w:t xml:space="preserve"> [Digital]</w:t>
      </w:r>
    </w:p>
    <w:p w14:paraId="65ED6127" w14:textId="72C15312" w:rsidR="00A41F17" w:rsidRDefault="00A41F17" w:rsidP="00D23BA7">
      <w:pPr>
        <w:rPr>
          <w:rFonts w:ascii="Garamond" w:hAnsi="Garamond"/>
        </w:rPr>
      </w:pPr>
      <w:r w:rsidRPr="00186947">
        <w:rPr>
          <w:rFonts w:ascii="Garamond" w:hAnsi="Garamond" w:cs="Arial"/>
          <w:color w:val="000000"/>
        </w:rPr>
        <w:t xml:space="preserve"> </w:t>
      </w:r>
    </w:p>
    <w:p w14:paraId="5EB4F693" w14:textId="77777777" w:rsidR="00A41F17" w:rsidRDefault="00A41F17" w:rsidP="00A41F17">
      <w:pPr>
        <w:rPr>
          <w:rFonts w:ascii="Garamond" w:eastAsiaTheme="minorHAnsi" w:hAnsi="Garamond"/>
        </w:rPr>
      </w:pPr>
      <w:r>
        <w:rPr>
          <w:rFonts w:ascii="Garamond" w:hAnsi="Garamond"/>
        </w:rPr>
        <w:t>© Commonwealth of Australia, 2024.</w:t>
      </w:r>
    </w:p>
    <w:p w14:paraId="5F644456" w14:textId="77777777" w:rsidR="00A41F17" w:rsidRDefault="00A41F17" w:rsidP="00A41F17">
      <w:pPr>
        <w:rPr>
          <w:rFonts w:ascii="Garamond" w:hAnsi="Garamond"/>
        </w:rPr>
      </w:pPr>
      <w:r>
        <w:rPr>
          <w:rFonts w:ascii="Garamond" w:hAnsi="Garamond"/>
          <w:noProof/>
          <w:lang w:eastAsia="en-AU"/>
        </w:rPr>
        <w:drawing>
          <wp:inline distT="0" distB="0" distL="0" distR="0" wp14:anchorId="0820B807" wp14:editId="59F01162">
            <wp:extent cx="666750" cy="238125"/>
            <wp:effectExtent l="0" t="0" r="0" b="9525"/>
            <wp:docPr id="1" name="Picture 1" descr="cid:image001.jpg@01D685F9.2BC37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685F9.2BC378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249E7667" w14:textId="77777777" w:rsidR="00A41F17" w:rsidRDefault="00A41F17" w:rsidP="00A41F17">
      <w:pPr>
        <w:rPr>
          <w:rFonts w:ascii="Garamond" w:hAnsi="Garamond"/>
        </w:rPr>
      </w:pPr>
      <w:r w:rsidRPr="00035DA5">
        <w:rPr>
          <w:rFonts w:ascii="Garamond" w:hAnsi="Garamond"/>
          <w:i/>
          <w:iCs/>
        </w:rPr>
        <w:t>202</w:t>
      </w:r>
      <w:r>
        <w:rPr>
          <w:rFonts w:ascii="Garamond" w:hAnsi="Garamond"/>
          <w:i/>
          <w:iCs/>
        </w:rPr>
        <w:t>3</w:t>
      </w:r>
      <w:r w:rsidRPr="00035DA5">
        <w:rPr>
          <w:rFonts w:ascii="Garamond" w:hAnsi="Garamond"/>
          <w:i/>
          <w:iCs/>
        </w:rPr>
        <w:t xml:space="preserve"> Annual Report of the </w:t>
      </w:r>
      <w:r>
        <w:rPr>
          <w:rFonts w:ascii="Garamond" w:hAnsi="Garamond"/>
          <w:i/>
          <w:iCs/>
        </w:rPr>
        <w:t xml:space="preserve">Office of the Australian Energy Infrastructure Commissioner </w:t>
      </w:r>
      <w:r>
        <w:rPr>
          <w:rFonts w:ascii="Garamond" w:hAnsi="Garamond"/>
        </w:rPr>
        <w:t xml:space="preserve">is licensed by the Commonwealth of Australia for use under a Creative Commons Attribution 4.0 International License </w:t>
      </w:r>
      <w:proofErr w:type="gramStart"/>
      <w:r>
        <w:rPr>
          <w:rFonts w:ascii="Garamond" w:hAnsi="Garamond"/>
        </w:rPr>
        <w:t>with the exception of</w:t>
      </w:r>
      <w:proofErr w:type="gramEnd"/>
      <w:r>
        <w:rPr>
          <w:rFonts w:ascii="Garamond" w:hAnsi="Garamond"/>
        </w:rPr>
        <w:t xml:space="preserve"> the Coat of Arms of the Commonwealth of Australia, the logo of the agency responsible for publishing the report, content supplied by third parties, and any images depicting people. </w:t>
      </w:r>
    </w:p>
    <w:p w14:paraId="6E311B1E" w14:textId="77777777" w:rsidR="00A41F17" w:rsidRDefault="00A41F17" w:rsidP="00A41F17">
      <w:pPr>
        <w:rPr>
          <w:rFonts w:ascii="Garamond" w:hAnsi="Garamond"/>
        </w:rPr>
      </w:pPr>
      <w:r>
        <w:rPr>
          <w:rFonts w:ascii="Garamond" w:hAnsi="Garamond"/>
        </w:rPr>
        <w:t xml:space="preserve">For licence conditions see: </w:t>
      </w:r>
      <w:hyperlink r:id="rId14" w:history="1">
        <w:r>
          <w:rPr>
            <w:rStyle w:val="Hyperlink"/>
            <w:rFonts w:ascii="Garamond" w:hAnsi="Garamond"/>
          </w:rPr>
          <w:t>https://creativecommons.org/licenses/by/4.0/</w:t>
        </w:r>
      </w:hyperlink>
    </w:p>
    <w:p w14:paraId="6CEA3599" w14:textId="77777777" w:rsidR="00A41F17" w:rsidRDefault="00A41F17" w:rsidP="00A41F17">
      <w:pPr>
        <w:rPr>
          <w:rFonts w:ascii="Garamond" w:hAnsi="Garamond"/>
        </w:rPr>
      </w:pPr>
      <w:r>
        <w:rPr>
          <w:rFonts w:ascii="Garamond" w:hAnsi="Garamond"/>
        </w:rPr>
        <w:t>This report should be attributed as ‘</w:t>
      </w:r>
      <w:r w:rsidRPr="00035DA5">
        <w:rPr>
          <w:rFonts w:ascii="Garamond" w:hAnsi="Garamond"/>
          <w:i/>
          <w:iCs/>
        </w:rPr>
        <w:t>202</w:t>
      </w:r>
      <w:r>
        <w:rPr>
          <w:rFonts w:ascii="Garamond" w:hAnsi="Garamond"/>
          <w:i/>
          <w:iCs/>
        </w:rPr>
        <w:t>3</w:t>
      </w:r>
      <w:r w:rsidRPr="00035DA5">
        <w:rPr>
          <w:rFonts w:ascii="Garamond" w:hAnsi="Garamond"/>
          <w:i/>
          <w:iCs/>
        </w:rPr>
        <w:t xml:space="preserve"> Annual Report of the </w:t>
      </w:r>
      <w:r>
        <w:rPr>
          <w:rFonts w:ascii="Garamond" w:hAnsi="Garamond"/>
          <w:i/>
          <w:iCs/>
        </w:rPr>
        <w:t>Office of the Australian Energy Infrastructure Commissioner</w:t>
      </w:r>
      <w:r w:rsidRPr="00035DA5">
        <w:rPr>
          <w:rFonts w:ascii="Garamond" w:hAnsi="Garamond"/>
        </w:rPr>
        <w:t>, Commonwealth of Australia 202</w:t>
      </w:r>
      <w:r>
        <w:rPr>
          <w:rFonts w:ascii="Garamond" w:hAnsi="Garamond"/>
        </w:rPr>
        <w:t xml:space="preserve">3’. </w:t>
      </w:r>
    </w:p>
    <w:p w14:paraId="70171767" w14:textId="77777777" w:rsidR="00A41F17" w:rsidRDefault="00A41F17" w:rsidP="00A41F17">
      <w:pPr>
        <w:rPr>
          <w:rFonts w:ascii="Garamond" w:hAnsi="Garamond"/>
        </w:rPr>
      </w:pPr>
      <w:r>
        <w:rPr>
          <w:rFonts w:ascii="Garamond" w:hAnsi="Garamond"/>
        </w:rPr>
        <w:t xml:space="preserve">The Commonwealth of Australia has made all reasonable efforts to identify content supplied by third parties using the following format ‘© Copyright, [name of third party]’. </w:t>
      </w:r>
    </w:p>
    <w:p w14:paraId="40E9CF1E" w14:textId="77777777" w:rsidR="00A41F17" w:rsidRDefault="00A41F17" w:rsidP="00A41F17">
      <w:pPr>
        <w:rPr>
          <w:rFonts w:ascii="Garamond" w:hAnsi="Garamond"/>
          <w:b/>
          <w:bCs/>
        </w:rPr>
      </w:pPr>
      <w:r>
        <w:rPr>
          <w:rFonts w:ascii="Garamond" w:hAnsi="Garamond"/>
          <w:b/>
          <w:bCs/>
        </w:rPr>
        <w:t xml:space="preserve">Disclaimer </w:t>
      </w:r>
    </w:p>
    <w:p w14:paraId="32C9489D" w14:textId="11274DF3" w:rsidR="00D90EFC" w:rsidRDefault="00A41F17">
      <w:r>
        <w:rPr>
          <w:rFonts w:ascii="Garamond" w:hAnsi="Garamond"/>
        </w:rPr>
        <w:t>The views and opinions expressed in this publication are those of the authors and do not necessarily reflect those of the Australian Government or the Portfolio Ministers for the Department of Climate Change, Energy, the Environment and Water.</w:t>
      </w:r>
      <w:r>
        <w:br w:type="page"/>
      </w:r>
    </w:p>
    <w:p w14:paraId="0EA9FFA1" w14:textId="77777777" w:rsidR="00304241" w:rsidRPr="003E23E9" w:rsidRDefault="00304241" w:rsidP="00304241">
      <w:pPr>
        <w:tabs>
          <w:tab w:val="left" w:pos="6083"/>
        </w:tabs>
        <w:sectPr w:rsidR="00304241" w:rsidRPr="003E23E9" w:rsidSect="00D801A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54" w:footer="425" w:gutter="0"/>
          <w:cols w:space="708"/>
          <w:titlePg/>
          <w:docGrid w:linePitch="360"/>
        </w:sectPr>
      </w:pPr>
    </w:p>
    <w:p w14:paraId="2964CF28" w14:textId="77777777" w:rsidR="00304241" w:rsidRDefault="00304241" w:rsidP="00304241"/>
    <w:p w14:paraId="7EC37016" w14:textId="6AF8EB8B" w:rsidR="00795476" w:rsidRPr="00CE58AE" w:rsidRDefault="00E54E6C" w:rsidP="00795476">
      <w:pPr>
        <w:spacing w:after="120" w:line="240" w:lineRule="auto"/>
        <w:rPr>
          <w:rFonts w:cs="Arial"/>
        </w:rPr>
      </w:pPr>
      <w:r>
        <w:rPr>
          <w:rFonts w:cs="Arial"/>
        </w:rPr>
        <w:t>28</w:t>
      </w:r>
      <w:r w:rsidR="00795476" w:rsidRPr="007942F9">
        <w:rPr>
          <w:rFonts w:cs="Arial"/>
        </w:rPr>
        <w:t xml:space="preserve"> March 202</w:t>
      </w:r>
      <w:r w:rsidR="00925A4B" w:rsidRPr="007942F9">
        <w:rPr>
          <w:rFonts w:cs="Arial"/>
        </w:rPr>
        <w:t>4</w:t>
      </w:r>
    </w:p>
    <w:p w14:paraId="2AAFEE09" w14:textId="77777777" w:rsidR="00795476" w:rsidRPr="00CE58AE" w:rsidRDefault="00795476" w:rsidP="00795476">
      <w:pPr>
        <w:spacing w:after="120" w:line="240" w:lineRule="auto"/>
        <w:rPr>
          <w:rFonts w:cs="Arial"/>
        </w:rPr>
      </w:pPr>
    </w:p>
    <w:p w14:paraId="3A4B946E" w14:textId="77777777" w:rsidR="00795476" w:rsidRDefault="00795476" w:rsidP="00795476">
      <w:pPr>
        <w:spacing w:after="0"/>
        <w:rPr>
          <w:rFonts w:cs="Arial"/>
        </w:rPr>
      </w:pPr>
      <w:r>
        <w:rPr>
          <w:rFonts w:cs="Arial"/>
        </w:rPr>
        <w:t xml:space="preserve">The Hon Chris Bowen, MP </w:t>
      </w:r>
    </w:p>
    <w:p w14:paraId="008A0C8B" w14:textId="77777777" w:rsidR="00795476" w:rsidRDefault="00795476" w:rsidP="00795476">
      <w:pPr>
        <w:spacing w:after="0"/>
        <w:rPr>
          <w:rFonts w:cs="Arial"/>
        </w:rPr>
      </w:pPr>
      <w:r>
        <w:rPr>
          <w:rFonts w:cs="Arial"/>
        </w:rPr>
        <w:t>Minister for Climate Change and Energy</w:t>
      </w:r>
    </w:p>
    <w:p w14:paraId="4B0FD609" w14:textId="77777777" w:rsidR="00795476" w:rsidRDefault="00795476" w:rsidP="00795476">
      <w:pPr>
        <w:spacing w:after="0"/>
        <w:rPr>
          <w:rFonts w:cs="Arial"/>
        </w:rPr>
      </w:pPr>
      <w:r>
        <w:rPr>
          <w:rFonts w:cs="Arial"/>
        </w:rPr>
        <w:t xml:space="preserve">Parliament House </w:t>
      </w:r>
    </w:p>
    <w:p w14:paraId="3992F12F" w14:textId="61A4A165" w:rsidR="00795476" w:rsidRPr="00CE58AE" w:rsidRDefault="006E499A" w:rsidP="00795476">
      <w:pPr>
        <w:rPr>
          <w:rFonts w:cs="Arial"/>
        </w:rPr>
      </w:pPr>
      <w:proofErr w:type="gramStart"/>
      <w:r>
        <w:rPr>
          <w:rFonts w:cs="Arial"/>
        </w:rPr>
        <w:t xml:space="preserve">CANBERRA </w:t>
      </w:r>
      <w:r w:rsidR="00BE2881">
        <w:rPr>
          <w:rFonts w:cs="Arial"/>
        </w:rPr>
        <w:t xml:space="preserve"> </w:t>
      </w:r>
      <w:r>
        <w:rPr>
          <w:rFonts w:cs="Arial"/>
        </w:rPr>
        <w:t>ACT</w:t>
      </w:r>
      <w:proofErr w:type="gramEnd"/>
      <w:r w:rsidR="00795476">
        <w:rPr>
          <w:rFonts w:cs="Arial"/>
        </w:rPr>
        <w:t xml:space="preserve">  2600</w:t>
      </w:r>
    </w:p>
    <w:p w14:paraId="553B7C2D" w14:textId="77777777" w:rsidR="00795476" w:rsidRPr="00CE58AE" w:rsidRDefault="00795476" w:rsidP="00795476">
      <w:pPr>
        <w:tabs>
          <w:tab w:val="left" w:pos="4410"/>
        </w:tabs>
        <w:spacing w:after="120" w:line="240" w:lineRule="auto"/>
        <w:rPr>
          <w:rFonts w:cs="Arial"/>
        </w:rPr>
      </w:pPr>
      <w:r w:rsidRPr="00CE58AE">
        <w:rPr>
          <w:rFonts w:cs="Arial"/>
        </w:rPr>
        <w:tab/>
      </w:r>
    </w:p>
    <w:p w14:paraId="33218767" w14:textId="63969DB5" w:rsidR="00720EAD" w:rsidRPr="00CE58AE" w:rsidRDefault="00795476" w:rsidP="00795476">
      <w:pPr>
        <w:spacing w:after="120" w:line="240" w:lineRule="auto"/>
        <w:rPr>
          <w:rFonts w:cs="Arial"/>
        </w:rPr>
      </w:pPr>
      <w:r w:rsidRPr="00CE58AE">
        <w:rPr>
          <w:rFonts w:cs="Arial"/>
        </w:rPr>
        <w:t xml:space="preserve">Dear </w:t>
      </w:r>
      <w:proofErr w:type="gramStart"/>
      <w:r w:rsidR="006E499A" w:rsidRPr="00CE58AE">
        <w:rPr>
          <w:rFonts w:cs="Arial"/>
        </w:rPr>
        <w:t>Minister</w:t>
      </w:r>
      <w:proofErr w:type="gramEnd"/>
      <w:r w:rsidRPr="00CE58AE">
        <w:rPr>
          <w:rFonts w:cs="Arial"/>
        </w:rPr>
        <w:br/>
      </w:r>
    </w:p>
    <w:p w14:paraId="37DF6A9F" w14:textId="779FDF5D" w:rsidR="00795476" w:rsidRPr="00CE58AE" w:rsidRDefault="00795476" w:rsidP="00494ED6">
      <w:pPr>
        <w:spacing w:after="120" w:line="240" w:lineRule="auto"/>
        <w:rPr>
          <w:rFonts w:cs="Arial"/>
          <w:b/>
        </w:rPr>
      </w:pPr>
      <w:r>
        <w:rPr>
          <w:rFonts w:cs="Arial"/>
          <w:b/>
        </w:rPr>
        <w:t xml:space="preserve">Re: </w:t>
      </w:r>
      <w:r w:rsidRPr="00CE58AE">
        <w:rPr>
          <w:rFonts w:cs="Arial"/>
          <w:b/>
        </w:rPr>
        <w:t>20</w:t>
      </w:r>
      <w:r>
        <w:rPr>
          <w:rFonts w:cs="Arial"/>
          <w:b/>
        </w:rPr>
        <w:t>2</w:t>
      </w:r>
      <w:r w:rsidR="00925A4B">
        <w:rPr>
          <w:rFonts w:cs="Arial"/>
          <w:b/>
        </w:rPr>
        <w:t>3</w:t>
      </w:r>
      <w:r w:rsidRPr="00CE58AE">
        <w:rPr>
          <w:rFonts w:cs="Arial"/>
          <w:b/>
        </w:rPr>
        <w:t xml:space="preserve"> Annual Report </w:t>
      </w:r>
      <w:r>
        <w:rPr>
          <w:rFonts w:cs="Arial"/>
          <w:b/>
        </w:rPr>
        <w:t>of</w:t>
      </w:r>
      <w:r w:rsidRPr="00CE58AE">
        <w:rPr>
          <w:rFonts w:cs="Arial"/>
          <w:b/>
        </w:rPr>
        <w:t xml:space="preserve"> the Office of the </w:t>
      </w:r>
      <w:r>
        <w:rPr>
          <w:rFonts w:cs="Arial"/>
          <w:b/>
        </w:rPr>
        <w:t>Australian Energy Infrastructure</w:t>
      </w:r>
      <w:r w:rsidRPr="00CE58AE">
        <w:rPr>
          <w:rFonts w:cs="Arial"/>
          <w:b/>
        </w:rPr>
        <w:t xml:space="preserve"> Commissioner </w:t>
      </w:r>
    </w:p>
    <w:p w14:paraId="110A30F4" w14:textId="5D8D5C28" w:rsidR="00795476" w:rsidRPr="00CE58AE" w:rsidRDefault="00795476" w:rsidP="00795476">
      <w:pPr>
        <w:spacing w:line="264" w:lineRule="auto"/>
        <w:rPr>
          <w:rFonts w:cs="Arial"/>
        </w:rPr>
      </w:pPr>
      <w:r w:rsidRPr="00CE58AE">
        <w:rPr>
          <w:rFonts w:cs="Arial"/>
        </w:rPr>
        <w:t xml:space="preserve">Pursuant to the </w:t>
      </w:r>
      <w:r>
        <w:rPr>
          <w:rFonts w:cs="Arial"/>
        </w:rPr>
        <w:t>Australian Energy Infrastructure</w:t>
      </w:r>
      <w:r w:rsidRPr="00CE58AE">
        <w:rPr>
          <w:rFonts w:cs="Arial"/>
        </w:rPr>
        <w:t xml:space="preserve"> Commissioner’s Terms of Referen</w:t>
      </w:r>
      <w:r>
        <w:rPr>
          <w:rFonts w:cs="Arial"/>
        </w:rPr>
        <w:t>ce, I am pleased to provide the 202</w:t>
      </w:r>
      <w:r w:rsidR="00C569E8">
        <w:rPr>
          <w:rFonts w:cs="Arial"/>
        </w:rPr>
        <w:t>3</w:t>
      </w:r>
      <w:r>
        <w:rPr>
          <w:rFonts w:cs="Arial"/>
        </w:rPr>
        <w:t xml:space="preserve"> </w:t>
      </w:r>
      <w:r w:rsidRPr="00CE58AE">
        <w:rPr>
          <w:rFonts w:cs="Arial"/>
        </w:rPr>
        <w:t xml:space="preserve">Annual Report to the Australian Parliament on the activities of the Office of the </w:t>
      </w:r>
      <w:r>
        <w:rPr>
          <w:rFonts w:cs="Arial"/>
        </w:rPr>
        <w:t>Australian Energy Infrastructure Commissioner.</w:t>
      </w:r>
    </w:p>
    <w:p w14:paraId="16630B4D" w14:textId="77777777" w:rsidR="0008515B" w:rsidRDefault="00795476" w:rsidP="00795476">
      <w:pPr>
        <w:spacing w:line="264" w:lineRule="auto"/>
        <w:rPr>
          <w:rFonts w:cs="Arial"/>
        </w:rPr>
      </w:pPr>
      <w:r w:rsidRPr="00CE58AE">
        <w:rPr>
          <w:rFonts w:cs="Arial"/>
        </w:rPr>
        <w:t>Th</w:t>
      </w:r>
      <w:r>
        <w:rPr>
          <w:rFonts w:cs="Arial"/>
        </w:rPr>
        <w:t>is</w:t>
      </w:r>
      <w:r w:rsidRPr="00CE58AE">
        <w:rPr>
          <w:rFonts w:cs="Arial"/>
        </w:rPr>
        <w:t xml:space="preserve"> </w:t>
      </w:r>
      <w:r>
        <w:rPr>
          <w:rFonts w:cs="Arial"/>
        </w:rPr>
        <w:t>r</w:t>
      </w:r>
      <w:r w:rsidRPr="00CE58AE">
        <w:rPr>
          <w:rFonts w:cs="Arial"/>
        </w:rPr>
        <w:t xml:space="preserve">eport covers </w:t>
      </w:r>
      <w:r>
        <w:rPr>
          <w:rFonts w:cs="Arial"/>
        </w:rPr>
        <w:t xml:space="preserve">the Office’s </w:t>
      </w:r>
      <w:r w:rsidRPr="00CE58AE">
        <w:rPr>
          <w:rFonts w:cs="Arial"/>
        </w:rPr>
        <w:t xml:space="preserve">activities </w:t>
      </w:r>
      <w:r>
        <w:rPr>
          <w:rFonts w:cs="Arial"/>
        </w:rPr>
        <w:t xml:space="preserve">for the </w:t>
      </w:r>
      <w:r w:rsidRPr="00F47E6D">
        <w:rPr>
          <w:rFonts w:cs="Arial"/>
        </w:rPr>
        <w:t xml:space="preserve">period of </w:t>
      </w:r>
      <w:r>
        <w:rPr>
          <w:rFonts w:cs="Arial"/>
        </w:rPr>
        <w:t>1 January 202</w:t>
      </w:r>
      <w:r w:rsidR="00AA6093">
        <w:rPr>
          <w:rFonts w:cs="Arial"/>
        </w:rPr>
        <w:t>3</w:t>
      </w:r>
      <w:r>
        <w:rPr>
          <w:rFonts w:cs="Arial"/>
        </w:rPr>
        <w:t xml:space="preserve"> through </w:t>
      </w:r>
      <w:r w:rsidRPr="00F47E6D">
        <w:rPr>
          <w:rFonts w:cs="Arial"/>
        </w:rPr>
        <w:t xml:space="preserve">to </w:t>
      </w:r>
      <w:r>
        <w:rPr>
          <w:rFonts w:cs="Arial"/>
        </w:rPr>
        <w:t>31 December 202</w:t>
      </w:r>
      <w:r w:rsidR="00AA6093">
        <w:rPr>
          <w:rFonts w:cs="Arial"/>
        </w:rPr>
        <w:t>3</w:t>
      </w:r>
      <w:r w:rsidR="00D26122">
        <w:rPr>
          <w:rFonts w:cs="Arial"/>
        </w:rPr>
        <w:t>.</w:t>
      </w:r>
    </w:p>
    <w:p w14:paraId="4FDC1D42" w14:textId="3369C3A7" w:rsidR="00795476" w:rsidRPr="00CE58AE" w:rsidRDefault="00795476" w:rsidP="00795476">
      <w:pPr>
        <w:spacing w:after="120" w:line="240" w:lineRule="auto"/>
        <w:rPr>
          <w:rFonts w:cs="Arial"/>
        </w:rPr>
      </w:pPr>
      <w:r w:rsidRPr="00CE58AE">
        <w:rPr>
          <w:rFonts w:cs="Arial"/>
        </w:rPr>
        <w:t>Sincerely</w:t>
      </w:r>
    </w:p>
    <w:p w14:paraId="4A5B4611" w14:textId="77777777" w:rsidR="00795476" w:rsidRPr="00494ED6" w:rsidRDefault="00795476" w:rsidP="00494ED6">
      <w:pPr>
        <w:spacing w:after="0" w:line="240" w:lineRule="auto"/>
        <w:rPr>
          <w:rFonts w:cs="Arial"/>
        </w:rPr>
      </w:pPr>
      <w:r w:rsidRPr="00CE58AE">
        <w:rPr>
          <w:noProof/>
          <w:lang w:eastAsia="en-AU"/>
        </w:rPr>
        <w:drawing>
          <wp:anchor distT="0" distB="0" distL="114300" distR="114300" simplePos="0" relativeHeight="251658241" behindDoc="0" locked="0" layoutInCell="1" allowOverlap="1" wp14:anchorId="3A68C95D" wp14:editId="46231859">
            <wp:simplePos x="460858" y="5859475"/>
            <wp:positionH relativeFrom="column">
              <wp:align>left</wp:align>
            </wp:positionH>
            <wp:positionV relativeFrom="paragraph">
              <wp:align>top</wp:align>
            </wp:positionV>
            <wp:extent cx="857250" cy="586699"/>
            <wp:effectExtent l="0" t="0" r="0" b="4445"/>
            <wp:wrapSquare wrapText="bothSides"/>
            <wp:docPr id="10" name="Picture 10" descr="Andrew Dyer's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drew Dyer's Signatur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0" cy="586699"/>
                    </a:xfrm>
                    <a:prstGeom prst="rect">
                      <a:avLst/>
                    </a:prstGeom>
                    <a:noFill/>
                    <a:ln>
                      <a:noFill/>
                    </a:ln>
                  </pic:spPr>
                </pic:pic>
              </a:graphicData>
            </a:graphic>
          </wp:anchor>
        </w:drawing>
      </w:r>
      <w:r w:rsidRPr="00CE58AE">
        <w:br w:type="textWrapping" w:clear="all"/>
      </w:r>
      <w:r w:rsidRPr="00494ED6">
        <w:rPr>
          <w:rFonts w:cs="Arial"/>
        </w:rPr>
        <w:t>Andrew Dyer</w:t>
      </w:r>
    </w:p>
    <w:p w14:paraId="5B75E4FE" w14:textId="014F38BD" w:rsidR="00D55D79" w:rsidRDefault="0073684D" w:rsidP="00304241">
      <w:r w:rsidRPr="0073684D">
        <w:rPr>
          <w:rFonts w:cs="Arial"/>
        </w:rPr>
        <w:t>Australian Energy Infrastructure Commissioner</w:t>
      </w:r>
    </w:p>
    <w:p w14:paraId="6F9CDB2A" w14:textId="77777777" w:rsidR="00D55D79" w:rsidRDefault="00D55D79">
      <w:r>
        <w:br w:type="page"/>
      </w:r>
    </w:p>
    <w:p w14:paraId="3710CBB1" w14:textId="77777777" w:rsidR="00304241" w:rsidRDefault="00304241" w:rsidP="00304241">
      <w:pPr>
        <w:sectPr w:rsidR="00304241" w:rsidSect="00D801AB">
          <w:headerReference w:type="even" r:id="rId22"/>
          <w:headerReference w:type="default" r:id="rId23"/>
          <w:headerReference w:type="first" r:id="rId24"/>
          <w:footerReference w:type="first" r:id="rId25"/>
          <w:pgSz w:w="11906" w:h="16838"/>
          <w:pgMar w:top="720" w:right="720" w:bottom="720" w:left="720" w:header="454" w:footer="425" w:gutter="0"/>
          <w:cols w:space="708"/>
          <w:titlePg/>
          <w:docGrid w:linePitch="360"/>
        </w:sectPr>
      </w:pPr>
    </w:p>
    <w:p w14:paraId="630F9242" w14:textId="2967E45A" w:rsidR="005F3E30" w:rsidRPr="00D23BA7" w:rsidRDefault="005F3E30" w:rsidP="005F3E30">
      <w:pPr>
        <w:jc w:val="center"/>
        <w:rPr>
          <w:i/>
          <w:iCs/>
          <w:highlight w:val="yellow"/>
        </w:rPr>
      </w:pPr>
      <w:bookmarkStart w:id="2" w:name="_Toc4747366"/>
      <w:bookmarkStart w:id="3" w:name="_Toc131505278"/>
      <w:bookmarkStart w:id="4" w:name="_Toc132641408"/>
      <w:bookmarkStart w:id="5" w:name="_Toc135390567"/>
      <w:bookmarkStart w:id="6" w:name="_Toc160459702"/>
      <w:bookmarkStart w:id="7" w:name="_Toc161223973"/>
      <w:r w:rsidRPr="00F7206F">
        <w:rPr>
          <w:i/>
          <w:iCs/>
        </w:rPr>
        <w:lastRenderedPageBreak/>
        <w:t>[</w:t>
      </w:r>
      <w:r w:rsidR="00D23BA7" w:rsidRPr="00F7206F">
        <w:rPr>
          <w:i/>
          <w:iCs/>
        </w:rPr>
        <w:t>T</w:t>
      </w:r>
      <w:r w:rsidRPr="00F7206F">
        <w:rPr>
          <w:i/>
          <w:iCs/>
        </w:rPr>
        <w:t xml:space="preserve">his page </w:t>
      </w:r>
      <w:r w:rsidR="00D23BA7" w:rsidRPr="00F7206F">
        <w:rPr>
          <w:i/>
          <w:iCs/>
        </w:rPr>
        <w:t xml:space="preserve">is </w:t>
      </w:r>
      <w:r w:rsidRPr="00F7206F">
        <w:rPr>
          <w:i/>
          <w:iCs/>
        </w:rPr>
        <w:t>deliberately blank]</w:t>
      </w:r>
      <w:r w:rsidRPr="00D23BA7">
        <w:rPr>
          <w:i/>
          <w:iCs/>
          <w:highlight w:val="yellow"/>
        </w:rPr>
        <w:br w:type="page"/>
      </w:r>
    </w:p>
    <w:p w14:paraId="7C11CACF" w14:textId="12E48002" w:rsidR="00304241" w:rsidRPr="00F47E6D" w:rsidRDefault="00304241" w:rsidP="00D55D79">
      <w:pPr>
        <w:pStyle w:val="Heading1"/>
      </w:pPr>
      <w:bookmarkStart w:id="8" w:name="_Toc161226085"/>
      <w:bookmarkStart w:id="9" w:name="_Toc161669363"/>
      <w:bookmarkStart w:id="10" w:name="_Toc161672779"/>
      <w:r w:rsidRPr="00F7206F">
        <w:lastRenderedPageBreak/>
        <w:t>Contents</w:t>
      </w:r>
      <w:bookmarkEnd w:id="2"/>
      <w:bookmarkEnd w:id="3"/>
      <w:bookmarkEnd w:id="4"/>
      <w:bookmarkEnd w:id="5"/>
      <w:bookmarkEnd w:id="6"/>
      <w:bookmarkEnd w:id="7"/>
      <w:bookmarkEnd w:id="8"/>
      <w:bookmarkEnd w:id="9"/>
      <w:bookmarkEnd w:id="10"/>
      <w:r>
        <w:tab/>
      </w:r>
    </w:p>
    <w:sdt>
      <w:sdtPr>
        <w:rPr>
          <w:rFonts w:ascii="Arial" w:hAnsi="Arial"/>
          <w:b w:val="0"/>
          <w:bCs w:val="0"/>
          <w:caps w:val="0"/>
          <w:sz w:val="22"/>
          <w:szCs w:val="22"/>
        </w:rPr>
        <w:id w:val="-1004362484"/>
        <w:docPartObj>
          <w:docPartGallery w:val="Table of Contents"/>
          <w:docPartUnique/>
        </w:docPartObj>
      </w:sdtPr>
      <w:sdtEndPr>
        <w:rPr>
          <w:noProof/>
          <w:sz w:val="2"/>
          <w:szCs w:val="2"/>
        </w:rPr>
      </w:sdtEndPr>
      <w:sdtContent>
        <w:p w14:paraId="087BD573" w14:textId="0C951ABF" w:rsidR="002D04B3" w:rsidRDefault="00304241">
          <w:pPr>
            <w:pStyle w:val="TOC1"/>
            <w:rPr>
              <w:rFonts w:eastAsiaTheme="minorEastAsia"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61672780" w:history="1">
            <w:r w:rsidR="002D04B3" w:rsidRPr="00F07CF2">
              <w:rPr>
                <w:rStyle w:val="Hyperlink"/>
                <w:noProof/>
              </w:rPr>
              <w:t xml:space="preserve">Commissioner’s </w:t>
            </w:r>
            <w:r w:rsidR="00A02168">
              <w:rPr>
                <w:rStyle w:val="Hyperlink"/>
                <w:noProof/>
              </w:rPr>
              <w:t>introduction</w:t>
            </w:r>
            <w:r w:rsidR="002D04B3">
              <w:rPr>
                <w:noProof/>
                <w:webHidden/>
              </w:rPr>
              <w:tab/>
            </w:r>
            <w:r w:rsidR="002D04B3">
              <w:rPr>
                <w:noProof/>
                <w:webHidden/>
              </w:rPr>
              <w:fldChar w:fldCharType="begin"/>
            </w:r>
            <w:r w:rsidR="002D04B3">
              <w:rPr>
                <w:noProof/>
                <w:webHidden/>
              </w:rPr>
              <w:instrText xml:space="preserve"> PAGEREF _Toc161672780 \h </w:instrText>
            </w:r>
            <w:r w:rsidR="002D04B3">
              <w:rPr>
                <w:noProof/>
                <w:webHidden/>
              </w:rPr>
            </w:r>
            <w:r w:rsidR="002D04B3">
              <w:rPr>
                <w:noProof/>
                <w:webHidden/>
              </w:rPr>
              <w:fldChar w:fldCharType="separate"/>
            </w:r>
            <w:r w:rsidR="0039611E">
              <w:rPr>
                <w:noProof/>
                <w:webHidden/>
              </w:rPr>
              <w:t>3</w:t>
            </w:r>
            <w:r w:rsidR="002D04B3">
              <w:rPr>
                <w:noProof/>
                <w:webHidden/>
              </w:rPr>
              <w:fldChar w:fldCharType="end"/>
            </w:r>
          </w:hyperlink>
        </w:p>
        <w:p w14:paraId="11B86516" w14:textId="774EE5A9" w:rsidR="002D04B3" w:rsidRDefault="003551F5">
          <w:pPr>
            <w:pStyle w:val="TOC2"/>
            <w:rPr>
              <w:rFonts w:eastAsiaTheme="minorEastAsia" w:cstheme="minorBidi"/>
              <w:smallCaps w:val="0"/>
              <w:noProof/>
              <w:kern w:val="2"/>
              <w:sz w:val="22"/>
              <w:szCs w:val="22"/>
              <w:lang w:eastAsia="en-AU"/>
              <w14:ligatures w14:val="standardContextual"/>
            </w:rPr>
          </w:pPr>
          <w:hyperlink w:anchor="_Toc161672781" w:history="1">
            <w:r w:rsidR="002D04B3" w:rsidRPr="00F07CF2">
              <w:rPr>
                <w:rStyle w:val="Hyperlink"/>
                <w:noProof/>
              </w:rPr>
              <w:t>The Year in Review</w:t>
            </w:r>
            <w:r w:rsidR="002D04B3">
              <w:rPr>
                <w:noProof/>
                <w:webHidden/>
              </w:rPr>
              <w:tab/>
            </w:r>
            <w:r w:rsidR="002D04B3">
              <w:rPr>
                <w:noProof/>
                <w:webHidden/>
              </w:rPr>
              <w:fldChar w:fldCharType="begin"/>
            </w:r>
            <w:r w:rsidR="002D04B3">
              <w:rPr>
                <w:noProof/>
                <w:webHidden/>
              </w:rPr>
              <w:instrText xml:space="preserve"> PAGEREF _Toc161672781 \h </w:instrText>
            </w:r>
            <w:r w:rsidR="002D04B3">
              <w:rPr>
                <w:noProof/>
                <w:webHidden/>
              </w:rPr>
            </w:r>
            <w:r w:rsidR="002D04B3">
              <w:rPr>
                <w:noProof/>
                <w:webHidden/>
              </w:rPr>
              <w:fldChar w:fldCharType="separate"/>
            </w:r>
            <w:r w:rsidR="0039611E">
              <w:rPr>
                <w:noProof/>
                <w:webHidden/>
              </w:rPr>
              <w:t>3</w:t>
            </w:r>
            <w:r w:rsidR="002D04B3">
              <w:rPr>
                <w:noProof/>
                <w:webHidden/>
              </w:rPr>
              <w:fldChar w:fldCharType="end"/>
            </w:r>
          </w:hyperlink>
        </w:p>
        <w:p w14:paraId="6A0ABB55" w14:textId="6DAFC6FC" w:rsidR="002D04B3" w:rsidRDefault="003551F5">
          <w:pPr>
            <w:pStyle w:val="TOC2"/>
            <w:rPr>
              <w:rFonts w:eastAsiaTheme="minorEastAsia" w:cstheme="minorBidi"/>
              <w:smallCaps w:val="0"/>
              <w:noProof/>
              <w:kern w:val="2"/>
              <w:sz w:val="22"/>
              <w:szCs w:val="22"/>
              <w:lang w:eastAsia="en-AU"/>
              <w14:ligatures w14:val="standardContextual"/>
            </w:rPr>
          </w:pPr>
          <w:hyperlink w:anchor="_Toc161672782" w:history="1">
            <w:r w:rsidR="002D04B3" w:rsidRPr="00F07CF2">
              <w:rPr>
                <w:rStyle w:val="Hyperlink"/>
                <w:noProof/>
              </w:rPr>
              <w:t>The Year Ahead</w:t>
            </w:r>
            <w:r w:rsidR="002D04B3">
              <w:rPr>
                <w:noProof/>
                <w:webHidden/>
              </w:rPr>
              <w:tab/>
            </w:r>
            <w:r w:rsidR="002D04B3">
              <w:rPr>
                <w:noProof/>
                <w:webHidden/>
              </w:rPr>
              <w:fldChar w:fldCharType="begin"/>
            </w:r>
            <w:r w:rsidR="002D04B3">
              <w:rPr>
                <w:noProof/>
                <w:webHidden/>
              </w:rPr>
              <w:instrText xml:space="preserve"> PAGEREF _Toc161672782 \h </w:instrText>
            </w:r>
            <w:r w:rsidR="002D04B3">
              <w:rPr>
                <w:noProof/>
                <w:webHidden/>
              </w:rPr>
            </w:r>
            <w:r w:rsidR="002D04B3">
              <w:rPr>
                <w:noProof/>
                <w:webHidden/>
              </w:rPr>
              <w:fldChar w:fldCharType="separate"/>
            </w:r>
            <w:r w:rsidR="0039611E">
              <w:rPr>
                <w:noProof/>
                <w:webHidden/>
              </w:rPr>
              <w:t>3</w:t>
            </w:r>
            <w:r w:rsidR="002D04B3">
              <w:rPr>
                <w:noProof/>
                <w:webHidden/>
              </w:rPr>
              <w:fldChar w:fldCharType="end"/>
            </w:r>
          </w:hyperlink>
        </w:p>
        <w:p w14:paraId="38C18A84" w14:textId="20DA25D0" w:rsidR="002D04B3" w:rsidRDefault="003551F5">
          <w:pPr>
            <w:pStyle w:val="TOC1"/>
            <w:rPr>
              <w:rFonts w:eastAsiaTheme="minorEastAsia" w:cstheme="minorBidi"/>
              <w:b w:val="0"/>
              <w:bCs w:val="0"/>
              <w:caps w:val="0"/>
              <w:noProof/>
              <w:kern w:val="2"/>
              <w:sz w:val="22"/>
              <w:szCs w:val="22"/>
              <w:lang w:eastAsia="en-AU"/>
              <w14:ligatures w14:val="standardContextual"/>
            </w:rPr>
          </w:pPr>
          <w:hyperlink w:anchor="_Toc161672783" w:history="1">
            <w:r w:rsidR="002D04B3" w:rsidRPr="00F07CF2">
              <w:rPr>
                <w:rStyle w:val="Hyperlink"/>
                <w:noProof/>
              </w:rPr>
              <w:t>OFFICE Overview</w:t>
            </w:r>
            <w:r w:rsidR="002D04B3">
              <w:rPr>
                <w:noProof/>
                <w:webHidden/>
              </w:rPr>
              <w:tab/>
            </w:r>
            <w:r w:rsidR="002D04B3">
              <w:rPr>
                <w:noProof/>
                <w:webHidden/>
              </w:rPr>
              <w:fldChar w:fldCharType="begin"/>
            </w:r>
            <w:r w:rsidR="002D04B3">
              <w:rPr>
                <w:noProof/>
                <w:webHidden/>
              </w:rPr>
              <w:instrText xml:space="preserve"> PAGEREF _Toc161672783 \h </w:instrText>
            </w:r>
            <w:r w:rsidR="002D04B3">
              <w:rPr>
                <w:noProof/>
                <w:webHidden/>
              </w:rPr>
            </w:r>
            <w:r w:rsidR="002D04B3">
              <w:rPr>
                <w:noProof/>
                <w:webHidden/>
              </w:rPr>
              <w:fldChar w:fldCharType="separate"/>
            </w:r>
            <w:r w:rsidR="0039611E">
              <w:rPr>
                <w:noProof/>
                <w:webHidden/>
              </w:rPr>
              <w:t>5</w:t>
            </w:r>
            <w:r w:rsidR="002D04B3">
              <w:rPr>
                <w:noProof/>
                <w:webHidden/>
              </w:rPr>
              <w:fldChar w:fldCharType="end"/>
            </w:r>
          </w:hyperlink>
        </w:p>
        <w:p w14:paraId="73EBAD3C" w14:textId="70740405" w:rsidR="002D04B3" w:rsidRDefault="003551F5">
          <w:pPr>
            <w:pStyle w:val="TOC2"/>
            <w:rPr>
              <w:rFonts w:eastAsiaTheme="minorEastAsia" w:cstheme="minorBidi"/>
              <w:smallCaps w:val="0"/>
              <w:noProof/>
              <w:kern w:val="2"/>
              <w:sz w:val="22"/>
              <w:szCs w:val="22"/>
              <w:lang w:eastAsia="en-AU"/>
              <w14:ligatures w14:val="standardContextual"/>
            </w:rPr>
          </w:pPr>
          <w:hyperlink w:anchor="_Toc161672784" w:history="1">
            <w:r w:rsidR="002D04B3" w:rsidRPr="00F07CF2">
              <w:rPr>
                <w:rStyle w:val="Hyperlink"/>
                <w:noProof/>
              </w:rPr>
              <w:t>Background</w:t>
            </w:r>
            <w:r w:rsidR="002D04B3">
              <w:rPr>
                <w:noProof/>
                <w:webHidden/>
              </w:rPr>
              <w:tab/>
            </w:r>
            <w:r w:rsidR="002D04B3">
              <w:rPr>
                <w:noProof/>
                <w:webHidden/>
              </w:rPr>
              <w:fldChar w:fldCharType="begin"/>
            </w:r>
            <w:r w:rsidR="002D04B3">
              <w:rPr>
                <w:noProof/>
                <w:webHidden/>
              </w:rPr>
              <w:instrText xml:space="preserve"> PAGEREF _Toc161672784 \h </w:instrText>
            </w:r>
            <w:r w:rsidR="002D04B3">
              <w:rPr>
                <w:noProof/>
                <w:webHidden/>
              </w:rPr>
            </w:r>
            <w:r w:rsidR="002D04B3">
              <w:rPr>
                <w:noProof/>
                <w:webHidden/>
              </w:rPr>
              <w:fldChar w:fldCharType="separate"/>
            </w:r>
            <w:r w:rsidR="0039611E">
              <w:rPr>
                <w:noProof/>
                <w:webHidden/>
              </w:rPr>
              <w:t>5</w:t>
            </w:r>
            <w:r w:rsidR="002D04B3">
              <w:rPr>
                <w:noProof/>
                <w:webHidden/>
              </w:rPr>
              <w:fldChar w:fldCharType="end"/>
            </w:r>
          </w:hyperlink>
        </w:p>
        <w:p w14:paraId="3361DB59" w14:textId="6341E77B" w:rsidR="002D04B3" w:rsidRDefault="003551F5">
          <w:pPr>
            <w:pStyle w:val="TOC2"/>
            <w:rPr>
              <w:rFonts w:eastAsiaTheme="minorEastAsia" w:cstheme="minorBidi"/>
              <w:smallCaps w:val="0"/>
              <w:noProof/>
              <w:kern w:val="2"/>
              <w:sz w:val="22"/>
              <w:szCs w:val="22"/>
              <w:lang w:eastAsia="en-AU"/>
              <w14:ligatures w14:val="standardContextual"/>
            </w:rPr>
          </w:pPr>
          <w:hyperlink w:anchor="_Toc161672785" w:history="1">
            <w:r w:rsidR="002D04B3" w:rsidRPr="00F07CF2">
              <w:rPr>
                <w:rStyle w:val="Hyperlink"/>
                <w:noProof/>
              </w:rPr>
              <w:t>Who We Are</w:t>
            </w:r>
            <w:r w:rsidR="002D04B3">
              <w:rPr>
                <w:noProof/>
                <w:webHidden/>
              </w:rPr>
              <w:tab/>
            </w:r>
            <w:r w:rsidR="002D04B3">
              <w:rPr>
                <w:noProof/>
                <w:webHidden/>
              </w:rPr>
              <w:fldChar w:fldCharType="begin"/>
            </w:r>
            <w:r w:rsidR="002D04B3">
              <w:rPr>
                <w:noProof/>
                <w:webHidden/>
              </w:rPr>
              <w:instrText xml:space="preserve"> PAGEREF _Toc161672785 \h </w:instrText>
            </w:r>
            <w:r w:rsidR="002D04B3">
              <w:rPr>
                <w:noProof/>
                <w:webHidden/>
              </w:rPr>
            </w:r>
            <w:r w:rsidR="002D04B3">
              <w:rPr>
                <w:noProof/>
                <w:webHidden/>
              </w:rPr>
              <w:fldChar w:fldCharType="separate"/>
            </w:r>
            <w:r w:rsidR="0039611E">
              <w:rPr>
                <w:noProof/>
                <w:webHidden/>
              </w:rPr>
              <w:t>5</w:t>
            </w:r>
            <w:r w:rsidR="002D04B3">
              <w:rPr>
                <w:noProof/>
                <w:webHidden/>
              </w:rPr>
              <w:fldChar w:fldCharType="end"/>
            </w:r>
          </w:hyperlink>
        </w:p>
        <w:p w14:paraId="4C28A53F" w14:textId="0D1DA353" w:rsidR="002D04B3" w:rsidRDefault="003551F5">
          <w:pPr>
            <w:pStyle w:val="TOC2"/>
            <w:rPr>
              <w:rFonts w:eastAsiaTheme="minorEastAsia" w:cstheme="minorBidi"/>
              <w:smallCaps w:val="0"/>
              <w:noProof/>
              <w:kern w:val="2"/>
              <w:sz w:val="22"/>
              <w:szCs w:val="22"/>
              <w:lang w:eastAsia="en-AU"/>
              <w14:ligatures w14:val="standardContextual"/>
            </w:rPr>
          </w:pPr>
          <w:hyperlink w:anchor="_Toc161672786" w:history="1">
            <w:r w:rsidR="002D04B3" w:rsidRPr="00F07CF2">
              <w:rPr>
                <w:rStyle w:val="Hyperlink"/>
                <w:noProof/>
              </w:rPr>
              <w:t>Contact Details</w:t>
            </w:r>
            <w:r w:rsidR="002D04B3">
              <w:rPr>
                <w:noProof/>
                <w:webHidden/>
              </w:rPr>
              <w:tab/>
            </w:r>
            <w:r w:rsidR="002D04B3">
              <w:rPr>
                <w:noProof/>
                <w:webHidden/>
              </w:rPr>
              <w:fldChar w:fldCharType="begin"/>
            </w:r>
            <w:r w:rsidR="002D04B3">
              <w:rPr>
                <w:noProof/>
                <w:webHidden/>
              </w:rPr>
              <w:instrText xml:space="preserve"> PAGEREF _Toc161672786 \h </w:instrText>
            </w:r>
            <w:r w:rsidR="002D04B3">
              <w:rPr>
                <w:noProof/>
                <w:webHidden/>
              </w:rPr>
            </w:r>
            <w:r w:rsidR="002D04B3">
              <w:rPr>
                <w:noProof/>
                <w:webHidden/>
              </w:rPr>
              <w:fldChar w:fldCharType="separate"/>
            </w:r>
            <w:r w:rsidR="0039611E">
              <w:rPr>
                <w:noProof/>
                <w:webHidden/>
              </w:rPr>
              <w:t>5</w:t>
            </w:r>
            <w:r w:rsidR="002D04B3">
              <w:rPr>
                <w:noProof/>
                <w:webHidden/>
              </w:rPr>
              <w:fldChar w:fldCharType="end"/>
            </w:r>
          </w:hyperlink>
        </w:p>
        <w:p w14:paraId="4E583967" w14:textId="79879EFC" w:rsidR="002D04B3" w:rsidRDefault="003551F5">
          <w:pPr>
            <w:pStyle w:val="TOC1"/>
            <w:rPr>
              <w:rFonts w:eastAsiaTheme="minorEastAsia" w:cstheme="minorBidi"/>
              <w:b w:val="0"/>
              <w:bCs w:val="0"/>
              <w:caps w:val="0"/>
              <w:noProof/>
              <w:kern w:val="2"/>
              <w:sz w:val="22"/>
              <w:szCs w:val="22"/>
              <w:lang w:eastAsia="en-AU"/>
              <w14:ligatures w14:val="standardContextual"/>
            </w:rPr>
          </w:pPr>
          <w:hyperlink w:anchor="_Toc161672787" w:history="1">
            <w:r w:rsidR="002D04B3" w:rsidRPr="00F07CF2">
              <w:rPr>
                <w:rStyle w:val="Hyperlink"/>
                <w:noProof/>
              </w:rPr>
              <w:t>case DATA</w:t>
            </w:r>
            <w:r w:rsidR="002D04B3">
              <w:rPr>
                <w:noProof/>
                <w:webHidden/>
              </w:rPr>
              <w:tab/>
            </w:r>
            <w:r w:rsidR="002D04B3">
              <w:rPr>
                <w:noProof/>
                <w:webHidden/>
              </w:rPr>
              <w:fldChar w:fldCharType="begin"/>
            </w:r>
            <w:r w:rsidR="002D04B3">
              <w:rPr>
                <w:noProof/>
                <w:webHidden/>
              </w:rPr>
              <w:instrText xml:space="preserve"> PAGEREF _Toc161672787 \h </w:instrText>
            </w:r>
            <w:r w:rsidR="002D04B3">
              <w:rPr>
                <w:noProof/>
                <w:webHidden/>
              </w:rPr>
            </w:r>
            <w:r w:rsidR="002D04B3">
              <w:rPr>
                <w:noProof/>
                <w:webHidden/>
              </w:rPr>
              <w:fldChar w:fldCharType="separate"/>
            </w:r>
            <w:r w:rsidR="0039611E">
              <w:rPr>
                <w:noProof/>
                <w:webHidden/>
              </w:rPr>
              <w:t>6</w:t>
            </w:r>
            <w:r w:rsidR="002D04B3">
              <w:rPr>
                <w:noProof/>
                <w:webHidden/>
              </w:rPr>
              <w:fldChar w:fldCharType="end"/>
            </w:r>
          </w:hyperlink>
        </w:p>
        <w:p w14:paraId="299F0441" w14:textId="70E750ED" w:rsidR="002D04B3" w:rsidRDefault="003551F5">
          <w:pPr>
            <w:pStyle w:val="TOC2"/>
            <w:rPr>
              <w:rFonts w:eastAsiaTheme="minorEastAsia" w:cstheme="minorBidi"/>
              <w:smallCaps w:val="0"/>
              <w:noProof/>
              <w:kern w:val="2"/>
              <w:sz w:val="22"/>
              <w:szCs w:val="22"/>
              <w:lang w:eastAsia="en-AU"/>
              <w14:ligatures w14:val="standardContextual"/>
            </w:rPr>
          </w:pPr>
          <w:hyperlink w:anchor="_Toc161672788" w:history="1">
            <w:r w:rsidR="002D04B3" w:rsidRPr="00F07CF2">
              <w:rPr>
                <w:rStyle w:val="Hyperlink"/>
                <w:noProof/>
              </w:rPr>
              <w:t>Complaint Management Process</w:t>
            </w:r>
            <w:r w:rsidR="002D04B3">
              <w:rPr>
                <w:noProof/>
                <w:webHidden/>
              </w:rPr>
              <w:tab/>
            </w:r>
            <w:r w:rsidR="002D04B3">
              <w:rPr>
                <w:noProof/>
                <w:webHidden/>
              </w:rPr>
              <w:fldChar w:fldCharType="begin"/>
            </w:r>
            <w:r w:rsidR="002D04B3">
              <w:rPr>
                <w:noProof/>
                <w:webHidden/>
              </w:rPr>
              <w:instrText xml:space="preserve"> PAGEREF _Toc161672788 \h </w:instrText>
            </w:r>
            <w:r w:rsidR="002D04B3">
              <w:rPr>
                <w:noProof/>
                <w:webHidden/>
              </w:rPr>
            </w:r>
            <w:r w:rsidR="002D04B3">
              <w:rPr>
                <w:noProof/>
                <w:webHidden/>
              </w:rPr>
              <w:fldChar w:fldCharType="separate"/>
            </w:r>
            <w:r w:rsidR="0039611E">
              <w:rPr>
                <w:noProof/>
                <w:webHidden/>
              </w:rPr>
              <w:t>6</w:t>
            </w:r>
            <w:r w:rsidR="002D04B3">
              <w:rPr>
                <w:noProof/>
                <w:webHidden/>
              </w:rPr>
              <w:fldChar w:fldCharType="end"/>
            </w:r>
          </w:hyperlink>
        </w:p>
        <w:p w14:paraId="5472F14D" w14:textId="4BCFF634" w:rsidR="002D04B3" w:rsidRDefault="003551F5">
          <w:pPr>
            <w:pStyle w:val="TOC2"/>
            <w:rPr>
              <w:rFonts w:eastAsiaTheme="minorEastAsia" w:cstheme="minorBidi"/>
              <w:smallCaps w:val="0"/>
              <w:noProof/>
              <w:kern w:val="2"/>
              <w:sz w:val="22"/>
              <w:szCs w:val="22"/>
              <w:lang w:eastAsia="en-AU"/>
              <w14:ligatures w14:val="standardContextual"/>
            </w:rPr>
          </w:pPr>
          <w:hyperlink w:anchor="_Toc161672789" w:history="1">
            <w:r w:rsidR="002D04B3" w:rsidRPr="00F07CF2">
              <w:rPr>
                <w:rStyle w:val="Hyperlink"/>
                <w:noProof/>
              </w:rPr>
              <w:t>Complaint Handling Policy</w:t>
            </w:r>
            <w:r w:rsidR="002D04B3">
              <w:rPr>
                <w:noProof/>
                <w:webHidden/>
              </w:rPr>
              <w:tab/>
            </w:r>
            <w:r w:rsidR="002D04B3">
              <w:rPr>
                <w:noProof/>
                <w:webHidden/>
              </w:rPr>
              <w:fldChar w:fldCharType="begin"/>
            </w:r>
            <w:r w:rsidR="002D04B3">
              <w:rPr>
                <w:noProof/>
                <w:webHidden/>
              </w:rPr>
              <w:instrText xml:space="preserve"> PAGEREF _Toc161672789 \h </w:instrText>
            </w:r>
            <w:r w:rsidR="002D04B3">
              <w:rPr>
                <w:noProof/>
                <w:webHidden/>
              </w:rPr>
            </w:r>
            <w:r w:rsidR="002D04B3">
              <w:rPr>
                <w:noProof/>
                <w:webHidden/>
              </w:rPr>
              <w:fldChar w:fldCharType="separate"/>
            </w:r>
            <w:r w:rsidR="0039611E">
              <w:rPr>
                <w:noProof/>
                <w:webHidden/>
              </w:rPr>
              <w:t>6</w:t>
            </w:r>
            <w:r w:rsidR="002D04B3">
              <w:rPr>
                <w:noProof/>
                <w:webHidden/>
              </w:rPr>
              <w:fldChar w:fldCharType="end"/>
            </w:r>
          </w:hyperlink>
        </w:p>
        <w:p w14:paraId="589FFFF2" w14:textId="1BC107C7" w:rsidR="002D04B3" w:rsidRDefault="003551F5">
          <w:pPr>
            <w:pStyle w:val="TOC2"/>
            <w:rPr>
              <w:rFonts w:eastAsiaTheme="minorEastAsia" w:cstheme="minorBidi"/>
              <w:smallCaps w:val="0"/>
              <w:noProof/>
              <w:kern w:val="2"/>
              <w:sz w:val="22"/>
              <w:szCs w:val="22"/>
              <w:lang w:eastAsia="en-AU"/>
              <w14:ligatures w14:val="standardContextual"/>
            </w:rPr>
          </w:pPr>
          <w:hyperlink w:anchor="_Toc161672790" w:history="1">
            <w:r w:rsidR="002D04B3" w:rsidRPr="00F07CF2">
              <w:rPr>
                <w:rStyle w:val="Hyperlink"/>
                <w:noProof/>
              </w:rPr>
              <w:t>Case Activity in 2023</w:t>
            </w:r>
            <w:r w:rsidR="002D04B3">
              <w:rPr>
                <w:noProof/>
                <w:webHidden/>
              </w:rPr>
              <w:tab/>
            </w:r>
            <w:r w:rsidR="002D04B3">
              <w:rPr>
                <w:noProof/>
                <w:webHidden/>
              </w:rPr>
              <w:fldChar w:fldCharType="begin"/>
            </w:r>
            <w:r w:rsidR="002D04B3">
              <w:rPr>
                <w:noProof/>
                <w:webHidden/>
              </w:rPr>
              <w:instrText xml:space="preserve"> PAGEREF _Toc161672790 \h </w:instrText>
            </w:r>
            <w:r w:rsidR="002D04B3">
              <w:rPr>
                <w:noProof/>
                <w:webHidden/>
              </w:rPr>
            </w:r>
            <w:r w:rsidR="002D04B3">
              <w:rPr>
                <w:noProof/>
                <w:webHidden/>
              </w:rPr>
              <w:fldChar w:fldCharType="separate"/>
            </w:r>
            <w:r w:rsidR="0039611E">
              <w:rPr>
                <w:noProof/>
                <w:webHidden/>
              </w:rPr>
              <w:t>6</w:t>
            </w:r>
            <w:r w:rsidR="002D04B3">
              <w:rPr>
                <w:noProof/>
                <w:webHidden/>
              </w:rPr>
              <w:fldChar w:fldCharType="end"/>
            </w:r>
          </w:hyperlink>
        </w:p>
        <w:p w14:paraId="0D2AD31D" w14:textId="53D130A9" w:rsidR="002D04B3" w:rsidRDefault="003551F5" w:rsidP="00810F0D">
          <w:pPr>
            <w:pStyle w:val="TOC3"/>
            <w:rPr>
              <w:rFonts w:eastAsiaTheme="minorEastAsia" w:cstheme="minorBidi"/>
              <w:noProof/>
              <w:kern w:val="2"/>
              <w:sz w:val="22"/>
              <w:szCs w:val="22"/>
              <w:lang w:eastAsia="en-AU"/>
              <w14:ligatures w14:val="standardContextual"/>
            </w:rPr>
          </w:pPr>
          <w:hyperlink w:anchor="_Toc161672791" w:history="1">
            <w:r w:rsidR="002D04B3" w:rsidRPr="00F07CF2">
              <w:rPr>
                <w:rStyle w:val="Hyperlink"/>
                <w:noProof/>
              </w:rPr>
              <w:t>Key observations on complaint data for 2023</w:t>
            </w:r>
            <w:r w:rsidR="002D04B3">
              <w:rPr>
                <w:noProof/>
                <w:webHidden/>
              </w:rPr>
              <w:tab/>
            </w:r>
            <w:r w:rsidR="002D04B3">
              <w:rPr>
                <w:noProof/>
                <w:webHidden/>
              </w:rPr>
              <w:fldChar w:fldCharType="begin"/>
            </w:r>
            <w:r w:rsidR="002D04B3">
              <w:rPr>
                <w:noProof/>
                <w:webHidden/>
              </w:rPr>
              <w:instrText xml:space="preserve"> PAGEREF _Toc161672791 \h </w:instrText>
            </w:r>
            <w:r w:rsidR="002D04B3">
              <w:rPr>
                <w:noProof/>
                <w:webHidden/>
              </w:rPr>
            </w:r>
            <w:r w:rsidR="002D04B3">
              <w:rPr>
                <w:noProof/>
                <w:webHidden/>
              </w:rPr>
              <w:fldChar w:fldCharType="separate"/>
            </w:r>
            <w:r w:rsidR="0039611E">
              <w:rPr>
                <w:noProof/>
                <w:webHidden/>
              </w:rPr>
              <w:t>7</w:t>
            </w:r>
            <w:r w:rsidR="002D04B3">
              <w:rPr>
                <w:noProof/>
                <w:webHidden/>
              </w:rPr>
              <w:fldChar w:fldCharType="end"/>
            </w:r>
          </w:hyperlink>
        </w:p>
        <w:p w14:paraId="3EF1BE1A" w14:textId="3616AD04" w:rsidR="002D04B3" w:rsidRDefault="003551F5" w:rsidP="00810F0D">
          <w:pPr>
            <w:pStyle w:val="TOC3"/>
            <w:rPr>
              <w:rFonts w:eastAsiaTheme="minorEastAsia" w:cstheme="minorBidi"/>
              <w:noProof/>
              <w:kern w:val="2"/>
              <w:sz w:val="22"/>
              <w:szCs w:val="22"/>
              <w:lang w:eastAsia="en-AU"/>
              <w14:ligatures w14:val="standardContextual"/>
            </w:rPr>
          </w:pPr>
          <w:hyperlink w:anchor="_Toc161672792" w:history="1">
            <w:r w:rsidR="002D04B3" w:rsidRPr="00F07CF2">
              <w:rPr>
                <w:rStyle w:val="Hyperlink"/>
                <w:noProof/>
              </w:rPr>
              <w:t>Proposed and operating wind farms, and proposed offshore zones in 2023</w:t>
            </w:r>
            <w:r w:rsidR="002D04B3">
              <w:rPr>
                <w:noProof/>
                <w:webHidden/>
              </w:rPr>
              <w:tab/>
            </w:r>
            <w:r w:rsidR="002D04B3">
              <w:rPr>
                <w:noProof/>
                <w:webHidden/>
              </w:rPr>
              <w:fldChar w:fldCharType="begin"/>
            </w:r>
            <w:r w:rsidR="002D04B3">
              <w:rPr>
                <w:noProof/>
                <w:webHidden/>
              </w:rPr>
              <w:instrText xml:space="preserve"> PAGEREF _Toc161672792 \h </w:instrText>
            </w:r>
            <w:r w:rsidR="002D04B3">
              <w:rPr>
                <w:noProof/>
                <w:webHidden/>
              </w:rPr>
            </w:r>
            <w:r w:rsidR="002D04B3">
              <w:rPr>
                <w:noProof/>
                <w:webHidden/>
              </w:rPr>
              <w:fldChar w:fldCharType="separate"/>
            </w:r>
            <w:r w:rsidR="0039611E">
              <w:rPr>
                <w:noProof/>
                <w:webHidden/>
              </w:rPr>
              <w:t>9</w:t>
            </w:r>
            <w:r w:rsidR="002D04B3">
              <w:rPr>
                <w:noProof/>
                <w:webHidden/>
              </w:rPr>
              <w:fldChar w:fldCharType="end"/>
            </w:r>
          </w:hyperlink>
        </w:p>
        <w:p w14:paraId="5B16B89F" w14:textId="35F871E7" w:rsidR="002D04B3" w:rsidRDefault="003551F5" w:rsidP="00810F0D">
          <w:pPr>
            <w:pStyle w:val="TOC3"/>
            <w:rPr>
              <w:rFonts w:eastAsiaTheme="minorEastAsia" w:cstheme="minorBidi"/>
              <w:noProof/>
              <w:kern w:val="2"/>
              <w:sz w:val="22"/>
              <w:szCs w:val="22"/>
              <w:lang w:eastAsia="en-AU"/>
              <w14:ligatures w14:val="standardContextual"/>
            </w:rPr>
          </w:pPr>
          <w:hyperlink w:anchor="_Toc161672793" w:history="1">
            <w:r w:rsidR="002D04B3" w:rsidRPr="00F07CF2">
              <w:rPr>
                <w:rStyle w:val="Hyperlink"/>
                <w:noProof/>
              </w:rPr>
              <w:t>Solar farms, pumped hydro and energy storage in 2023</w:t>
            </w:r>
            <w:r w:rsidR="002D04B3">
              <w:rPr>
                <w:noProof/>
                <w:webHidden/>
              </w:rPr>
              <w:tab/>
            </w:r>
            <w:r w:rsidR="002D04B3">
              <w:rPr>
                <w:noProof/>
                <w:webHidden/>
              </w:rPr>
              <w:fldChar w:fldCharType="begin"/>
            </w:r>
            <w:r w:rsidR="002D04B3">
              <w:rPr>
                <w:noProof/>
                <w:webHidden/>
              </w:rPr>
              <w:instrText xml:space="preserve"> PAGEREF _Toc161672793 \h </w:instrText>
            </w:r>
            <w:r w:rsidR="002D04B3">
              <w:rPr>
                <w:noProof/>
                <w:webHidden/>
              </w:rPr>
            </w:r>
            <w:r w:rsidR="002D04B3">
              <w:rPr>
                <w:noProof/>
                <w:webHidden/>
              </w:rPr>
              <w:fldChar w:fldCharType="separate"/>
            </w:r>
            <w:r w:rsidR="0039611E">
              <w:rPr>
                <w:noProof/>
                <w:webHidden/>
              </w:rPr>
              <w:t>10</w:t>
            </w:r>
            <w:r w:rsidR="002D04B3">
              <w:rPr>
                <w:noProof/>
                <w:webHidden/>
              </w:rPr>
              <w:fldChar w:fldCharType="end"/>
            </w:r>
          </w:hyperlink>
        </w:p>
        <w:p w14:paraId="11B5890D" w14:textId="2059661E" w:rsidR="002D04B3" w:rsidRDefault="003551F5" w:rsidP="00810F0D">
          <w:pPr>
            <w:pStyle w:val="TOC3"/>
            <w:rPr>
              <w:rFonts w:eastAsiaTheme="minorEastAsia" w:cstheme="minorBidi"/>
              <w:noProof/>
              <w:kern w:val="2"/>
              <w:sz w:val="22"/>
              <w:szCs w:val="22"/>
              <w:lang w:eastAsia="en-AU"/>
              <w14:ligatures w14:val="standardContextual"/>
            </w:rPr>
          </w:pPr>
          <w:hyperlink w:anchor="_Toc161672794" w:history="1">
            <w:r w:rsidR="002D04B3" w:rsidRPr="00F07CF2">
              <w:rPr>
                <w:rStyle w:val="Hyperlink"/>
                <w:noProof/>
              </w:rPr>
              <w:t>Transmission-related cases in 2023</w:t>
            </w:r>
            <w:r w:rsidR="002D04B3">
              <w:rPr>
                <w:noProof/>
                <w:webHidden/>
              </w:rPr>
              <w:tab/>
            </w:r>
            <w:r w:rsidR="002D04B3">
              <w:rPr>
                <w:noProof/>
                <w:webHidden/>
              </w:rPr>
              <w:fldChar w:fldCharType="begin"/>
            </w:r>
            <w:r w:rsidR="002D04B3">
              <w:rPr>
                <w:noProof/>
                <w:webHidden/>
              </w:rPr>
              <w:instrText xml:space="preserve"> PAGEREF _Toc161672794 \h </w:instrText>
            </w:r>
            <w:r w:rsidR="002D04B3">
              <w:rPr>
                <w:noProof/>
                <w:webHidden/>
              </w:rPr>
            </w:r>
            <w:r w:rsidR="002D04B3">
              <w:rPr>
                <w:noProof/>
                <w:webHidden/>
              </w:rPr>
              <w:fldChar w:fldCharType="separate"/>
            </w:r>
            <w:r w:rsidR="0039611E">
              <w:rPr>
                <w:noProof/>
                <w:webHidden/>
              </w:rPr>
              <w:t>11</w:t>
            </w:r>
            <w:r w:rsidR="002D04B3">
              <w:rPr>
                <w:noProof/>
                <w:webHidden/>
              </w:rPr>
              <w:fldChar w:fldCharType="end"/>
            </w:r>
          </w:hyperlink>
        </w:p>
        <w:p w14:paraId="7C5770AA" w14:textId="01A98D7F" w:rsidR="002D04B3" w:rsidRDefault="003551F5">
          <w:pPr>
            <w:pStyle w:val="TOC2"/>
            <w:rPr>
              <w:rFonts w:eastAsiaTheme="minorEastAsia" w:cstheme="minorBidi"/>
              <w:smallCaps w:val="0"/>
              <w:noProof/>
              <w:kern w:val="2"/>
              <w:sz w:val="22"/>
              <w:szCs w:val="22"/>
              <w:lang w:eastAsia="en-AU"/>
              <w14:ligatures w14:val="standardContextual"/>
            </w:rPr>
          </w:pPr>
          <w:hyperlink w:anchor="_Toc161672795" w:history="1">
            <w:r w:rsidR="002D04B3" w:rsidRPr="00F07CF2">
              <w:rPr>
                <w:rStyle w:val="Hyperlink"/>
                <w:noProof/>
              </w:rPr>
              <w:t>Case activity since inception</w:t>
            </w:r>
            <w:r w:rsidR="002D04B3">
              <w:rPr>
                <w:noProof/>
                <w:webHidden/>
              </w:rPr>
              <w:tab/>
            </w:r>
            <w:r w:rsidR="002D04B3">
              <w:rPr>
                <w:noProof/>
                <w:webHidden/>
              </w:rPr>
              <w:fldChar w:fldCharType="begin"/>
            </w:r>
            <w:r w:rsidR="002D04B3">
              <w:rPr>
                <w:noProof/>
                <w:webHidden/>
              </w:rPr>
              <w:instrText xml:space="preserve"> PAGEREF _Toc161672795 \h </w:instrText>
            </w:r>
            <w:r w:rsidR="002D04B3">
              <w:rPr>
                <w:noProof/>
                <w:webHidden/>
              </w:rPr>
            </w:r>
            <w:r w:rsidR="002D04B3">
              <w:rPr>
                <w:noProof/>
                <w:webHidden/>
              </w:rPr>
              <w:fldChar w:fldCharType="separate"/>
            </w:r>
            <w:r w:rsidR="0039611E">
              <w:rPr>
                <w:noProof/>
                <w:webHidden/>
              </w:rPr>
              <w:t>11</w:t>
            </w:r>
            <w:r w:rsidR="002D04B3">
              <w:rPr>
                <w:noProof/>
                <w:webHidden/>
              </w:rPr>
              <w:fldChar w:fldCharType="end"/>
            </w:r>
          </w:hyperlink>
        </w:p>
        <w:p w14:paraId="418A2BC2" w14:textId="570B1AB6" w:rsidR="002D04B3" w:rsidRDefault="003551F5" w:rsidP="00810F0D">
          <w:pPr>
            <w:pStyle w:val="TOC3"/>
            <w:rPr>
              <w:rFonts w:eastAsiaTheme="minorEastAsia" w:cstheme="minorBidi"/>
              <w:noProof/>
              <w:kern w:val="2"/>
              <w:sz w:val="22"/>
              <w:szCs w:val="22"/>
              <w:lang w:eastAsia="en-AU"/>
              <w14:ligatures w14:val="standardContextual"/>
            </w:rPr>
          </w:pPr>
          <w:hyperlink w:anchor="_Toc161672796" w:history="1">
            <w:r w:rsidR="002D04B3" w:rsidRPr="00F07CF2">
              <w:rPr>
                <w:rStyle w:val="Hyperlink"/>
                <w:noProof/>
              </w:rPr>
              <w:t>Wind farms – overview 2015-2023</w:t>
            </w:r>
            <w:r w:rsidR="002D04B3">
              <w:rPr>
                <w:noProof/>
                <w:webHidden/>
              </w:rPr>
              <w:tab/>
            </w:r>
            <w:r w:rsidR="002D04B3">
              <w:rPr>
                <w:noProof/>
                <w:webHidden/>
              </w:rPr>
              <w:fldChar w:fldCharType="begin"/>
            </w:r>
            <w:r w:rsidR="002D04B3">
              <w:rPr>
                <w:noProof/>
                <w:webHidden/>
              </w:rPr>
              <w:instrText xml:space="preserve"> PAGEREF _Toc161672796 \h </w:instrText>
            </w:r>
            <w:r w:rsidR="002D04B3">
              <w:rPr>
                <w:noProof/>
                <w:webHidden/>
              </w:rPr>
            </w:r>
            <w:r w:rsidR="002D04B3">
              <w:rPr>
                <w:noProof/>
                <w:webHidden/>
              </w:rPr>
              <w:fldChar w:fldCharType="separate"/>
            </w:r>
            <w:r w:rsidR="0039611E">
              <w:rPr>
                <w:noProof/>
                <w:webHidden/>
              </w:rPr>
              <w:t>14</w:t>
            </w:r>
            <w:r w:rsidR="002D04B3">
              <w:rPr>
                <w:noProof/>
                <w:webHidden/>
              </w:rPr>
              <w:fldChar w:fldCharType="end"/>
            </w:r>
          </w:hyperlink>
        </w:p>
        <w:p w14:paraId="6CBD9102" w14:textId="5E7BC7D6" w:rsidR="002D04B3" w:rsidRDefault="003551F5" w:rsidP="00810F0D">
          <w:pPr>
            <w:pStyle w:val="TOC3"/>
            <w:rPr>
              <w:rFonts w:eastAsiaTheme="minorEastAsia" w:cstheme="minorBidi"/>
              <w:noProof/>
              <w:kern w:val="2"/>
              <w:sz w:val="22"/>
              <w:szCs w:val="22"/>
              <w:lang w:eastAsia="en-AU"/>
              <w14:ligatures w14:val="standardContextual"/>
            </w:rPr>
          </w:pPr>
          <w:hyperlink w:anchor="_Toc161672797" w:history="1">
            <w:r w:rsidR="002D04B3" w:rsidRPr="00F07CF2">
              <w:rPr>
                <w:rStyle w:val="Hyperlink"/>
                <w:noProof/>
              </w:rPr>
              <w:t>Solar farms and energy storage – overview 2018-2023</w:t>
            </w:r>
            <w:r w:rsidR="002D04B3">
              <w:rPr>
                <w:noProof/>
                <w:webHidden/>
              </w:rPr>
              <w:tab/>
            </w:r>
            <w:r w:rsidR="002D04B3">
              <w:rPr>
                <w:noProof/>
                <w:webHidden/>
              </w:rPr>
              <w:fldChar w:fldCharType="begin"/>
            </w:r>
            <w:r w:rsidR="002D04B3">
              <w:rPr>
                <w:noProof/>
                <w:webHidden/>
              </w:rPr>
              <w:instrText xml:space="preserve"> PAGEREF _Toc161672797 \h </w:instrText>
            </w:r>
            <w:r w:rsidR="002D04B3">
              <w:rPr>
                <w:noProof/>
                <w:webHidden/>
              </w:rPr>
            </w:r>
            <w:r w:rsidR="002D04B3">
              <w:rPr>
                <w:noProof/>
                <w:webHidden/>
              </w:rPr>
              <w:fldChar w:fldCharType="separate"/>
            </w:r>
            <w:r w:rsidR="0039611E">
              <w:rPr>
                <w:noProof/>
                <w:webHidden/>
              </w:rPr>
              <w:t>15</w:t>
            </w:r>
            <w:r w:rsidR="002D04B3">
              <w:rPr>
                <w:noProof/>
                <w:webHidden/>
              </w:rPr>
              <w:fldChar w:fldCharType="end"/>
            </w:r>
          </w:hyperlink>
        </w:p>
        <w:p w14:paraId="3F70EA45" w14:textId="32480315" w:rsidR="002D04B3" w:rsidRDefault="003551F5" w:rsidP="00810F0D">
          <w:pPr>
            <w:pStyle w:val="TOC3"/>
            <w:rPr>
              <w:rFonts w:eastAsiaTheme="minorEastAsia" w:cstheme="minorBidi"/>
              <w:noProof/>
              <w:kern w:val="2"/>
              <w:sz w:val="22"/>
              <w:szCs w:val="22"/>
              <w:lang w:eastAsia="en-AU"/>
              <w14:ligatures w14:val="standardContextual"/>
            </w:rPr>
          </w:pPr>
          <w:hyperlink w:anchor="_Toc161672798" w:history="1">
            <w:r w:rsidR="002D04B3" w:rsidRPr="00F07CF2">
              <w:rPr>
                <w:rStyle w:val="Hyperlink"/>
                <w:noProof/>
              </w:rPr>
              <w:t>Major transmission projects – overview 2021-2023</w:t>
            </w:r>
            <w:r w:rsidR="002D04B3">
              <w:rPr>
                <w:noProof/>
                <w:webHidden/>
              </w:rPr>
              <w:tab/>
            </w:r>
            <w:r w:rsidR="002D04B3">
              <w:rPr>
                <w:noProof/>
                <w:webHidden/>
              </w:rPr>
              <w:fldChar w:fldCharType="begin"/>
            </w:r>
            <w:r w:rsidR="002D04B3">
              <w:rPr>
                <w:noProof/>
                <w:webHidden/>
              </w:rPr>
              <w:instrText xml:space="preserve"> PAGEREF _Toc161672798 \h </w:instrText>
            </w:r>
            <w:r w:rsidR="002D04B3">
              <w:rPr>
                <w:noProof/>
                <w:webHidden/>
              </w:rPr>
            </w:r>
            <w:r w:rsidR="002D04B3">
              <w:rPr>
                <w:noProof/>
                <w:webHidden/>
              </w:rPr>
              <w:fldChar w:fldCharType="separate"/>
            </w:r>
            <w:r w:rsidR="0039611E">
              <w:rPr>
                <w:noProof/>
                <w:webHidden/>
              </w:rPr>
              <w:t>16</w:t>
            </w:r>
            <w:r w:rsidR="002D04B3">
              <w:rPr>
                <w:noProof/>
                <w:webHidden/>
              </w:rPr>
              <w:fldChar w:fldCharType="end"/>
            </w:r>
          </w:hyperlink>
        </w:p>
        <w:p w14:paraId="69D82C4F" w14:textId="3072F7D0" w:rsidR="002D04B3" w:rsidRDefault="003551F5" w:rsidP="00810F0D">
          <w:pPr>
            <w:pStyle w:val="TOC3"/>
            <w:rPr>
              <w:rFonts w:eastAsiaTheme="minorEastAsia" w:cstheme="minorBidi"/>
              <w:noProof/>
              <w:kern w:val="2"/>
              <w:sz w:val="22"/>
              <w:szCs w:val="22"/>
              <w:lang w:eastAsia="en-AU"/>
              <w14:ligatures w14:val="standardContextual"/>
            </w:rPr>
          </w:pPr>
          <w:hyperlink w:anchor="_Toc161672799" w:history="1">
            <w:r w:rsidR="002D04B3" w:rsidRPr="00F07CF2">
              <w:rPr>
                <w:rStyle w:val="Hyperlink"/>
                <w:noProof/>
              </w:rPr>
              <w:t>Resolutions and closure – overview 2015-2023</w:t>
            </w:r>
            <w:r w:rsidR="002D04B3">
              <w:rPr>
                <w:noProof/>
                <w:webHidden/>
              </w:rPr>
              <w:tab/>
            </w:r>
            <w:r w:rsidR="002D04B3">
              <w:rPr>
                <w:noProof/>
                <w:webHidden/>
              </w:rPr>
              <w:fldChar w:fldCharType="begin"/>
            </w:r>
            <w:r w:rsidR="002D04B3">
              <w:rPr>
                <w:noProof/>
                <w:webHidden/>
              </w:rPr>
              <w:instrText xml:space="preserve"> PAGEREF _Toc161672799 \h </w:instrText>
            </w:r>
            <w:r w:rsidR="002D04B3">
              <w:rPr>
                <w:noProof/>
                <w:webHidden/>
              </w:rPr>
            </w:r>
            <w:r w:rsidR="002D04B3">
              <w:rPr>
                <w:noProof/>
                <w:webHidden/>
              </w:rPr>
              <w:fldChar w:fldCharType="separate"/>
            </w:r>
            <w:r w:rsidR="0039611E">
              <w:rPr>
                <w:noProof/>
                <w:webHidden/>
              </w:rPr>
              <w:t>17</w:t>
            </w:r>
            <w:r w:rsidR="002D04B3">
              <w:rPr>
                <w:noProof/>
                <w:webHidden/>
              </w:rPr>
              <w:fldChar w:fldCharType="end"/>
            </w:r>
          </w:hyperlink>
        </w:p>
        <w:p w14:paraId="2528CB56" w14:textId="33100847" w:rsidR="002D04B3" w:rsidRDefault="003551F5" w:rsidP="00810F0D">
          <w:pPr>
            <w:pStyle w:val="TOC3"/>
            <w:rPr>
              <w:rFonts w:eastAsiaTheme="minorEastAsia" w:cstheme="minorBidi"/>
              <w:noProof/>
              <w:kern w:val="2"/>
              <w:sz w:val="22"/>
              <w:szCs w:val="22"/>
              <w:lang w:eastAsia="en-AU"/>
              <w14:ligatures w14:val="standardContextual"/>
            </w:rPr>
          </w:pPr>
          <w:hyperlink w:anchor="_Toc161672800" w:history="1">
            <w:r w:rsidR="002D04B3" w:rsidRPr="00F07CF2">
              <w:rPr>
                <w:rStyle w:val="Hyperlink"/>
                <w:noProof/>
              </w:rPr>
              <w:t>Complaint issues – overview 2015-2023</w:t>
            </w:r>
            <w:r w:rsidR="002D04B3">
              <w:rPr>
                <w:noProof/>
                <w:webHidden/>
              </w:rPr>
              <w:tab/>
            </w:r>
            <w:r w:rsidR="002D04B3">
              <w:rPr>
                <w:noProof/>
                <w:webHidden/>
              </w:rPr>
              <w:fldChar w:fldCharType="begin"/>
            </w:r>
            <w:r w:rsidR="002D04B3">
              <w:rPr>
                <w:noProof/>
                <w:webHidden/>
              </w:rPr>
              <w:instrText xml:space="preserve"> PAGEREF _Toc161672800 \h </w:instrText>
            </w:r>
            <w:r w:rsidR="002D04B3">
              <w:rPr>
                <w:noProof/>
                <w:webHidden/>
              </w:rPr>
            </w:r>
            <w:r w:rsidR="002D04B3">
              <w:rPr>
                <w:noProof/>
                <w:webHidden/>
              </w:rPr>
              <w:fldChar w:fldCharType="separate"/>
            </w:r>
            <w:r w:rsidR="0039611E">
              <w:rPr>
                <w:noProof/>
                <w:webHidden/>
              </w:rPr>
              <w:t>18</w:t>
            </w:r>
            <w:r w:rsidR="002D04B3">
              <w:rPr>
                <w:noProof/>
                <w:webHidden/>
              </w:rPr>
              <w:fldChar w:fldCharType="end"/>
            </w:r>
          </w:hyperlink>
        </w:p>
        <w:p w14:paraId="290D66A7" w14:textId="5210882C" w:rsidR="002D04B3" w:rsidRDefault="003551F5">
          <w:pPr>
            <w:pStyle w:val="TOC1"/>
            <w:rPr>
              <w:rFonts w:eastAsiaTheme="minorEastAsia" w:cstheme="minorBidi"/>
              <w:b w:val="0"/>
              <w:bCs w:val="0"/>
              <w:caps w:val="0"/>
              <w:noProof/>
              <w:kern w:val="2"/>
              <w:sz w:val="22"/>
              <w:szCs w:val="22"/>
              <w:lang w:eastAsia="en-AU"/>
              <w14:ligatures w14:val="standardContextual"/>
            </w:rPr>
          </w:pPr>
          <w:hyperlink w:anchor="_Toc161672801" w:history="1">
            <w:r w:rsidR="002D04B3" w:rsidRPr="00F07CF2">
              <w:rPr>
                <w:rStyle w:val="Hyperlink"/>
                <w:noProof/>
              </w:rPr>
              <w:t>Stakeholder Engagement</w:t>
            </w:r>
            <w:r w:rsidR="002D04B3">
              <w:rPr>
                <w:noProof/>
                <w:webHidden/>
              </w:rPr>
              <w:tab/>
            </w:r>
            <w:r w:rsidR="002D04B3">
              <w:rPr>
                <w:noProof/>
                <w:webHidden/>
              </w:rPr>
              <w:fldChar w:fldCharType="begin"/>
            </w:r>
            <w:r w:rsidR="002D04B3">
              <w:rPr>
                <w:noProof/>
                <w:webHidden/>
              </w:rPr>
              <w:instrText xml:space="preserve"> PAGEREF _Toc161672801 \h </w:instrText>
            </w:r>
            <w:r w:rsidR="002D04B3">
              <w:rPr>
                <w:noProof/>
                <w:webHidden/>
              </w:rPr>
            </w:r>
            <w:r w:rsidR="002D04B3">
              <w:rPr>
                <w:noProof/>
                <w:webHidden/>
              </w:rPr>
              <w:fldChar w:fldCharType="separate"/>
            </w:r>
            <w:r w:rsidR="0039611E">
              <w:rPr>
                <w:noProof/>
                <w:webHidden/>
              </w:rPr>
              <w:t>23</w:t>
            </w:r>
            <w:r w:rsidR="002D04B3">
              <w:rPr>
                <w:noProof/>
                <w:webHidden/>
              </w:rPr>
              <w:fldChar w:fldCharType="end"/>
            </w:r>
          </w:hyperlink>
        </w:p>
        <w:p w14:paraId="0227E84B" w14:textId="71F787B5" w:rsidR="002D04B3" w:rsidRDefault="003551F5">
          <w:pPr>
            <w:pStyle w:val="TOC2"/>
            <w:rPr>
              <w:rFonts w:eastAsiaTheme="minorEastAsia" w:cstheme="minorBidi"/>
              <w:smallCaps w:val="0"/>
              <w:noProof/>
              <w:kern w:val="2"/>
              <w:sz w:val="22"/>
              <w:szCs w:val="22"/>
              <w:lang w:eastAsia="en-AU"/>
              <w14:ligatures w14:val="standardContextual"/>
            </w:rPr>
          </w:pPr>
          <w:hyperlink w:anchor="_Toc161672802" w:history="1">
            <w:r w:rsidR="002D04B3" w:rsidRPr="00F07CF2">
              <w:rPr>
                <w:rStyle w:val="Hyperlink"/>
                <w:i/>
                <w:iCs/>
                <w:noProof/>
              </w:rPr>
              <w:t>Project and community site visits</w:t>
            </w:r>
            <w:r w:rsidR="002D04B3">
              <w:rPr>
                <w:noProof/>
                <w:webHidden/>
              </w:rPr>
              <w:tab/>
            </w:r>
            <w:r w:rsidR="002D04B3">
              <w:rPr>
                <w:noProof/>
                <w:webHidden/>
              </w:rPr>
              <w:fldChar w:fldCharType="begin"/>
            </w:r>
            <w:r w:rsidR="002D04B3">
              <w:rPr>
                <w:noProof/>
                <w:webHidden/>
              </w:rPr>
              <w:instrText xml:space="preserve"> PAGEREF _Toc161672802 \h </w:instrText>
            </w:r>
            <w:r w:rsidR="002D04B3">
              <w:rPr>
                <w:noProof/>
                <w:webHidden/>
              </w:rPr>
            </w:r>
            <w:r w:rsidR="002D04B3">
              <w:rPr>
                <w:noProof/>
                <w:webHidden/>
              </w:rPr>
              <w:fldChar w:fldCharType="separate"/>
            </w:r>
            <w:r w:rsidR="0039611E">
              <w:rPr>
                <w:noProof/>
                <w:webHidden/>
              </w:rPr>
              <w:t>23</w:t>
            </w:r>
            <w:r w:rsidR="002D04B3">
              <w:rPr>
                <w:noProof/>
                <w:webHidden/>
              </w:rPr>
              <w:fldChar w:fldCharType="end"/>
            </w:r>
          </w:hyperlink>
        </w:p>
        <w:p w14:paraId="50072DA2" w14:textId="5CDF134E" w:rsidR="002D04B3" w:rsidRDefault="003551F5">
          <w:pPr>
            <w:pStyle w:val="TOC2"/>
            <w:rPr>
              <w:rFonts w:eastAsiaTheme="minorEastAsia" w:cstheme="minorBidi"/>
              <w:smallCaps w:val="0"/>
              <w:noProof/>
              <w:kern w:val="2"/>
              <w:sz w:val="22"/>
              <w:szCs w:val="22"/>
              <w:lang w:eastAsia="en-AU"/>
              <w14:ligatures w14:val="standardContextual"/>
            </w:rPr>
          </w:pPr>
          <w:hyperlink w:anchor="_Toc161672803" w:history="1">
            <w:r w:rsidR="002D04B3" w:rsidRPr="00F07CF2">
              <w:rPr>
                <w:rStyle w:val="Hyperlink"/>
                <w:i/>
                <w:iCs/>
                <w:noProof/>
              </w:rPr>
              <w:t>Project-specific meetings and systems-level working groups</w:t>
            </w:r>
            <w:r w:rsidR="002D04B3">
              <w:rPr>
                <w:noProof/>
                <w:webHidden/>
              </w:rPr>
              <w:tab/>
            </w:r>
            <w:r w:rsidR="002D04B3">
              <w:rPr>
                <w:noProof/>
                <w:webHidden/>
              </w:rPr>
              <w:fldChar w:fldCharType="begin"/>
            </w:r>
            <w:r w:rsidR="002D04B3">
              <w:rPr>
                <w:noProof/>
                <w:webHidden/>
              </w:rPr>
              <w:instrText xml:space="preserve"> PAGEREF _Toc161672803 \h </w:instrText>
            </w:r>
            <w:r w:rsidR="002D04B3">
              <w:rPr>
                <w:noProof/>
                <w:webHidden/>
              </w:rPr>
            </w:r>
            <w:r w:rsidR="002D04B3">
              <w:rPr>
                <w:noProof/>
                <w:webHidden/>
              </w:rPr>
              <w:fldChar w:fldCharType="separate"/>
            </w:r>
            <w:r w:rsidR="0039611E">
              <w:rPr>
                <w:noProof/>
                <w:webHidden/>
              </w:rPr>
              <w:t>25</w:t>
            </w:r>
            <w:r w:rsidR="002D04B3">
              <w:rPr>
                <w:noProof/>
                <w:webHidden/>
              </w:rPr>
              <w:fldChar w:fldCharType="end"/>
            </w:r>
          </w:hyperlink>
        </w:p>
        <w:p w14:paraId="3E6E7606" w14:textId="60813EB3" w:rsidR="002D04B3" w:rsidRDefault="003551F5">
          <w:pPr>
            <w:pStyle w:val="TOC2"/>
            <w:rPr>
              <w:rFonts w:eastAsiaTheme="minorEastAsia" w:cstheme="minorBidi"/>
              <w:smallCaps w:val="0"/>
              <w:noProof/>
              <w:kern w:val="2"/>
              <w:sz w:val="22"/>
              <w:szCs w:val="22"/>
              <w:lang w:eastAsia="en-AU"/>
              <w14:ligatures w14:val="standardContextual"/>
            </w:rPr>
          </w:pPr>
          <w:hyperlink w:anchor="_Toc161672804" w:history="1">
            <w:r w:rsidR="002D04B3" w:rsidRPr="00F07CF2">
              <w:rPr>
                <w:rStyle w:val="Hyperlink"/>
                <w:i/>
                <w:iCs/>
                <w:noProof/>
              </w:rPr>
              <w:t>Ongoing government engagement</w:t>
            </w:r>
            <w:r w:rsidR="002D04B3">
              <w:rPr>
                <w:noProof/>
                <w:webHidden/>
              </w:rPr>
              <w:tab/>
            </w:r>
            <w:r w:rsidR="002D04B3">
              <w:rPr>
                <w:noProof/>
                <w:webHidden/>
              </w:rPr>
              <w:fldChar w:fldCharType="begin"/>
            </w:r>
            <w:r w:rsidR="002D04B3">
              <w:rPr>
                <w:noProof/>
                <w:webHidden/>
              </w:rPr>
              <w:instrText xml:space="preserve"> PAGEREF _Toc161672804 \h </w:instrText>
            </w:r>
            <w:r w:rsidR="002D04B3">
              <w:rPr>
                <w:noProof/>
                <w:webHidden/>
              </w:rPr>
            </w:r>
            <w:r w:rsidR="002D04B3">
              <w:rPr>
                <w:noProof/>
                <w:webHidden/>
              </w:rPr>
              <w:fldChar w:fldCharType="separate"/>
            </w:r>
            <w:r w:rsidR="0039611E">
              <w:rPr>
                <w:noProof/>
                <w:webHidden/>
              </w:rPr>
              <w:t>25</w:t>
            </w:r>
            <w:r w:rsidR="002D04B3">
              <w:rPr>
                <w:noProof/>
                <w:webHidden/>
              </w:rPr>
              <w:fldChar w:fldCharType="end"/>
            </w:r>
          </w:hyperlink>
        </w:p>
        <w:p w14:paraId="2EB28A50" w14:textId="509866B7" w:rsidR="002D04B3" w:rsidRDefault="003551F5">
          <w:pPr>
            <w:pStyle w:val="TOC2"/>
            <w:rPr>
              <w:rFonts w:eastAsiaTheme="minorEastAsia" w:cstheme="minorBidi"/>
              <w:smallCaps w:val="0"/>
              <w:noProof/>
              <w:kern w:val="2"/>
              <w:sz w:val="22"/>
              <w:szCs w:val="22"/>
              <w:lang w:eastAsia="en-AU"/>
              <w14:ligatures w14:val="standardContextual"/>
            </w:rPr>
          </w:pPr>
          <w:hyperlink w:anchor="_Toc161672805" w:history="1">
            <w:r w:rsidR="002D04B3" w:rsidRPr="00F07CF2">
              <w:rPr>
                <w:rStyle w:val="Hyperlink"/>
                <w:i/>
                <w:iCs/>
                <w:noProof/>
              </w:rPr>
              <w:t>Other community, First Nations and industry engagement</w:t>
            </w:r>
            <w:r w:rsidR="002D04B3">
              <w:rPr>
                <w:noProof/>
                <w:webHidden/>
              </w:rPr>
              <w:tab/>
            </w:r>
            <w:r w:rsidR="002D04B3">
              <w:rPr>
                <w:noProof/>
                <w:webHidden/>
              </w:rPr>
              <w:fldChar w:fldCharType="begin"/>
            </w:r>
            <w:r w:rsidR="002D04B3">
              <w:rPr>
                <w:noProof/>
                <w:webHidden/>
              </w:rPr>
              <w:instrText xml:space="preserve"> PAGEREF _Toc161672805 \h </w:instrText>
            </w:r>
            <w:r w:rsidR="002D04B3">
              <w:rPr>
                <w:noProof/>
                <w:webHidden/>
              </w:rPr>
            </w:r>
            <w:r w:rsidR="002D04B3">
              <w:rPr>
                <w:noProof/>
                <w:webHidden/>
              </w:rPr>
              <w:fldChar w:fldCharType="separate"/>
            </w:r>
            <w:r w:rsidR="0039611E">
              <w:rPr>
                <w:noProof/>
                <w:webHidden/>
              </w:rPr>
              <w:t>26</w:t>
            </w:r>
            <w:r w:rsidR="002D04B3">
              <w:rPr>
                <w:noProof/>
                <w:webHidden/>
              </w:rPr>
              <w:fldChar w:fldCharType="end"/>
            </w:r>
          </w:hyperlink>
        </w:p>
        <w:p w14:paraId="1270F981" w14:textId="5676B215" w:rsidR="002D04B3" w:rsidRDefault="003551F5">
          <w:pPr>
            <w:pStyle w:val="TOC2"/>
            <w:rPr>
              <w:rFonts w:eastAsiaTheme="minorEastAsia" w:cstheme="minorBidi"/>
              <w:smallCaps w:val="0"/>
              <w:noProof/>
              <w:kern w:val="2"/>
              <w:sz w:val="22"/>
              <w:szCs w:val="22"/>
              <w:lang w:eastAsia="en-AU"/>
              <w14:ligatures w14:val="standardContextual"/>
            </w:rPr>
          </w:pPr>
          <w:hyperlink w:anchor="_Toc161672806" w:history="1">
            <w:r w:rsidR="002D04B3" w:rsidRPr="00F07CF2">
              <w:rPr>
                <w:rStyle w:val="Hyperlink"/>
                <w:i/>
                <w:iCs/>
                <w:noProof/>
              </w:rPr>
              <w:t>Cross-sector specialist technical engagement</w:t>
            </w:r>
            <w:r w:rsidR="002D04B3">
              <w:rPr>
                <w:noProof/>
                <w:webHidden/>
              </w:rPr>
              <w:tab/>
            </w:r>
            <w:r w:rsidR="002D04B3">
              <w:rPr>
                <w:noProof/>
                <w:webHidden/>
              </w:rPr>
              <w:fldChar w:fldCharType="begin"/>
            </w:r>
            <w:r w:rsidR="002D04B3">
              <w:rPr>
                <w:noProof/>
                <w:webHidden/>
              </w:rPr>
              <w:instrText xml:space="preserve"> PAGEREF _Toc161672806 \h </w:instrText>
            </w:r>
            <w:r w:rsidR="002D04B3">
              <w:rPr>
                <w:noProof/>
                <w:webHidden/>
              </w:rPr>
            </w:r>
            <w:r w:rsidR="002D04B3">
              <w:rPr>
                <w:noProof/>
                <w:webHidden/>
              </w:rPr>
              <w:fldChar w:fldCharType="separate"/>
            </w:r>
            <w:r w:rsidR="0039611E">
              <w:rPr>
                <w:noProof/>
                <w:webHidden/>
              </w:rPr>
              <w:t>26</w:t>
            </w:r>
            <w:r w:rsidR="002D04B3">
              <w:rPr>
                <w:noProof/>
                <w:webHidden/>
              </w:rPr>
              <w:fldChar w:fldCharType="end"/>
            </w:r>
          </w:hyperlink>
        </w:p>
        <w:p w14:paraId="1320868F" w14:textId="2504DF78" w:rsidR="002D04B3" w:rsidRDefault="003551F5">
          <w:pPr>
            <w:pStyle w:val="TOC2"/>
            <w:rPr>
              <w:rFonts w:eastAsiaTheme="minorEastAsia" w:cstheme="minorBidi"/>
              <w:smallCaps w:val="0"/>
              <w:noProof/>
              <w:kern w:val="2"/>
              <w:sz w:val="22"/>
              <w:szCs w:val="22"/>
              <w:lang w:eastAsia="en-AU"/>
              <w14:ligatures w14:val="standardContextual"/>
            </w:rPr>
          </w:pPr>
          <w:hyperlink w:anchor="_Toc161672807" w:history="1">
            <w:r w:rsidR="002D04B3" w:rsidRPr="00F07CF2">
              <w:rPr>
                <w:rStyle w:val="Hyperlink"/>
                <w:i/>
                <w:iCs/>
                <w:noProof/>
              </w:rPr>
              <w:t>Commissioner’s website</w:t>
            </w:r>
            <w:r w:rsidR="002D04B3">
              <w:rPr>
                <w:noProof/>
                <w:webHidden/>
              </w:rPr>
              <w:tab/>
            </w:r>
            <w:r w:rsidR="002D04B3">
              <w:rPr>
                <w:noProof/>
                <w:webHidden/>
              </w:rPr>
              <w:fldChar w:fldCharType="begin"/>
            </w:r>
            <w:r w:rsidR="002D04B3">
              <w:rPr>
                <w:noProof/>
                <w:webHidden/>
              </w:rPr>
              <w:instrText xml:space="preserve"> PAGEREF _Toc161672807 \h </w:instrText>
            </w:r>
            <w:r w:rsidR="002D04B3">
              <w:rPr>
                <w:noProof/>
                <w:webHidden/>
              </w:rPr>
            </w:r>
            <w:r w:rsidR="002D04B3">
              <w:rPr>
                <w:noProof/>
                <w:webHidden/>
              </w:rPr>
              <w:fldChar w:fldCharType="separate"/>
            </w:r>
            <w:r w:rsidR="0039611E">
              <w:rPr>
                <w:noProof/>
                <w:webHidden/>
              </w:rPr>
              <w:t>26</w:t>
            </w:r>
            <w:r w:rsidR="002D04B3">
              <w:rPr>
                <w:noProof/>
                <w:webHidden/>
              </w:rPr>
              <w:fldChar w:fldCharType="end"/>
            </w:r>
          </w:hyperlink>
        </w:p>
        <w:p w14:paraId="61D6D45E" w14:textId="1156E3AA" w:rsidR="002D04B3" w:rsidRDefault="003551F5">
          <w:pPr>
            <w:pStyle w:val="TOC1"/>
            <w:rPr>
              <w:rFonts w:eastAsiaTheme="minorEastAsia" w:cstheme="minorBidi"/>
              <w:b w:val="0"/>
              <w:bCs w:val="0"/>
              <w:caps w:val="0"/>
              <w:noProof/>
              <w:kern w:val="2"/>
              <w:sz w:val="22"/>
              <w:szCs w:val="22"/>
              <w:lang w:eastAsia="en-AU"/>
              <w14:ligatures w14:val="standardContextual"/>
            </w:rPr>
          </w:pPr>
          <w:hyperlink w:anchor="_Toc161672808" w:history="1">
            <w:r w:rsidR="002D04B3" w:rsidRPr="00F07CF2">
              <w:rPr>
                <w:rStyle w:val="Hyperlink"/>
                <w:noProof/>
              </w:rPr>
              <w:t>TRANSPARENCY AND BEST PRACTICE</w:t>
            </w:r>
            <w:r w:rsidR="002D04B3">
              <w:rPr>
                <w:noProof/>
                <w:webHidden/>
              </w:rPr>
              <w:tab/>
            </w:r>
            <w:r w:rsidR="002D04B3">
              <w:rPr>
                <w:noProof/>
                <w:webHidden/>
              </w:rPr>
              <w:fldChar w:fldCharType="begin"/>
            </w:r>
            <w:r w:rsidR="002D04B3">
              <w:rPr>
                <w:noProof/>
                <w:webHidden/>
              </w:rPr>
              <w:instrText xml:space="preserve"> PAGEREF _Toc161672808 \h </w:instrText>
            </w:r>
            <w:r w:rsidR="002D04B3">
              <w:rPr>
                <w:noProof/>
                <w:webHidden/>
              </w:rPr>
            </w:r>
            <w:r w:rsidR="002D04B3">
              <w:rPr>
                <w:noProof/>
                <w:webHidden/>
              </w:rPr>
              <w:fldChar w:fldCharType="separate"/>
            </w:r>
            <w:r w:rsidR="0039611E">
              <w:rPr>
                <w:noProof/>
                <w:webHidden/>
              </w:rPr>
              <w:t>27</w:t>
            </w:r>
            <w:r w:rsidR="002D04B3">
              <w:rPr>
                <w:noProof/>
                <w:webHidden/>
              </w:rPr>
              <w:fldChar w:fldCharType="end"/>
            </w:r>
          </w:hyperlink>
        </w:p>
        <w:p w14:paraId="099E11BD" w14:textId="4628D8A9" w:rsidR="002D04B3" w:rsidRDefault="003551F5">
          <w:pPr>
            <w:pStyle w:val="TOC2"/>
            <w:rPr>
              <w:rFonts w:eastAsiaTheme="minorEastAsia" w:cstheme="minorBidi"/>
              <w:smallCaps w:val="0"/>
              <w:noProof/>
              <w:kern w:val="2"/>
              <w:sz w:val="22"/>
              <w:szCs w:val="22"/>
              <w:lang w:eastAsia="en-AU"/>
              <w14:ligatures w14:val="standardContextual"/>
            </w:rPr>
          </w:pPr>
          <w:hyperlink w:anchor="_Toc161672809" w:history="1">
            <w:r w:rsidR="002D04B3" w:rsidRPr="00F07CF2">
              <w:rPr>
                <w:rStyle w:val="Hyperlink"/>
                <w:i/>
                <w:iCs/>
                <w:noProof/>
              </w:rPr>
              <w:t>2023 Community Engagement Review</w:t>
            </w:r>
            <w:r w:rsidR="002D04B3">
              <w:rPr>
                <w:noProof/>
                <w:webHidden/>
              </w:rPr>
              <w:tab/>
            </w:r>
            <w:r w:rsidR="002D04B3">
              <w:rPr>
                <w:noProof/>
                <w:webHidden/>
              </w:rPr>
              <w:fldChar w:fldCharType="begin"/>
            </w:r>
            <w:r w:rsidR="002D04B3">
              <w:rPr>
                <w:noProof/>
                <w:webHidden/>
              </w:rPr>
              <w:instrText xml:space="preserve"> PAGEREF _Toc161672809 \h </w:instrText>
            </w:r>
            <w:r w:rsidR="002D04B3">
              <w:rPr>
                <w:noProof/>
                <w:webHidden/>
              </w:rPr>
            </w:r>
            <w:r w:rsidR="002D04B3">
              <w:rPr>
                <w:noProof/>
                <w:webHidden/>
              </w:rPr>
              <w:fldChar w:fldCharType="separate"/>
            </w:r>
            <w:r w:rsidR="0039611E">
              <w:rPr>
                <w:noProof/>
                <w:webHidden/>
              </w:rPr>
              <w:t>27</w:t>
            </w:r>
            <w:r w:rsidR="002D04B3">
              <w:rPr>
                <w:noProof/>
                <w:webHidden/>
              </w:rPr>
              <w:fldChar w:fldCharType="end"/>
            </w:r>
          </w:hyperlink>
        </w:p>
        <w:p w14:paraId="101B2F3E" w14:textId="0AA703E4" w:rsidR="002D04B3" w:rsidRDefault="003551F5">
          <w:pPr>
            <w:pStyle w:val="TOC2"/>
            <w:rPr>
              <w:rFonts w:eastAsiaTheme="minorEastAsia" w:cstheme="minorBidi"/>
              <w:smallCaps w:val="0"/>
              <w:noProof/>
              <w:kern w:val="2"/>
              <w:sz w:val="22"/>
              <w:szCs w:val="22"/>
              <w:lang w:eastAsia="en-AU"/>
              <w14:ligatures w14:val="standardContextual"/>
            </w:rPr>
          </w:pPr>
          <w:hyperlink w:anchor="_Toc161672810" w:history="1">
            <w:r w:rsidR="002D04B3" w:rsidRPr="00F07CF2">
              <w:rPr>
                <w:rStyle w:val="Hyperlink"/>
                <w:i/>
                <w:iCs/>
                <w:noProof/>
              </w:rPr>
              <w:t>Onshore wind and solar farms</w:t>
            </w:r>
            <w:r w:rsidR="002D04B3">
              <w:rPr>
                <w:noProof/>
                <w:webHidden/>
              </w:rPr>
              <w:tab/>
            </w:r>
            <w:r w:rsidR="002D04B3">
              <w:rPr>
                <w:noProof/>
                <w:webHidden/>
              </w:rPr>
              <w:fldChar w:fldCharType="begin"/>
            </w:r>
            <w:r w:rsidR="002D04B3">
              <w:rPr>
                <w:noProof/>
                <w:webHidden/>
              </w:rPr>
              <w:instrText xml:space="preserve"> PAGEREF _Toc161672810 \h </w:instrText>
            </w:r>
            <w:r w:rsidR="002D04B3">
              <w:rPr>
                <w:noProof/>
                <w:webHidden/>
              </w:rPr>
            </w:r>
            <w:r w:rsidR="002D04B3">
              <w:rPr>
                <w:noProof/>
                <w:webHidden/>
              </w:rPr>
              <w:fldChar w:fldCharType="separate"/>
            </w:r>
            <w:r w:rsidR="0039611E">
              <w:rPr>
                <w:noProof/>
                <w:webHidden/>
              </w:rPr>
              <w:t>27</w:t>
            </w:r>
            <w:r w:rsidR="002D04B3">
              <w:rPr>
                <w:noProof/>
                <w:webHidden/>
              </w:rPr>
              <w:fldChar w:fldCharType="end"/>
            </w:r>
          </w:hyperlink>
        </w:p>
        <w:p w14:paraId="7DF01E1C" w14:textId="58D89295" w:rsidR="002D04B3" w:rsidRDefault="003551F5">
          <w:pPr>
            <w:pStyle w:val="TOC2"/>
            <w:rPr>
              <w:rFonts w:eastAsiaTheme="minorEastAsia" w:cstheme="minorBidi"/>
              <w:smallCaps w:val="0"/>
              <w:noProof/>
              <w:kern w:val="2"/>
              <w:sz w:val="22"/>
              <w:szCs w:val="22"/>
              <w:lang w:eastAsia="en-AU"/>
              <w14:ligatures w14:val="standardContextual"/>
            </w:rPr>
          </w:pPr>
          <w:hyperlink w:anchor="_Toc161672811" w:history="1">
            <w:r w:rsidR="002D04B3" w:rsidRPr="00F07CF2">
              <w:rPr>
                <w:rStyle w:val="Hyperlink"/>
                <w:i/>
                <w:noProof/>
              </w:rPr>
              <w:t>Offshore wind</w:t>
            </w:r>
            <w:r w:rsidR="002D04B3">
              <w:rPr>
                <w:noProof/>
                <w:webHidden/>
              </w:rPr>
              <w:tab/>
            </w:r>
            <w:r w:rsidR="002D04B3">
              <w:rPr>
                <w:noProof/>
                <w:webHidden/>
              </w:rPr>
              <w:fldChar w:fldCharType="begin"/>
            </w:r>
            <w:r w:rsidR="002D04B3">
              <w:rPr>
                <w:noProof/>
                <w:webHidden/>
              </w:rPr>
              <w:instrText xml:space="preserve"> PAGEREF _Toc161672811 \h </w:instrText>
            </w:r>
            <w:r w:rsidR="002D04B3">
              <w:rPr>
                <w:noProof/>
                <w:webHidden/>
              </w:rPr>
            </w:r>
            <w:r w:rsidR="002D04B3">
              <w:rPr>
                <w:noProof/>
                <w:webHidden/>
              </w:rPr>
              <w:fldChar w:fldCharType="separate"/>
            </w:r>
            <w:r w:rsidR="0039611E">
              <w:rPr>
                <w:noProof/>
                <w:webHidden/>
              </w:rPr>
              <w:t>27</w:t>
            </w:r>
            <w:r w:rsidR="002D04B3">
              <w:rPr>
                <w:noProof/>
                <w:webHidden/>
              </w:rPr>
              <w:fldChar w:fldCharType="end"/>
            </w:r>
          </w:hyperlink>
        </w:p>
        <w:p w14:paraId="7FC00809" w14:textId="4578BFE0" w:rsidR="002D04B3" w:rsidRDefault="003551F5">
          <w:pPr>
            <w:pStyle w:val="TOC2"/>
            <w:rPr>
              <w:rFonts w:eastAsiaTheme="minorEastAsia" w:cstheme="minorBidi"/>
              <w:smallCaps w:val="0"/>
              <w:noProof/>
              <w:kern w:val="2"/>
              <w:sz w:val="22"/>
              <w:szCs w:val="22"/>
              <w:lang w:eastAsia="en-AU"/>
              <w14:ligatures w14:val="standardContextual"/>
            </w:rPr>
          </w:pPr>
          <w:hyperlink w:anchor="_Toc161672812" w:history="1">
            <w:r w:rsidR="002D04B3" w:rsidRPr="00F07CF2">
              <w:rPr>
                <w:rStyle w:val="Hyperlink"/>
                <w:i/>
                <w:iCs/>
                <w:noProof/>
              </w:rPr>
              <w:t>Energy storage</w:t>
            </w:r>
            <w:r w:rsidR="002D04B3">
              <w:rPr>
                <w:noProof/>
                <w:webHidden/>
              </w:rPr>
              <w:tab/>
            </w:r>
            <w:r w:rsidR="002D04B3">
              <w:rPr>
                <w:noProof/>
                <w:webHidden/>
              </w:rPr>
              <w:fldChar w:fldCharType="begin"/>
            </w:r>
            <w:r w:rsidR="002D04B3">
              <w:rPr>
                <w:noProof/>
                <w:webHidden/>
              </w:rPr>
              <w:instrText xml:space="preserve"> PAGEREF _Toc161672812 \h </w:instrText>
            </w:r>
            <w:r w:rsidR="002D04B3">
              <w:rPr>
                <w:noProof/>
                <w:webHidden/>
              </w:rPr>
            </w:r>
            <w:r w:rsidR="002D04B3">
              <w:rPr>
                <w:noProof/>
                <w:webHidden/>
              </w:rPr>
              <w:fldChar w:fldCharType="separate"/>
            </w:r>
            <w:r w:rsidR="0039611E">
              <w:rPr>
                <w:noProof/>
                <w:webHidden/>
              </w:rPr>
              <w:t>29</w:t>
            </w:r>
            <w:r w:rsidR="002D04B3">
              <w:rPr>
                <w:noProof/>
                <w:webHidden/>
              </w:rPr>
              <w:fldChar w:fldCharType="end"/>
            </w:r>
          </w:hyperlink>
        </w:p>
        <w:p w14:paraId="050148D2" w14:textId="107F8756" w:rsidR="002D04B3" w:rsidRDefault="003551F5">
          <w:pPr>
            <w:pStyle w:val="TOC2"/>
            <w:rPr>
              <w:rFonts w:eastAsiaTheme="minorEastAsia" w:cstheme="minorBidi"/>
              <w:smallCaps w:val="0"/>
              <w:noProof/>
              <w:kern w:val="2"/>
              <w:sz w:val="22"/>
              <w:szCs w:val="22"/>
              <w:lang w:eastAsia="en-AU"/>
              <w14:ligatures w14:val="standardContextual"/>
            </w:rPr>
          </w:pPr>
          <w:hyperlink w:anchor="_Toc161672813" w:history="1">
            <w:r w:rsidR="002D04B3" w:rsidRPr="00F07CF2">
              <w:rPr>
                <w:rStyle w:val="Hyperlink"/>
                <w:i/>
                <w:iCs/>
                <w:noProof/>
              </w:rPr>
              <w:t>Transmission</w:t>
            </w:r>
            <w:r w:rsidR="002D04B3">
              <w:rPr>
                <w:noProof/>
                <w:webHidden/>
              </w:rPr>
              <w:tab/>
            </w:r>
            <w:r w:rsidR="002D04B3">
              <w:rPr>
                <w:noProof/>
                <w:webHidden/>
              </w:rPr>
              <w:fldChar w:fldCharType="begin"/>
            </w:r>
            <w:r w:rsidR="002D04B3">
              <w:rPr>
                <w:noProof/>
                <w:webHidden/>
              </w:rPr>
              <w:instrText xml:space="preserve"> PAGEREF _Toc161672813 \h </w:instrText>
            </w:r>
            <w:r w:rsidR="002D04B3">
              <w:rPr>
                <w:noProof/>
                <w:webHidden/>
              </w:rPr>
            </w:r>
            <w:r w:rsidR="002D04B3">
              <w:rPr>
                <w:noProof/>
                <w:webHidden/>
              </w:rPr>
              <w:fldChar w:fldCharType="separate"/>
            </w:r>
            <w:r w:rsidR="0039611E">
              <w:rPr>
                <w:noProof/>
                <w:webHidden/>
              </w:rPr>
              <w:t>29</w:t>
            </w:r>
            <w:r w:rsidR="002D04B3">
              <w:rPr>
                <w:noProof/>
                <w:webHidden/>
              </w:rPr>
              <w:fldChar w:fldCharType="end"/>
            </w:r>
          </w:hyperlink>
        </w:p>
        <w:p w14:paraId="1D534408" w14:textId="15BA280B" w:rsidR="002D04B3" w:rsidRDefault="003551F5">
          <w:pPr>
            <w:pStyle w:val="TOC2"/>
            <w:rPr>
              <w:rFonts w:eastAsiaTheme="minorEastAsia" w:cstheme="minorBidi"/>
              <w:smallCaps w:val="0"/>
              <w:noProof/>
              <w:kern w:val="2"/>
              <w:sz w:val="22"/>
              <w:szCs w:val="22"/>
              <w:lang w:eastAsia="en-AU"/>
              <w14:ligatures w14:val="standardContextual"/>
            </w:rPr>
          </w:pPr>
          <w:hyperlink w:anchor="_Toc161672814" w:history="1">
            <w:r w:rsidR="002D04B3" w:rsidRPr="00F07CF2">
              <w:rPr>
                <w:rStyle w:val="Hyperlink"/>
                <w:i/>
                <w:iCs/>
                <w:noProof/>
              </w:rPr>
              <w:t>Other best practice feedback and formal public submissions</w:t>
            </w:r>
            <w:r w:rsidR="002D04B3">
              <w:rPr>
                <w:noProof/>
                <w:webHidden/>
              </w:rPr>
              <w:tab/>
            </w:r>
            <w:r w:rsidR="002D04B3">
              <w:rPr>
                <w:noProof/>
                <w:webHidden/>
              </w:rPr>
              <w:fldChar w:fldCharType="begin"/>
            </w:r>
            <w:r w:rsidR="002D04B3">
              <w:rPr>
                <w:noProof/>
                <w:webHidden/>
              </w:rPr>
              <w:instrText xml:space="preserve"> PAGEREF _Toc161672814 \h </w:instrText>
            </w:r>
            <w:r w:rsidR="002D04B3">
              <w:rPr>
                <w:noProof/>
                <w:webHidden/>
              </w:rPr>
            </w:r>
            <w:r w:rsidR="002D04B3">
              <w:rPr>
                <w:noProof/>
                <w:webHidden/>
              </w:rPr>
              <w:fldChar w:fldCharType="separate"/>
            </w:r>
            <w:r w:rsidR="0039611E">
              <w:rPr>
                <w:noProof/>
                <w:webHidden/>
              </w:rPr>
              <w:t>31</w:t>
            </w:r>
            <w:r w:rsidR="002D04B3">
              <w:rPr>
                <w:noProof/>
                <w:webHidden/>
              </w:rPr>
              <w:fldChar w:fldCharType="end"/>
            </w:r>
          </w:hyperlink>
        </w:p>
        <w:p w14:paraId="1E65B309" w14:textId="663CDC23" w:rsidR="002D04B3" w:rsidRDefault="003551F5">
          <w:pPr>
            <w:pStyle w:val="TOC2"/>
            <w:rPr>
              <w:rFonts w:eastAsiaTheme="minorEastAsia" w:cstheme="minorBidi"/>
              <w:smallCaps w:val="0"/>
              <w:noProof/>
              <w:kern w:val="2"/>
              <w:sz w:val="22"/>
              <w:szCs w:val="22"/>
              <w:lang w:eastAsia="en-AU"/>
              <w14:ligatures w14:val="standardContextual"/>
            </w:rPr>
          </w:pPr>
          <w:hyperlink w:anchor="_Toc161672815" w:history="1">
            <w:r w:rsidR="002D04B3" w:rsidRPr="00F07CF2">
              <w:rPr>
                <w:rStyle w:val="Hyperlink"/>
                <w:i/>
                <w:iCs/>
                <w:noProof/>
              </w:rPr>
              <w:t>Focus areas and next steps for 2024</w:t>
            </w:r>
            <w:r w:rsidR="002D04B3">
              <w:rPr>
                <w:noProof/>
                <w:webHidden/>
              </w:rPr>
              <w:tab/>
            </w:r>
            <w:r w:rsidR="002D04B3">
              <w:rPr>
                <w:noProof/>
                <w:webHidden/>
              </w:rPr>
              <w:fldChar w:fldCharType="begin"/>
            </w:r>
            <w:r w:rsidR="002D04B3">
              <w:rPr>
                <w:noProof/>
                <w:webHidden/>
              </w:rPr>
              <w:instrText xml:space="preserve"> PAGEREF _Toc161672815 \h </w:instrText>
            </w:r>
            <w:r w:rsidR="002D04B3">
              <w:rPr>
                <w:noProof/>
                <w:webHidden/>
              </w:rPr>
            </w:r>
            <w:r w:rsidR="002D04B3">
              <w:rPr>
                <w:noProof/>
                <w:webHidden/>
              </w:rPr>
              <w:fldChar w:fldCharType="separate"/>
            </w:r>
            <w:r w:rsidR="0039611E">
              <w:rPr>
                <w:noProof/>
                <w:webHidden/>
              </w:rPr>
              <w:t>31</w:t>
            </w:r>
            <w:r w:rsidR="002D04B3">
              <w:rPr>
                <w:noProof/>
                <w:webHidden/>
              </w:rPr>
              <w:fldChar w:fldCharType="end"/>
            </w:r>
          </w:hyperlink>
        </w:p>
        <w:p w14:paraId="3E9228BA" w14:textId="7BA148EA" w:rsidR="002D04B3" w:rsidRDefault="003551F5">
          <w:pPr>
            <w:pStyle w:val="TOC1"/>
            <w:rPr>
              <w:rFonts w:eastAsiaTheme="minorEastAsia" w:cstheme="minorBidi"/>
              <w:b w:val="0"/>
              <w:bCs w:val="0"/>
              <w:caps w:val="0"/>
              <w:noProof/>
              <w:kern w:val="2"/>
              <w:sz w:val="22"/>
              <w:szCs w:val="22"/>
              <w:lang w:eastAsia="en-AU"/>
              <w14:ligatures w14:val="standardContextual"/>
            </w:rPr>
          </w:pPr>
          <w:hyperlink w:anchor="_Toc161672816" w:history="1">
            <w:r w:rsidR="002D04B3" w:rsidRPr="00F07CF2">
              <w:rPr>
                <w:rStyle w:val="Hyperlink"/>
                <w:noProof/>
              </w:rPr>
              <w:t>Appendix A – TERMS OF REFERENCE 2021-25</w:t>
            </w:r>
            <w:r w:rsidR="002D04B3">
              <w:rPr>
                <w:noProof/>
                <w:webHidden/>
              </w:rPr>
              <w:tab/>
            </w:r>
            <w:r w:rsidR="002D04B3">
              <w:rPr>
                <w:noProof/>
                <w:webHidden/>
              </w:rPr>
              <w:fldChar w:fldCharType="begin"/>
            </w:r>
            <w:r w:rsidR="002D04B3">
              <w:rPr>
                <w:noProof/>
                <w:webHidden/>
              </w:rPr>
              <w:instrText xml:space="preserve"> PAGEREF _Toc161672816 \h </w:instrText>
            </w:r>
            <w:r w:rsidR="002D04B3">
              <w:rPr>
                <w:noProof/>
                <w:webHidden/>
              </w:rPr>
            </w:r>
            <w:r w:rsidR="002D04B3">
              <w:rPr>
                <w:noProof/>
                <w:webHidden/>
              </w:rPr>
              <w:fldChar w:fldCharType="separate"/>
            </w:r>
            <w:r w:rsidR="0039611E">
              <w:rPr>
                <w:noProof/>
                <w:webHidden/>
              </w:rPr>
              <w:t>33</w:t>
            </w:r>
            <w:r w:rsidR="002D04B3">
              <w:rPr>
                <w:noProof/>
                <w:webHidden/>
              </w:rPr>
              <w:fldChar w:fldCharType="end"/>
            </w:r>
          </w:hyperlink>
        </w:p>
        <w:p w14:paraId="083133DA" w14:textId="78B84B7F" w:rsidR="002D04B3" w:rsidRDefault="003551F5">
          <w:pPr>
            <w:pStyle w:val="TOC1"/>
            <w:rPr>
              <w:rFonts w:eastAsiaTheme="minorEastAsia" w:cstheme="minorBidi"/>
              <w:b w:val="0"/>
              <w:bCs w:val="0"/>
              <w:caps w:val="0"/>
              <w:noProof/>
              <w:kern w:val="2"/>
              <w:sz w:val="22"/>
              <w:szCs w:val="22"/>
              <w:lang w:eastAsia="en-AU"/>
              <w14:ligatures w14:val="standardContextual"/>
            </w:rPr>
          </w:pPr>
          <w:hyperlink w:anchor="_Toc161672817" w:history="1">
            <w:r w:rsidR="002D04B3" w:rsidRPr="00F07CF2">
              <w:rPr>
                <w:rStyle w:val="Hyperlink"/>
                <w:noProof/>
              </w:rPr>
              <w:t xml:space="preserve">APPENDIX B – Excerpts from the </w:t>
            </w:r>
            <w:r w:rsidR="002D04B3" w:rsidRPr="00F07CF2">
              <w:rPr>
                <w:rStyle w:val="Hyperlink"/>
                <w:i/>
                <w:iCs/>
                <w:noProof/>
              </w:rPr>
              <w:t>Community Engagement</w:t>
            </w:r>
            <w:r w:rsidR="002D04B3" w:rsidRPr="00F07CF2">
              <w:rPr>
                <w:rStyle w:val="Hyperlink"/>
                <w:i/>
                <w:noProof/>
              </w:rPr>
              <w:t xml:space="preserve"> </w:t>
            </w:r>
            <w:r w:rsidR="002D04B3" w:rsidRPr="00F07CF2">
              <w:rPr>
                <w:rStyle w:val="Hyperlink"/>
                <w:i/>
                <w:iCs/>
                <w:noProof/>
              </w:rPr>
              <w:t>REVIEW</w:t>
            </w:r>
            <w:r w:rsidR="002D04B3" w:rsidRPr="00F07CF2">
              <w:rPr>
                <w:rStyle w:val="Hyperlink"/>
                <w:noProof/>
              </w:rPr>
              <w:t xml:space="preserve"> (2023)</w:t>
            </w:r>
            <w:r w:rsidR="002D04B3">
              <w:rPr>
                <w:noProof/>
                <w:webHidden/>
              </w:rPr>
              <w:tab/>
            </w:r>
            <w:r w:rsidR="002D04B3">
              <w:rPr>
                <w:noProof/>
                <w:webHidden/>
              </w:rPr>
              <w:fldChar w:fldCharType="begin"/>
            </w:r>
            <w:r w:rsidR="002D04B3">
              <w:rPr>
                <w:noProof/>
                <w:webHidden/>
              </w:rPr>
              <w:instrText xml:space="preserve"> PAGEREF _Toc161672817 \h </w:instrText>
            </w:r>
            <w:r w:rsidR="002D04B3">
              <w:rPr>
                <w:noProof/>
                <w:webHidden/>
              </w:rPr>
            </w:r>
            <w:r w:rsidR="002D04B3">
              <w:rPr>
                <w:noProof/>
                <w:webHidden/>
              </w:rPr>
              <w:fldChar w:fldCharType="separate"/>
            </w:r>
            <w:r w:rsidR="0039611E">
              <w:rPr>
                <w:noProof/>
                <w:webHidden/>
              </w:rPr>
              <w:t>34</w:t>
            </w:r>
            <w:r w:rsidR="002D04B3">
              <w:rPr>
                <w:noProof/>
                <w:webHidden/>
              </w:rPr>
              <w:fldChar w:fldCharType="end"/>
            </w:r>
          </w:hyperlink>
        </w:p>
        <w:p w14:paraId="6E6861E1" w14:textId="77777777" w:rsidR="005B5467" w:rsidRDefault="00304241" w:rsidP="00304241">
          <w:pPr>
            <w:tabs>
              <w:tab w:val="center" w:pos="5233"/>
            </w:tabs>
            <w:spacing w:after="0"/>
            <w:rPr>
              <w:rFonts w:asciiTheme="minorHAnsi" w:hAnsiTheme="minorHAnsi"/>
              <w:b/>
              <w:bCs/>
              <w:caps/>
              <w:sz w:val="20"/>
              <w:szCs w:val="20"/>
            </w:rPr>
          </w:pPr>
          <w:r>
            <w:rPr>
              <w:rFonts w:asciiTheme="minorHAnsi" w:hAnsiTheme="minorHAnsi"/>
              <w:b/>
              <w:bCs/>
              <w:caps/>
              <w:sz w:val="20"/>
              <w:szCs w:val="20"/>
            </w:rPr>
            <w:fldChar w:fldCharType="end"/>
          </w:r>
        </w:p>
        <w:p w14:paraId="37FF7497" w14:textId="77777777" w:rsidR="005B5467" w:rsidRDefault="005B5467" w:rsidP="00304241">
          <w:pPr>
            <w:tabs>
              <w:tab w:val="center" w:pos="5233"/>
            </w:tabs>
            <w:spacing w:after="0"/>
            <w:rPr>
              <w:sz w:val="2"/>
              <w:szCs w:val="2"/>
            </w:rPr>
          </w:pPr>
        </w:p>
        <w:p w14:paraId="0BB1A88F" w14:textId="77777777" w:rsidR="005B5467" w:rsidRDefault="005B5467" w:rsidP="00304241">
          <w:pPr>
            <w:tabs>
              <w:tab w:val="center" w:pos="5233"/>
            </w:tabs>
            <w:spacing w:after="0"/>
            <w:rPr>
              <w:sz w:val="2"/>
              <w:szCs w:val="2"/>
            </w:rPr>
          </w:pPr>
        </w:p>
        <w:p w14:paraId="7FD0EAB4" w14:textId="593B048E" w:rsidR="00304241" w:rsidRPr="007064D8" w:rsidRDefault="003551F5" w:rsidP="0039611E">
          <w:pPr>
            <w:rPr>
              <w:sz w:val="2"/>
              <w:szCs w:val="2"/>
            </w:rPr>
          </w:pPr>
        </w:p>
      </w:sdtContent>
    </w:sdt>
    <w:p w14:paraId="0CC8F1A2" w14:textId="77777777" w:rsidR="00304241" w:rsidRPr="00DD2D46" w:rsidRDefault="00304241" w:rsidP="00DD2D46">
      <w:pPr>
        <w:tabs>
          <w:tab w:val="left" w:pos="3615"/>
          <w:tab w:val="left" w:pos="4545"/>
        </w:tabs>
        <w:spacing w:after="0"/>
        <w:rPr>
          <w:sz w:val="2"/>
          <w:szCs w:val="2"/>
        </w:rPr>
      </w:pPr>
      <w:r>
        <w:tab/>
      </w:r>
      <w:r>
        <w:tab/>
      </w:r>
    </w:p>
    <w:p w14:paraId="43A215C0" w14:textId="77777777" w:rsidR="00304241" w:rsidRDefault="00304241" w:rsidP="00304241">
      <w:pPr>
        <w:tabs>
          <w:tab w:val="left" w:pos="6000"/>
        </w:tabs>
        <w:rPr>
          <w:sz w:val="2"/>
          <w:szCs w:val="2"/>
        </w:rPr>
      </w:pPr>
    </w:p>
    <w:p w14:paraId="253A0B81" w14:textId="77777777" w:rsidR="00304241" w:rsidRDefault="00304241" w:rsidP="00304241">
      <w:pPr>
        <w:rPr>
          <w:sz w:val="2"/>
          <w:szCs w:val="2"/>
        </w:rPr>
        <w:sectPr w:rsidR="00304241" w:rsidSect="00D801AB">
          <w:headerReference w:type="even" r:id="rId26"/>
          <w:headerReference w:type="default" r:id="rId27"/>
          <w:footerReference w:type="even" r:id="rId28"/>
          <w:headerReference w:type="first" r:id="rId29"/>
          <w:footerReference w:type="first" r:id="rId30"/>
          <w:pgSz w:w="11906" w:h="16838"/>
          <w:pgMar w:top="720" w:right="720" w:bottom="720" w:left="720" w:header="425" w:footer="425" w:gutter="0"/>
          <w:pgNumType w:start="2"/>
          <w:cols w:space="708"/>
          <w:titlePg/>
          <w:docGrid w:linePitch="360"/>
        </w:sectPr>
      </w:pPr>
    </w:p>
    <w:p w14:paraId="3ED80E62" w14:textId="632F7A9B" w:rsidR="00304241" w:rsidRPr="002D7001" w:rsidRDefault="00304241" w:rsidP="002D7001">
      <w:pPr>
        <w:pStyle w:val="Heading1"/>
      </w:pPr>
      <w:bookmarkStart w:id="11" w:name="_Toc161672780"/>
      <w:r w:rsidRPr="002D7001">
        <w:lastRenderedPageBreak/>
        <w:t xml:space="preserve">Commissioner’s </w:t>
      </w:r>
      <w:bookmarkEnd w:id="11"/>
      <w:r w:rsidR="00A02168">
        <w:t>INTRODUCTION</w:t>
      </w:r>
    </w:p>
    <w:p w14:paraId="1B93500C" w14:textId="13DB3C4E" w:rsidR="008861BE" w:rsidRDefault="00AA6093" w:rsidP="00304241">
      <w:pPr>
        <w:spacing w:line="264" w:lineRule="auto"/>
        <w:rPr>
          <w:rFonts w:cs="Arial"/>
        </w:rPr>
      </w:pPr>
      <w:r>
        <w:rPr>
          <w:rFonts w:cs="Arial"/>
        </w:rPr>
        <w:t>I am</w:t>
      </w:r>
      <w:r w:rsidR="00304241">
        <w:rPr>
          <w:rFonts w:cs="Arial"/>
        </w:rPr>
        <w:t xml:space="preserve"> pleased to deliver the </w:t>
      </w:r>
      <w:r>
        <w:rPr>
          <w:rFonts w:cs="Arial"/>
        </w:rPr>
        <w:t>eighth</w:t>
      </w:r>
      <w:r w:rsidR="00FD5D8B">
        <w:rPr>
          <w:rFonts w:cs="Arial"/>
        </w:rPr>
        <w:t xml:space="preserve"> </w:t>
      </w:r>
      <w:r w:rsidR="00304241">
        <w:rPr>
          <w:rFonts w:cs="Arial"/>
        </w:rPr>
        <w:t xml:space="preserve">annual report </w:t>
      </w:r>
      <w:r w:rsidR="00F94CAA">
        <w:rPr>
          <w:rFonts w:cs="Arial"/>
        </w:rPr>
        <w:t xml:space="preserve">to the Australian Parliament </w:t>
      </w:r>
      <w:r>
        <w:rPr>
          <w:rFonts w:cs="Arial"/>
        </w:rPr>
        <w:t xml:space="preserve">on the work </w:t>
      </w:r>
      <w:r w:rsidR="00F94CAA">
        <w:rPr>
          <w:rFonts w:cs="Arial"/>
        </w:rPr>
        <w:t xml:space="preserve">of the </w:t>
      </w:r>
      <w:r>
        <w:rPr>
          <w:rFonts w:cs="Arial"/>
        </w:rPr>
        <w:t>Office of the Australian Energy Infrastructure Commissioner</w:t>
      </w:r>
      <w:r w:rsidR="004C44C8">
        <w:rPr>
          <w:rFonts w:cs="Arial"/>
        </w:rPr>
        <w:t>.</w:t>
      </w:r>
      <w:r w:rsidR="00D507B2">
        <w:rPr>
          <w:rFonts w:cs="Arial"/>
        </w:rPr>
        <w:t xml:space="preserve"> </w:t>
      </w:r>
    </w:p>
    <w:p w14:paraId="26B5E001" w14:textId="4396D6C3" w:rsidR="008861BE" w:rsidRDefault="008861BE" w:rsidP="00304241">
      <w:pPr>
        <w:spacing w:line="264" w:lineRule="auto"/>
        <w:rPr>
          <w:rFonts w:cs="Arial"/>
        </w:rPr>
      </w:pPr>
      <w:r>
        <w:rPr>
          <w:rFonts w:cs="Arial"/>
        </w:rPr>
        <w:t xml:space="preserve">This 2023 report covers </w:t>
      </w:r>
      <w:r w:rsidR="00304241">
        <w:rPr>
          <w:rFonts w:cs="Arial"/>
        </w:rPr>
        <w:t xml:space="preserve">the </w:t>
      </w:r>
      <w:r w:rsidR="00304241" w:rsidRPr="00F47E6D">
        <w:rPr>
          <w:rFonts w:cs="Arial"/>
        </w:rPr>
        <w:t xml:space="preserve">period </w:t>
      </w:r>
      <w:r w:rsidR="00304241">
        <w:rPr>
          <w:rFonts w:cs="Arial"/>
        </w:rPr>
        <w:t>1 January 202</w:t>
      </w:r>
      <w:r>
        <w:rPr>
          <w:rFonts w:cs="Arial"/>
        </w:rPr>
        <w:t>3</w:t>
      </w:r>
      <w:r w:rsidR="00304241">
        <w:rPr>
          <w:rFonts w:cs="Arial"/>
        </w:rPr>
        <w:t xml:space="preserve"> </w:t>
      </w:r>
      <w:r w:rsidR="00304241" w:rsidRPr="00F47E6D">
        <w:rPr>
          <w:rFonts w:cs="Arial"/>
        </w:rPr>
        <w:t xml:space="preserve">to </w:t>
      </w:r>
      <w:r w:rsidR="00304241">
        <w:rPr>
          <w:rFonts w:cs="Arial"/>
        </w:rPr>
        <w:t>31 December 202</w:t>
      </w:r>
      <w:r>
        <w:rPr>
          <w:rFonts w:cs="Arial"/>
        </w:rPr>
        <w:t>3.</w:t>
      </w:r>
    </w:p>
    <w:p w14:paraId="5D8F07F7" w14:textId="6BE8BCB4" w:rsidR="001678BC" w:rsidRDefault="00383F0B" w:rsidP="00304241">
      <w:pPr>
        <w:spacing w:line="264" w:lineRule="auto"/>
        <w:rPr>
          <w:rFonts w:cs="Arial"/>
        </w:rPr>
      </w:pPr>
      <w:r>
        <w:rPr>
          <w:rFonts w:cs="Arial"/>
        </w:rPr>
        <w:t>Our role, terms of reference,</w:t>
      </w:r>
      <w:r w:rsidR="001C21A8">
        <w:rPr>
          <w:rFonts w:cs="Arial"/>
        </w:rPr>
        <w:t xml:space="preserve"> policies and a signi</w:t>
      </w:r>
      <w:r w:rsidR="00A12632">
        <w:rPr>
          <w:rFonts w:cs="Arial"/>
        </w:rPr>
        <w:t>fi</w:t>
      </w:r>
      <w:r w:rsidR="00781C82">
        <w:rPr>
          <w:rFonts w:cs="Arial"/>
        </w:rPr>
        <w:t xml:space="preserve">cant number of helpful resources and publications </w:t>
      </w:r>
      <w:r w:rsidR="001678BC">
        <w:rPr>
          <w:rFonts w:cs="Arial"/>
        </w:rPr>
        <w:t xml:space="preserve">can be found at our website – </w:t>
      </w:r>
      <w:hyperlink r:id="rId31" w:history="1">
        <w:r w:rsidR="001678BC" w:rsidRPr="00447BAA">
          <w:rPr>
            <w:rStyle w:val="Hyperlink"/>
            <w:rFonts w:cs="Arial"/>
          </w:rPr>
          <w:t>www.aeic.gov.au</w:t>
        </w:r>
      </w:hyperlink>
    </w:p>
    <w:p w14:paraId="5049E31F" w14:textId="2A5F5B8F" w:rsidR="00304241" w:rsidRPr="002D7001" w:rsidRDefault="00304241" w:rsidP="002D7001">
      <w:pPr>
        <w:pStyle w:val="Heading2"/>
      </w:pPr>
      <w:bookmarkStart w:id="12" w:name="_Toc161672781"/>
      <w:r w:rsidRPr="002D7001">
        <w:t xml:space="preserve">The </w:t>
      </w:r>
      <w:r w:rsidR="00264A69" w:rsidRPr="002D7001">
        <w:t>Y</w:t>
      </w:r>
      <w:r w:rsidRPr="002D7001">
        <w:t xml:space="preserve">ear in </w:t>
      </w:r>
      <w:r w:rsidR="00264A69" w:rsidRPr="002D7001">
        <w:t>R</w:t>
      </w:r>
      <w:r w:rsidRPr="002D7001">
        <w:t>eview</w:t>
      </w:r>
      <w:bookmarkEnd w:id="12"/>
    </w:p>
    <w:p w14:paraId="191ACB64" w14:textId="22E7243A" w:rsidR="00402F6B" w:rsidRDefault="000541D3" w:rsidP="006205D9">
      <w:pPr>
        <w:spacing w:line="264" w:lineRule="auto"/>
        <w:rPr>
          <w:rFonts w:cs="Arial"/>
        </w:rPr>
      </w:pPr>
      <w:r>
        <w:rPr>
          <w:rFonts w:cs="Arial"/>
        </w:rPr>
        <w:t xml:space="preserve">We </w:t>
      </w:r>
      <w:r w:rsidR="00713E2F">
        <w:rPr>
          <w:rFonts w:cs="Arial"/>
        </w:rPr>
        <w:t xml:space="preserve">continued </w:t>
      </w:r>
      <w:r>
        <w:rPr>
          <w:rFonts w:cs="Arial"/>
        </w:rPr>
        <w:t>our f</w:t>
      </w:r>
      <w:r w:rsidR="00713E2F">
        <w:rPr>
          <w:rFonts w:cs="Arial"/>
        </w:rPr>
        <w:t>ocus</w:t>
      </w:r>
      <w:r w:rsidR="00FB1AB0">
        <w:rPr>
          <w:rFonts w:cs="Arial"/>
        </w:rPr>
        <w:t>,</w:t>
      </w:r>
      <w:r w:rsidR="00713E2F">
        <w:rPr>
          <w:rFonts w:cs="Arial"/>
        </w:rPr>
        <w:t xml:space="preserve"> working with </w:t>
      </w:r>
      <w:r w:rsidR="00402F6B">
        <w:rPr>
          <w:rFonts w:cs="Arial"/>
        </w:rPr>
        <w:t xml:space="preserve">community groups and relevant </w:t>
      </w:r>
      <w:r w:rsidR="00A52646">
        <w:rPr>
          <w:rFonts w:cs="Arial"/>
        </w:rPr>
        <w:t>stakeholders</w:t>
      </w:r>
      <w:r w:rsidR="00197742">
        <w:rPr>
          <w:rFonts w:cs="Arial"/>
        </w:rPr>
        <w:t>,</w:t>
      </w:r>
      <w:r w:rsidR="00A52646">
        <w:rPr>
          <w:rFonts w:cs="Arial"/>
        </w:rPr>
        <w:t xml:space="preserve"> </w:t>
      </w:r>
      <w:r w:rsidR="00DD2EDD">
        <w:rPr>
          <w:rFonts w:cs="Arial"/>
        </w:rPr>
        <w:t xml:space="preserve">on </w:t>
      </w:r>
      <w:r w:rsidR="00197742">
        <w:rPr>
          <w:rFonts w:cs="Arial"/>
        </w:rPr>
        <w:t>priority</w:t>
      </w:r>
      <w:r w:rsidR="00314944">
        <w:rPr>
          <w:rFonts w:cs="Arial"/>
        </w:rPr>
        <w:t xml:space="preserve"> systemic</w:t>
      </w:r>
      <w:r w:rsidR="004E4F23">
        <w:rPr>
          <w:rFonts w:cs="Arial"/>
        </w:rPr>
        <w:t xml:space="preserve"> </w:t>
      </w:r>
      <w:r w:rsidR="009F59EB">
        <w:rPr>
          <w:rFonts w:cs="Arial"/>
        </w:rPr>
        <w:t xml:space="preserve">issues </w:t>
      </w:r>
      <w:r w:rsidR="003D5A7E">
        <w:rPr>
          <w:rFonts w:cs="Arial"/>
        </w:rPr>
        <w:t xml:space="preserve">regarding the development and roll-out of </w:t>
      </w:r>
      <w:r w:rsidR="009F59EB">
        <w:rPr>
          <w:rFonts w:cs="Arial"/>
        </w:rPr>
        <w:t>new high-voltage transmission lines</w:t>
      </w:r>
      <w:r w:rsidR="00402F6B">
        <w:rPr>
          <w:rFonts w:cs="Arial"/>
        </w:rPr>
        <w:t>.</w:t>
      </w:r>
    </w:p>
    <w:p w14:paraId="09D10CFA" w14:textId="77777777" w:rsidR="009270CD" w:rsidRDefault="00B13B5F" w:rsidP="006205D9">
      <w:pPr>
        <w:spacing w:line="264" w:lineRule="auto"/>
        <w:rPr>
          <w:rFonts w:cs="Arial"/>
        </w:rPr>
      </w:pPr>
      <w:r>
        <w:rPr>
          <w:rFonts w:cs="Arial"/>
        </w:rPr>
        <w:t xml:space="preserve">Our Office </w:t>
      </w:r>
      <w:r w:rsidR="006B572F">
        <w:rPr>
          <w:rFonts w:cs="Arial"/>
        </w:rPr>
        <w:t xml:space="preserve">increased its engagement with the evolving </w:t>
      </w:r>
      <w:r w:rsidR="00D31350">
        <w:rPr>
          <w:rFonts w:cs="Arial"/>
        </w:rPr>
        <w:t xml:space="preserve">offshore wind </w:t>
      </w:r>
      <w:r w:rsidR="00AE0657">
        <w:rPr>
          <w:rFonts w:cs="Arial"/>
        </w:rPr>
        <w:t>development</w:t>
      </w:r>
      <w:r w:rsidR="00D711C1">
        <w:rPr>
          <w:rFonts w:cs="Arial"/>
        </w:rPr>
        <w:t xml:space="preserve"> activi</w:t>
      </w:r>
      <w:r w:rsidR="008768CB">
        <w:rPr>
          <w:rFonts w:cs="Arial"/>
        </w:rPr>
        <w:t>ties and received and handled complaints fro</w:t>
      </w:r>
      <w:r w:rsidR="00EE62FA">
        <w:rPr>
          <w:rFonts w:cs="Arial"/>
        </w:rPr>
        <w:t>m concerned residents</w:t>
      </w:r>
      <w:r w:rsidR="00D6037A">
        <w:rPr>
          <w:rFonts w:cs="Arial"/>
        </w:rPr>
        <w:t xml:space="preserve"> in proximity to proposed and declared </w:t>
      </w:r>
      <w:r w:rsidR="009270CD">
        <w:rPr>
          <w:rFonts w:cs="Arial"/>
        </w:rPr>
        <w:t>offshore areas.</w:t>
      </w:r>
    </w:p>
    <w:p w14:paraId="432FCB69" w14:textId="12259279" w:rsidR="004E4F23" w:rsidRDefault="00F56B4D" w:rsidP="006205D9">
      <w:pPr>
        <w:spacing w:line="264" w:lineRule="auto"/>
        <w:rPr>
          <w:rFonts w:cs="Arial"/>
        </w:rPr>
      </w:pPr>
      <w:r>
        <w:rPr>
          <w:rFonts w:cs="Arial"/>
        </w:rPr>
        <w:t xml:space="preserve">We also reviewed </w:t>
      </w:r>
      <w:r w:rsidR="003B203D">
        <w:rPr>
          <w:rFonts w:cs="Arial"/>
        </w:rPr>
        <w:t>current engagement practices</w:t>
      </w:r>
      <w:r w:rsidR="00D70AEC">
        <w:rPr>
          <w:rFonts w:cs="Arial"/>
        </w:rPr>
        <w:t>,</w:t>
      </w:r>
      <w:r w:rsidR="003B203D">
        <w:rPr>
          <w:rFonts w:cs="Arial"/>
        </w:rPr>
        <w:t xml:space="preserve"> along with </w:t>
      </w:r>
      <w:r w:rsidR="00F05855">
        <w:rPr>
          <w:rFonts w:cs="Arial"/>
        </w:rPr>
        <w:t>international best practice engagement, lead</w:t>
      </w:r>
      <w:r w:rsidR="00D70AEC">
        <w:rPr>
          <w:rFonts w:cs="Arial"/>
        </w:rPr>
        <w:t xml:space="preserve">ing </w:t>
      </w:r>
      <w:r w:rsidR="00F05855">
        <w:rPr>
          <w:rFonts w:cs="Arial"/>
        </w:rPr>
        <w:t xml:space="preserve">to </w:t>
      </w:r>
      <w:r w:rsidR="002F626B">
        <w:rPr>
          <w:rFonts w:cs="Arial"/>
        </w:rPr>
        <w:t xml:space="preserve">the </w:t>
      </w:r>
      <w:r w:rsidR="004E4F23">
        <w:rPr>
          <w:rFonts w:cs="Arial"/>
        </w:rPr>
        <w:t xml:space="preserve">publication of our </w:t>
      </w:r>
      <w:r w:rsidR="002F626B">
        <w:rPr>
          <w:rFonts w:cs="Arial"/>
        </w:rPr>
        <w:t xml:space="preserve">inaugural </w:t>
      </w:r>
      <w:r w:rsidR="004E4F23" w:rsidRPr="004E4F23">
        <w:rPr>
          <w:rFonts w:cs="Arial"/>
          <w:i/>
          <w:iCs/>
        </w:rPr>
        <w:t xml:space="preserve">Considerations for Offshore Wind Industry on Community </w:t>
      </w:r>
      <w:r w:rsidR="004E4F23" w:rsidRPr="009E0601">
        <w:rPr>
          <w:rFonts w:cs="Arial"/>
          <w:i/>
          <w:iCs/>
        </w:rPr>
        <w:t>Engagement</w:t>
      </w:r>
      <w:r w:rsidR="009E0601">
        <w:rPr>
          <w:rFonts w:cs="Arial"/>
        </w:rPr>
        <w:t>, released in</w:t>
      </w:r>
      <w:r w:rsidR="00967CB8">
        <w:rPr>
          <w:rFonts w:cs="Arial"/>
        </w:rPr>
        <w:t xml:space="preserve"> October 2023</w:t>
      </w:r>
      <w:r w:rsidR="00A962B3">
        <w:rPr>
          <w:rFonts w:cs="Arial"/>
        </w:rPr>
        <w:t>.</w:t>
      </w:r>
    </w:p>
    <w:p w14:paraId="25FAC11E" w14:textId="77777777" w:rsidR="00321E64" w:rsidRDefault="00DE6AEB" w:rsidP="006205D9">
      <w:pPr>
        <w:spacing w:line="264" w:lineRule="auto"/>
        <w:rPr>
          <w:rFonts w:cs="Arial"/>
        </w:rPr>
      </w:pPr>
      <w:r>
        <w:rPr>
          <w:rFonts w:cs="Arial"/>
        </w:rPr>
        <w:t>Th</w:t>
      </w:r>
      <w:r w:rsidR="00A86962">
        <w:rPr>
          <w:rFonts w:cs="Arial"/>
        </w:rPr>
        <w:t>e</w:t>
      </w:r>
      <w:r>
        <w:rPr>
          <w:rFonts w:cs="Arial"/>
        </w:rPr>
        <w:t xml:space="preserve"> </w:t>
      </w:r>
      <w:r w:rsidR="00B903E3">
        <w:rPr>
          <w:rFonts w:cs="Arial"/>
        </w:rPr>
        <w:t>O</w:t>
      </w:r>
      <w:r>
        <w:rPr>
          <w:rFonts w:cs="Arial"/>
        </w:rPr>
        <w:t>ffic</w:t>
      </w:r>
      <w:r w:rsidR="00B903E3">
        <w:rPr>
          <w:rFonts w:cs="Arial"/>
        </w:rPr>
        <w:t>e</w:t>
      </w:r>
      <w:r>
        <w:rPr>
          <w:rFonts w:cs="Arial"/>
        </w:rPr>
        <w:t xml:space="preserve"> also</w:t>
      </w:r>
      <w:r w:rsidR="00B903E3">
        <w:rPr>
          <w:rFonts w:cs="Arial"/>
        </w:rPr>
        <w:t xml:space="preserve"> received a growing number of cases relate</w:t>
      </w:r>
      <w:r w:rsidR="005B1890">
        <w:rPr>
          <w:rFonts w:cs="Arial"/>
        </w:rPr>
        <w:t>d to proposed pumped-hydro</w:t>
      </w:r>
      <w:r w:rsidR="00A86962">
        <w:rPr>
          <w:rFonts w:cs="Arial"/>
        </w:rPr>
        <w:t xml:space="preserve"> projects</w:t>
      </w:r>
      <w:r w:rsidR="00A55652">
        <w:rPr>
          <w:rFonts w:cs="Arial"/>
        </w:rPr>
        <w:t>, which has also re</w:t>
      </w:r>
      <w:r w:rsidR="00785DD6">
        <w:rPr>
          <w:rFonts w:cs="Arial"/>
        </w:rPr>
        <w:t xml:space="preserve">vealed new types of issues for us to consider </w:t>
      </w:r>
      <w:r w:rsidR="006874AF">
        <w:rPr>
          <w:rFonts w:cs="Arial"/>
        </w:rPr>
        <w:t>and resolve.</w:t>
      </w:r>
      <w:r w:rsidR="00B903E3">
        <w:rPr>
          <w:rFonts w:cs="Arial"/>
        </w:rPr>
        <w:t xml:space="preserve"> </w:t>
      </w:r>
    </w:p>
    <w:p w14:paraId="0CE6E7DB" w14:textId="4ED3C13F" w:rsidR="00A0528F" w:rsidRPr="007E2E7F" w:rsidRDefault="00321E64" w:rsidP="006205D9">
      <w:pPr>
        <w:spacing w:line="264" w:lineRule="auto"/>
        <w:rPr>
          <w:rFonts w:cs="Arial"/>
        </w:rPr>
      </w:pPr>
      <w:r>
        <w:rPr>
          <w:rFonts w:cs="Arial"/>
        </w:rPr>
        <w:t xml:space="preserve">Together with </w:t>
      </w:r>
      <w:r w:rsidR="00314FF3">
        <w:rPr>
          <w:rFonts w:cs="Arial"/>
        </w:rPr>
        <w:t xml:space="preserve">cases </w:t>
      </w:r>
      <w:r w:rsidR="0068059B">
        <w:rPr>
          <w:rFonts w:cs="Arial"/>
        </w:rPr>
        <w:t xml:space="preserve">received </w:t>
      </w:r>
      <w:r w:rsidR="00314FF3">
        <w:rPr>
          <w:rFonts w:cs="Arial"/>
        </w:rPr>
        <w:t xml:space="preserve">arising from concerns </w:t>
      </w:r>
      <w:r w:rsidR="001F5F06">
        <w:rPr>
          <w:rFonts w:cs="Arial"/>
        </w:rPr>
        <w:t>about large scale wind, solar and storage</w:t>
      </w:r>
      <w:r w:rsidR="00E009BA">
        <w:rPr>
          <w:rFonts w:cs="Arial"/>
        </w:rPr>
        <w:t>,</w:t>
      </w:r>
      <w:r w:rsidR="00381E5F">
        <w:rPr>
          <w:rFonts w:cs="Arial"/>
        </w:rPr>
        <w:t xml:space="preserve"> 2023</w:t>
      </w:r>
      <w:r w:rsidR="00E009BA">
        <w:rPr>
          <w:rFonts w:cs="Arial"/>
        </w:rPr>
        <w:t xml:space="preserve"> was our </w:t>
      </w:r>
      <w:r w:rsidR="00930921">
        <w:rPr>
          <w:rFonts w:cs="Arial"/>
        </w:rPr>
        <w:t xml:space="preserve">third busiest year in terms of </w:t>
      </w:r>
      <w:r w:rsidR="00A76270">
        <w:rPr>
          <w:rFonts w:cs="Arial"/>
        </w:rPr>
        <w:t>complaint handling</w:t>
      </w:r>
      <w:r w:rsidR="002133FB">
        <w:rPr>
          <w:rFonts w:cs="Arial"/>
        </w:rPr>
        <w:t xml:space="preserve">, with </w:t>
      </w:r>
      <w:r w:rsidR="00125A33">
        <w:rPr>
          <w:rFonts w:cs="Arial"/>
        </w:rPr>
        <w:t xml:space="preserve">149 </w:t>
      </w:r>
      <w:r w:rsidR="002133FB">
        <w:rPr>
          <w:rFonts w:cs="Arial"/>
        </w:rPr>
        <w:t>new cases received</w:t>
      </w:r>
      <w:r w:rsidR="00375581">
        <w:rPr>
          <w:rFonts w:cs="Arial"/>
        </w:rPr>
        <w:t>.</w:t>
      </w:r>
      <w:r w:rsidR="002133FB">
        <w:rPr>
          <w:rFonts w:cs="Arial"/>
        </w:rPr>
        <w:t xml:space="preserve"> </w:t>
      </w:r>
    </w:p>
    <w:p w14:paraId="6E7B26F1" w14:textId="1DC9935C" w:rsidR="0086238C" w:rsidRPr="000F7317" w:rsidRDefault="00564352" w:rsidP="00500176">
      <w:pPr>
        <w:spacing w:line="264" w:lineRule="auto"/>
        <w:rPr>
          <w:rFonts w:cs="Arial"/>
        </w:rPr>
      </w:pPr>
      <w:bookmarkStart w:id="13" w:name="_Hlk160455954"/>
      <w:r w:rsidRPr="000F7317">
        <w:rPr>
          <w:rFonts w:cs="Arial"/>
        </w:rPr>
        <w:t>Additionally, o</w:t>
      </w:r>
      <w:r w:rsidR="0086238C" w:rsidRPr="000F7317">
        <w:rPr>
          <w:rFonts w:cs="Arial"/>
        </w:rPr>
        <w:t>n 4 July 2022</w:t>
      </w:r>
      <w:r w:rsidR="00833AF6" w:rsidRPr="000F7317">
        <w:rPr>
          <w:rFonts w:cs="Arial"/>
        </w:rPr>
        <w:t xml:space="preserve"> the Minister for Climate Change and Energy</w:t>
      </w:r>
      <w:r w:rsidR="00295C16" w:rsidRPr="000F7317">
        <w:rPr>
          <w:rFonts w:cs="Arial"/>
        </w:rPr>
        <w:t xml:space="preserve"> </w:t>
      </w:r>
      <w:r w:rsidR="00DA6FAB" w:rsidRPr="000F7317">
        <w:rPr>
          <w:rFonts w:cs="Arial"/>
        </w:rPr>
        <w:t xml:space="preserve">announced </w:t>
      </w:r>
      <w:r w:rsidRPr="000F7317">
        <w:rPr>
          <w:rFonts w:cs="Arial"/>
        </w:rPr>
        <w:t>an independent review to advise on improving community engagement on renewable energy infrastructure developments</w:t>
      </w:r>
      <w:r w:rsidR="000F7317">
        <w:rPr>
          <w:rFonts w:cs="Arial"/>
        </w:rPr>
        <w:t xml:space="preserve">, to </w:t>
      </w:r>
      <w:r w:rsidR="008767A5">
        <w:rPr>
          <w:rFonts w:cs="Arial"/>
        </w:rPr>
        <w:t>b</w:t>
      </w:r>
      <w:r w:rsidR="000F7317">
        <w:rPr>
          <w:rFonts w:cs="Arial"/>
        </w:rPr>
        <w:t xml:space="preserve">e led by the </w:t>
      </w:r>
      <w:r w:rsidR="008767A5">
        <w:rPr>
          <w:rFonts w:cs="Arial"/>
        </w:rPr>
        <w:t>Commissioner.</w:t>
      </w:r>
    </w:p>
    <w:p w14:paraId="6B54772A" w14:textId="63688AD8" w:rsidR="00CB024B" w:rsidRPr="000F7317" w:rsidRDefault="00A409BB" w:rsidP="00500176">
      <w:pPr>
        <w:spacing w:line="264" w:lineRule="auto"/>
        <w:rPr>
          <w:rFonts w:cs="Arial"/>
        </w:rPr>
      </w:pPr>
      <w:r w:rsidRPr="000F7317">
        <w:rPr>
          <w:rFonts w:cs="Arial"/>
        </w:rPr>
        <w:t xml:space="preserve">The Review </w:t>
      </w:r>
      <w:r w:rsidR="002718AA" w:rsidRPr="000F7317">
        <w:rPr>
          <w:rFonts w:cs="Arial"/>
        </w:rPr>
        <w:t xml:space="preserve">process involved </w:t>
      </w:r>
      <w:r w:rsidR="00D5579F" w:rsidRPr="000F7317">
        <w:rPr>
          <w:rFonts w:cs="Arial"/>
        </w:rPr>
        <w:t>substantial engagement with community members and landholders across Australia</w:t>
      </w:r>
      <w:r w:rsidR="00A02168" w:rsidRPr="000F7317">
        <w:rPr>
          <w:rFonts w:cs="Arial"/>
        </w:rPr>
        <w:t xml:space="preserve">. </w:t>
      </w:r>
    </w:p>
    <w:p w14:paraId="43956F47" w14:textId="4813B0B6" w:rsidR="000573B0" w:rsidRPr="000F7317" w:rsidRDefault="00602401" w:rsidP="000573B0">
      <w:pPr>
        <w:spacing w:line="264" w:lineRule="auto"/>
        <w:rPr>
          <w:rFonts w:cs="Arial"/>
        </w:rPr>
      </w:pPr>
      <w:r w:rsidRPr="000F7317">
        <w:rPr>
          <w:rFonts w:cs="Arial"/>
        </w:rPr>
        <w:t xml:space="preserve">The Review report was submitted to the Minister </w:t>
      </w:r>
      <w:r w:rsidR="005F1076" w:rsidRPr="000F7317">
        <w:rPr>
          <w:rFonts w:cs="Arial"/>
        </w:rPr>
        <w:t xml:space="preserve">for consideration </w:t>
      </w:r>
      <w:r w:rsidRPr="000F7317">
        <w:rPr>
          <w:rFonts w:cs="Arial"/>
        </w:rPr>
        <w:t>on 18 December 2023</w:t>
      </w:r>
      <w:r w:rsidR="00EF617D">
        <w:rPr>
          <w:rFonts w:cs="Arial"/>
        </w:rPr>
        <w:t xml:space="preserve">. </w:t>
      </w:r>
      <w:r w:rsidR="0064296A">
        <w:rPr>
          <w:rFonts w:cs="Arial"/>
        </w:rPr>
        <w:t>On 2 February 2024</w:t>
      </w:r>
      <w:r w:rsidR="009C1320">
        <w:rPr>
          <w:rFonts w:cs="Arial"/>
        </w:rPr>
        <w:t xml:space="preserve">, the Minister </w:t>
      </w:r>
      <w:r w:rsidR="00EF617D">
        <w:rPr>
          <w:rFonts w:cs="Arial"/>
        </w:rPr>
        <w:t>re</w:t>
      </w:r>
      <w:r w:rsidR="0064296A">
        <w:rPr>
          <w:rFonts w:cs="Arial"/>
        </w:rPr>
        <w:t>lease</w:t>
      </w:r>
      <w:r w:rsidR="00BE6E88">
        <w:rPr>
          <w:rFonts w:cs="Arial"/>
        </w:rPr>
        <w:t xml:space="preserve">d </w:t>
      </w:r>
      <w:r w:rsidR="00682419">
        <w:rPr>
          <w:rFonts w:cs="Arial"/>
        </w:rPr>
        <w:t xml:space="preserve">the </w:t>
      </w:r>
      <w:r w:rsidR="00BE6E88">
        <w:rPr>
          <w:rFonts w:cs="Arial"/>
        </w:rPr>
        <w:t>report</w:t>
      </w:r>
      <w:r w:rsidR="005F1076" w:rsidRPr="000F7317">
        <w:rPr>
          <w:rFonts w:cs="Arial"/>
        </w:rPr>
        <w:t>.</w:t>
      </w:r>
      <w:r w:rsidR="00564352" w:rsidRPr="000F7317">
        <w:rPr>
          <w:rFonts w:cs="Arial"/>
        </w:rPr>
        <w:t xml:space="preserve"> </w:t>
      </w:r>
      <w:r w:rsidR="004027C4">
        <w:rPr>
          <w:rFonts w:cs="Arial"/>
        </w:rPr>
        <w:t xml:space="preserve">The report contains </w:t>
      </w:r>
      <w:r w:rsidR="00A50BC0" w:rsidRPr="000F7317">
        <w:rPr>
          <w:rFonts w:cs="Arial"/>
        </w:rPr>
        <w:t xml:space="preserve">nine practical and pragmatic </w:t>
      </w:r>
      <w:r w:rsidR="000573B0" w:rsidRPr="000F7317">
        <w:rPr>
          <w:rFonts w:cs="Arial"/>
        </w:rPr>
        <w:t xml:space="preserve">recommendations to materially improve community engagement effectiveness and </w:t>
      </w:r>
      <w:r w:rsidR="00B71541">
        <w:rPr>
          <w:rFonts w:cs="Arial"/>
        </w:rPr>
        <w:t>the energy transition overall</w:t>
      </w:r>
      <w:r w:rsidR="000573B0" w:rsidRPr="000F7317">
        <w:rPr>
          <w:rFonts w:cs="Arial"/>
        </w:rPr>
        <w:t xml:space="preserve">. </w:t>
      </w:r>
    </w:p>
    <w:p w14:paraId="6A7DC6AB" w14:textId="5D064436" w:rsidR="00E13AAD" w:rsidRDefault="00070725" w:rsidP="00564352">
      <w:pPr>
        <w:spacing w:line="264" w:lineRule="auto"/>
        <w:rPr>
          <w:rFonts w:cs="Arial"/>
        </w:rPr>
      </w:pPr>
      <w:r w:rsidRPr="000F7317">
        <w:rPr>
          <w:rFonts w:cs="Arial"/>
        </w:rPr>
        <w:t xml:space="preserve">The </w:t>
      </w:r>
      <w:r w:rsidR="004266A7" w:rsidRPr="000F7317">
        <w:rPr>
          <w:rFonts w:cs="Arial"/>
        </w:rPr>
        <w:t>Australian G</w:t>
      </w:r>
      <w:r w:rsidRPr="000F7317">
        <w:rPr>
          <w:rFonts w:cs="Arial"/>
        </w:rPr>
        <w:t>overnment has accepted</w:t>
      </w:r>
      <w:r w:rsidR="00A63576">
        <w:rPr>
          <w:rFonts w:cs="Arial"/>
        </w:rPr>
        <w:t>,</w:t>
      </w:r>
      <w:r w:rsidRPr="000F7317">
        <w:rPr>
          <w:rFonts w:cs="Arial"/>
        </w:rPr>
        <w:t xml:space="preserve"> </w:t>
      </w:r>
      <w:r w:rsidR="00564352" w:rsidRPr="000F7317">
        <w:rPr>
          <w:rFonts w:cs="Arial"/>
        </w:rPr>
        <w:t>in-principle</w:t>
      </w:r>
      <w:r w:rsidR="00A63576">
        <w:rPr>
          <w:rFonts w:cs="Arial"/>
        </w:rPr>
        <w:t>,</w:t>
      </w:r>
      <w:r w:rsidR="00564352" w:rsidRPr="000F7317">
        <w:rPr>
          <w:rFonts w:cs="Arial"/>
        </w:rPr>
        <w:t xml:space="preserve"> </w:t>
      </w:r>
      <w:r w:rsidRPr="000F7317">
        <w:rPr>
          <w:rFonts w:cs="Arial"/>
        </w:rPr>
        <w:t xml:space="preserve">all nine recommendations of the </w:t>
      </w:r>
      <w:r w:rsidR="00E151A6" w:rsidRPr="000F7317">
        <w:rPr>
          <w:rFonts w:cs="Arial"/>
        </w:rPr>
        <w:t xml:space="preserve">report. A summary of the recommendations can be found in </w:t>
      </w:r>
      <w:r w:rsidR="00E926A2" w:rsidRPr="000F7317">
        <w:rPr>
          <w:rFonts w:cs="Arial"/>
        </w:rPr>
        <w:t xml:space="preserve">Appendix </w:t>
      </w:r>
      <w:r w:rsidR="00596AB9" w:rsidRPr="000F7317">
        <w:rPr>
          <w:rFonts w:cs="Arial"/>
        </w:rPr>
        <w:t>B.</w:t>
      </w:r>
      <w:r w:rsidR="00564352" w:rsidRPr="000F7317">
        <w:rPr>
          <w:rFonts w:cs="Arial"/>
        </w:rPr>
        <w:t xml:space="preserve"> </w:t>
      </w:r>
      <w:r w:rsidR="00A63576">
        <w:rPr>
          <w:rFonts w:cs="Arial"/>
        </w:rPr>
        <w:t xml:space="preserve">The </w:t>
      </w:r>
      <w:r w:rsidR="00596AB9" w:rsidRPr="000F7317">
        <w:rPr>
          <w:rFonts w:cs="Arial"/>
        </w:rPr>
        <w:t>Review report</w:t>
      </w:r>
      <w:r w:rsidR="001A6412" w:rsidRPr="000F7317">
        <w:rPr>
          <w:rFonts w:cs="Arial"/>
        </w:rPr>
        <w:t xml:space="preserve"> </w:t>
      </w:r>
      <w:r w:rsidR="00BC0905">
        <w:rPr>
          <w:rFonts w:cs="Arial"/>
        </w:rPr>
        <w:t xml:space="preserve">was presented </w:t>
      </w:r>
      <w:r w:rsidR="001A6412" w:rsidRPr="000F7317">
        <w:rPr>
          <w:rFonts w:cs="Arial"/>
        </w:rPr>
        <w:t xml:space="preserve">to the Energy and Climate Change </w:t>
      </w:r>
      <w:r w:rsidR="00100E71" w:rsidRPr="000F7317">
        <w:rPr>
          <w:rFonts w:cs="Arial"/>
        </w:rPr>
        <w:t>Ministerial Council on 1</w:t>
      </w:r>
      <w:r w:rsidR="00EF366D" w:rsidRPr="000F7317">
        <w:rPr>
          <w:rFonts w:cs="Arial"/>
        </w:rPr>
        <w:t> </w:t>
      </w:r>
      <w:r w:rsidR="003937DD" w:rsidRPr="000F7317">
        <w:rPr>
          <w:rFonts w:cs="Arial"/>
        </w:rPr>
        <w:t>March 2024</w:t>
      </w:r>
      <w:r w:rsidR="004A1F6D">
        <w:rPr>
          <w:rFonts w:cs="Arial"/>
        </w:rPr>
        <w:t>.</w:t>
      </w:r>
      <w:r w:rsidR="00BC0905">
        <w:rPr>
          <w:rFonts w:cs="Arial"/>
        </w:rPr>
        <w:t xml:space="preserve"> </w:t>
      </w:r>
      <w:r w:rsidR="00BE11B3">
        <w:rPr>
          <w:rFonts w:cs="Arial"/>
        </w:rPr>
        <w:t xml:space="preserve">We </w:t>
      </w:r>
      <w:r w:rsidR="00564352" w:rsidRPr="000F7317">
        <w:rPr>
          <w:rFonts w:cs="Arial"/>
        </w:rPr>
        <w:t xml:space="preserve">have </w:t>
      </w:r>
      <w:r w:rsidR="003937DD" w:rsidRPr="000F7317">
        <w:rPr>
          <w:rFonts w:cs="Arial"/>
        </w:rPr>
        <w:t>continue</w:t>
      </w:r>
      <w:r w:rsidR="00F116E4">
        <w:rPr>
          <w:rFonts w:cs="Arial"/>
        </w:rPr>
        <w:t>d</w:t>
      </w:r>
      <w:r w:rsidR="003937DD" w:rsidRPr="000F7317">
        <w:rPr>
          <w:rFonts w:cs="Arial"/>
        </w:rPr>
        <w:t xml:space="preserve"> to provide briefings on the </w:t>
      </w:r>
      <w:r w:rsidR="00E13AAD" w:rsidRPr="000F7317">
        <w:rPr>
          <w:rFonts w:cs="Arial"/>
        </w:rPr>
        <w:t>report and recommendations to key stakeholders.</w:t>
      </w:r>
    </w:p>
    <w:p w14:paraId="6185D118" w14:textId="350E6712" w:rsidR="00A409BB" w:rsidRDefault="00815D72" w:rsidP="00500176">
      <w:pPr>
        <w:spacing w:line="264" w:lineRule="auto"/>
        <w:rPr>
          <w:rFonts w:cs="Arial"/>
        </w:rPr>
      </w:pPr>
      <w:r>
        <w:rPr>
          <w:rFonts w:cs="Arial"/>
        </w:rPr>
        <w:t xml:space="preserve">The Review report and </w:t>
      </w:r>
      <w:r w:rsidR="00B050D0">
        <w:rPr>
          <w:rFonts w:cs="Arial"/>
        </w:rPr>
        <w:t xml:space="preserve">recommendations has received </w:t>
      </w:r>
      <w:r w:rsidR="00B304CA">
        <w:rPr>
          <w:rFonts w:cs="Arial"/>
        </w:rPr>
        <w:t>wide coverage and interest from the media and stakeholder grou</w:t>
      </w:r>
      <w:r w:rsidR="00D74CA8">
        <w:rPr>
          <w:rFonts w:cs="Arial"/>
        </w:rPr>
        <w:t>ps and appears to be well received.</w:t>
      </w:r>
      <w:r w:rsidR="00682419">
        <w:rPr>
          <w:rFonts w:cs="Arial"/>
        </w:rPr>
        <w:t xml:space="preserve"> </w:t>
      </w:r>
      <w:r w:rsidR="00142345">
        <w:rPr>
          <w:rFonts w:cs="Arial"/>
        </w:rPr>
        <w:t xml:space="preserve">The </w:t>
      </w:r>
      <w:r w:rsidR="0072578B">
        <w:rPr>
          <w:rFonts w:cs="Arial"/>
        </w:rPr>
        <w:t xml:space="preserve">report’s </w:t>
      </w:r>
      <w:r w:rsidR="00142345">
        <w:rPr>
          <w:rFonts w:cs="Arial"/>
        </w:rPr>
        <w:t>recommendations will now need to be implemented</w:t>
      </w:r>
      <w:r w:rsidR="003B3BED">
        <w:rPr>
          <w:rFonts w:cs="Arial"/>
        </w:rPr>
        <w:t xml:space="preserve"> </w:t>
      </w:r>
      <w:proofErr w:type="gramStart"/>
      <w:r w:rsidR="003B3BED">
        <w:rPr>
          <w:rFonts w:cs="Arial"/>
        </w:rPr>
        <w:t>in order for</w:t>
      </w:r>
      <w:proofErr w:type="gramEnd"/>
      <w:r w:rsidR="003B3BED">
        <w:rPr>
          <w:rFonts w:cs="Arial"/>
        </w:rPr>
        <w:t xml:space="preserve"> the </w:t>
      </w:r>
      <w:r w:rsidR="00A30535">
        <w:rPr>
          <w:rFonts w:cs="Arial"/>
        </w:rPr>
        <w:t>benefits to be properly realised.</w:t>
      </w:r>
      <w:r w:rsidR="00682419">
        <w:rPr>
          <w:rFonts w:cs="Arial"/>
        </w:rPr>
        <w:t xml:space="preserve"> </w:t>
      </w:r>
    </w:p>
    <w:p w14:paraId="400681DF" w14:textId="2E882B88" w:rsidR="00304241" w:rsidRPr="002D7001" w:rsidRDefault="00304241" w:rsidP="002D7001">
      <w:pPr>
        <w:pStyle w:val="Heading2"/>
      </w:pPr>
      <w:bookmarkStart w:id="14" w:name="_Toc51224024"/>
      <w:bookmarkStart w:id="15" w:name="_Toc161672782"/>
      <w:r w:rsidRPr="002D7001">
        <w:t xml:space="preserve">The </w:t>
      </w:r>
      <w:r w:rsidR="00264A69" w:rsidRPr="002D7001">
        <w:t>Y</w:t>
      </w:r>
      <w:r w:rsidRPr="002D7001">
        <w:t xml:space="preserve">ear </w:t>
      </w:r>
      <w:r w:rsidR="00264A69" w:rsidRPr="002D7001">
        <w:t>A</w:t>
      </w:r>
      <w:r w:rsidRPr="002D7001">
        <w:t>head</w:t>
      </w:r>
      <w:bookmarkEnd w:id="14"/>
      <w:bookmarkEnd w:id="15"/>
    </w:p>
    <w:p w14:paraId="6A5731DF" w14:textId="62B7CC57" w:rsidR="00BE37CD" w:rsidRDefault="00BE37CD" w:rsidP="00BE37CD">
      <w:pPr>
        <w:spacing w:line="264" w:lineRule="auto"/>
        <w:rPr>
          <w:rFonts w:cs="Arial"/>
        </w:rPr>
      </w:pPr>
      <w:r>
        <w:rPr>
          <w:rFonts w:cs="Arial"/>
        </w:rPr>
        <w:t>In our 2022 Annual Report, we described 2023 as being a pivotal year, citing developments and progress in offshore wind, pumped-hydro, large-scale batteries along with the broader pipeline of large-scale wind and solar projects</w:t>
      </w:r>
      <w:r w:rsidR="00E46C65">
        <w:rPr>
          <w:rFonts w:cs="Arial"/>
        </w:rPr>
        <w:t xml:space="preserve"> dominating our focus</w:t>
      </w:r>
      <w:r>
        <w:rPr>
          <w:rFonts w:cs="Arial"/>
        </w:rPr>
        <w:t>.</w:t>
      </w:r>
      <w:r w:rsidR="00682419">
        <w:rPr>
          <w:rFonts w:cs="Arial"/>
        </w:rPr>
        <w:t xml:space="preserve"> </w:t>
      </w:r>
      <w:r>
        <w:rPr>
          <w:rFonts w:cs="Arial"/>
        </w:rPr>
        <w:t>We also highlighted the need for significant progress to be achieved on major transmission projects to ensure they are deployed in time to support the energy transition.</w:t>
      </w:r>
    </w:p>
    <w:p w14:paraId="2E2136CB" w14:textId="7F9B5DC3" w:rsidR="00BE37CD" w:rsidRDefault="00BE37CD" w:rsidP="00BE37CD">
      <w:pPr>
        <w:spacing w:line="264" w:lineRule="auto"/>
        <w:rPr>
          <w:rFonts w:cs="Arial"/>
        </w:rPr>
      </w:pPr>
      <w:r>
        <w:rPr>
          <w:rFonts w:cs="Arial"/>
        </w:rPr>
        <w:t>Our predictions and areas of focus for 2023 could not have been more prescient.</w:t>
      </w:r>
    </w:p>
    <w:p w14:paraId="5A19EB50" w14:textId="489ABB27" w:rsidR="009E37B2" w:rsidRDefault="00F16DF6" w:rsidP="00BE37CD">
      <w:pPr>
        <w:spacing w:line="264" w:lineRule="auto"/>
        <w:rPr>
          <w:rFonts w:cs="Arial"/>
        </w:rPr>
      </w:pPr>
      <w:r>
        <w:rPr>
          <w:rFonts w:cs="Arial"/>
        </w:rPr>
        <w:lastRenderedPageBreak/>
        <w:t>In 2024</w:t>
      </w:r>
      <w:r w:rsidR="007866B1">
        <w:rPr>
          <w:rFonts w:cs="Arial"/>
        </w:rPr>
        <w:t xml:space="preserve">, the </w:t>
      </w:r>
      <w:r w:rsidR="00315856">
        <w:rPr>
          <w:rFonts w:cs="Arial"/>
        </w:rPr>
        <w:t>O</w:t>
      </w:r>
      <w:r w:rsidR="007866B1">
        <w:rPr>
          <w:rFonts w:cs="Arial"/>
        </w:rPr>
        <w:t>ffice has much to contribute</w:t>
      </w:r>
      <w:r w:rsidR="001F4373">
        <w:rPr>
          <w:rFonts w:cs="Arial"/>
        </w:rPr>
        <w:t xml:space="preserve"> to the energy transition</w:t>
      </w:r>
      <w:r w:rsidR="00D63CC0">
        <w:rPr>
          <w:rFonts w:cs="Arial"/>
        </w:rPr>
        <w:t>.</w:t>
      </w:r>
      <w:r w:rsidR="007866B1">
        <w:rPr>
          <w:rFonts w:cs="Arial"/>
        </w:rPr>
        <w:t xml:space="preserve"> </w:t>
      </w:r>
      <w:r w:rsidR="00D63CC0">
        <w:rPr>
          <w:rFonts w:cs="Arial"/>
        </w:rPr>
        <w:t>F</w:t>
      </w:r>
      <w:r w:rsidR="007866B1">
        <w:rPr>
          <w:rFonts w:cs="Arial"/>
        </w:rPr>
        <w:t>rom its daily</w:t>
      </w:r>
      <w:r w:rsidR="00D63CC0">
        <w:rPr>
          <w:rFonts w:cs="Arial"/>
        </w:rPr>
        <w:t xml:space="preserve"> handling of ongoing and </w:t>
      </w:r>
      <w:r w:rsidR="001F4373">
        <w:rPr>
          <w:rFonts w:cs="Arial"/>
        </w:rPr>
        <w:t xml:space="preserve">new </w:t>
      </w:r>
      <w:r w:rsidR="00D63CC0">
        <w:rPr>
          <w:rFonts w:cs="Arial"/>
        </w:rPr>
        <w:t>c</w:t>
      </w:r>
      <w:r w:rsidR="00AE0DF3">
        <w:rPr>
          <w:rFonts w:cs="Arial"/>
        </w:rPr>
        <w:t>ases</w:t>
      </w:r>
      <w:r w:rsidR="00D63CC0">
        <w:rPr>
          <w:rFonts w:cs="Arial"/>
        </w:rPr>
        <w:t>, to</w:t>
      </w:r>
      <w:r w:rsidR="00A7097E">
        <w:rPr>
          <w:rFonts w:cs="Arial"/>
        </w:rPr>
        <w:t xml:space="preserve"> continuing to </w:t>
      </w:r>
      <w:r w:rsidR="00BF48B3">
        <w:rPr>
          <w:rFonts w:cs="Arial"/>
        </w:rPr>
        <w:t xml:space="preserve">document and </w:t>
      </w:r>
      <w:r w:rsidR="00A7097E">
        <w:rPr>
          <w:rFonts w:cs="Arial"/>
        </w:rPr>
        <w:t xml:space="preserve">champion improvements </w:t>
      </w:r>
      <w:r w:rsidR="001175DA">
        <w:rPr>
          <w:rFonts w:cs="Arial"/>
        </w:rPr>
        <w:t>and best practices</w:t>
      </w:r>
      <w:r w:rsidR="00496D82">
        <w:rPr>
          <w:rFonts w:cs="Arial"/>
        </w:rPr>
        <w:t xml:space="preserve">, </w:t>
      </w:r>
      <w:r w:rsidR="00315856">
        <w:rPr>
          <w:rFonts w:cs="Arial"/>
        </w:rPr>
        <w:t xml:space="preserve">the Office will </w:t>
      </w:r>
      <w:r w:rsidR="003906CD">
        <w:rPr>
          <w:rFonts w:cs="Arial"/>
        </w:rPr>
        <w:t>continue</w:t>
      </w:r>
      <w:r w:rsidR="00315856">
        <w:rPr>
          <w:rFonts w:cs="Arial"/>
        </w:rPr>
        <w:t xml:space="preserve"> to play</w:t>
      </w:r>
      <w:r w:rsidR="00BF55FE">
        <w:rPr>
          <w:rFonts w:cs="Arial"/>
        </w:rPr>
        <w:t xml:space="preserve"> a</w:t>
      </w:r>
      <w:r w:rsidR="007153BF">
        <w:rPr>
          <w:rFonts w:cs="Arial"/>
        </w:rPr>
        <w:t>n essential</w:t>
      </w:r>
      <w:r w:rsidR="00BF55FE">
        <w:rPr>
          <w:rFonts w:cs="Arial"/>
        </w:rPr>
        <w:t xml:space="preserve"> role </w:t>
      </w:r>
      <w:r w:rsidR="003906CD">
        <w:rPr>
          <w:rFonts w:cs="Arial"/>
        </w:rPr>
        <w:t xml:space="preserve">by </w:t>
      </w:r>
      <w:r w:rsidR="004F418E">
        <w:rPr>
          <w:rFonts w:cs="Arial"/>
        </w:rPr>
        <w:t xml:space="preserve">continuing </w:t>
      </w:r>
      <w:r w:rsidR="003906CD">
        <w:rPr>
          <w:rFonts w:cs="Arial"/>
        </w:rPr>
        <w:t xml:space="preserve">to increase community acceptance of </w:t>
      </w:r>
      <w:r w:rsidR="00E242E7">
        <w:rPr>
          <w:rFonts w:cs="Arial"/>
        </w:rPr>
        <w:t>energy transition projects</w:t>
      </w:r>
      <w:r w:rsidR="0091539D">
        <w:rPr>
          <w:rFonts w:cs="Arial"/>
        </w:rPr>
        <w:t>, particularly thr</w:t>
      </w:r>
      <w:r w:rsidR="00524EC3">
        <w:rPr>
          <w:rFonts w:cs="Arial"/>
        </w:rPr>
        <w:t xml:space="preserve">ough </w:t>
      </w:r>
      <w:r w:rsidR="004F418E">
        <w:rPr>
          <w:rFonts w:cs="Arial"/>
        </w:rPr>
        <w:t xml:space="preserve">our </w:t>
      </w:r>
      <w:r w:rsidR="00911E38">
        <w:rPr>
          <w:rFonts w:cs="Arial"/>
        </w:rPr>
        <w:t xml:space="preserve">ongoing </w:t>
      </w:r>
      <w:r w:rsidR="00524EC3">
        <w:rPr>
          <w:rFonts w:cs="Arial"/>
        </w:rPr>
        <w:t xml:space="preserve">help </w:t>
      </w:r>
      <w:r w:rsidR="00911E38">
        <w:rPr>
          <w:rFonts w:cs="Arial"/>
        </w:rPr>
        <w:t xml:space="preserve">to </w:t>
      </w:r>
      <w:r w:rsidR="00524EC3">
        <w:rPr>
          <w:rFonts w:cs="Arial"/>
        </w:rPr>
        <w:t xml:space="preserve">industry and government </w:t>
      </w:r>
      <w:r w:rsidR="00143974">
        <w:rPr>
          <w:rFonts w:cs="Arial"/>
        </w:rPr>
        <w:t xml:space="preserve">with </w:t>
      </w:r>
      <w:r w:rsidR="009E37B2">
        <w:rPr>
          <w:rFonts w:cs="Arial"/>
        </w:rPr>
        <w:t>engagement s</w:t>
      </w:r>
      <w:r w:rsidR="00FE282C">
        <w:rPr>
          <w:rFonts w:cs="Arial"/>
        </w:rPr>
        <w:t>k</w:t>
      </w:r>
      <w:r w:rsidR="009E37B2">
        <w:rPr>
          <w:rFonts w:cs="Arial"/>
        </w:rPr>
        <w:t>ills and approach.</w:t>
      </w:r>
    </w:p>
    <w:p w14:paraId="591D8DF0" w14:textId="5A28BE80" w:rsidR="00F02FF0" w:rsidRDefault="009F4A68" w:rsidP="00BE37CD">
      <w:pPr>
        <w:spacing w:line="264" w:lineRule="auto"/>
        <w:rPr>
          <w:rFonts w:cs="Arial"/>
        </w:rPr>
      </w:pPr>
      <w:r>
        <w:rPr>
          <w:rFonts w:cs="Arial"/>
        </w:rPr>
        <w:t>T</w:t>
      </w:r>
      <w:r w:rsidR="0086637E" w:rsidRPr="00CB3347">
        <w:rPr>
          <w:rFonts w:cs="Arial"/>
        </w:rPr>
        <w:t>he Office</w:t>
      </w:r>
      <w:r w:rsidR="00511DAE" w:rsidRPr="00CB3347">
        <w:rPr>
          <w:rFonts w:cs="Arial"/>
        </w:rPr>
        <w:t xml:space="preserve"> </w:t>
      </w:r>
      <w:r w:rsidR="002C6FC8" w:rsidRPr="00CB3347">
        <w:rPr>
          <w:rFonts w:cs="Arial"/>
        </w:rPr>
        <w:t xml:space="preserve">also has a vital role </w:t>
      </w:r>
      <w:r w:rsidR="00A05B7C" w:rsidRPr="00CB3347">
        <w:rPr>
          <w:rFonts w:cs="Arial"/>
        </w:rPr>
        <w:t>in assisting all levels of government</w:t>
      </w:r>
      <w:r w:rsidR="00710D70" w:rsidRPr="00CB3347">
        <w:rPr>
          <w:rFonts w:cs="Arial"/>
        </w:rPr>
        <w:t>,</w:t>
      </w:r>
      <w:r w:rsidR="00A05B7C" w:rsidRPr="00CB3347">
        <w:rPr>
          <w:rFonts w:cs="Arial"/>
        </w:rPr>
        <w:t xml:space="preserve"> </w:t>
      </w:r>
      <w:r w:rsidR="0050582B" w:rsidRPr="00CB3347">
        <w:rPr>
          <w:rFonts w:cs="Arial"/>
        </w:rPr>
        <w:t>as well as industry</w:t>
      </w:r>
      <w:r>
        <w:rPr>
          <w:rFonts w:cs="Arial"/>
        </w:rPr>
        <w:t xml:space="preserve"> and other stakeholders</w:t>
      </w:r>
      <w:r w:rsidR="00710D70" w:rsidRPr="00CB3347">
        <w:rPr>
          <w:rFonts w:cs="Arial"/>
        </w:rPr>
        <w:t>,</w:t>
      </w:r>
      <w:r w:rsidR="0050582B" w:rsidRPr="00CB3347">
        <w:rPr>
          <w:rFonts w:cs="Arial"/>
        </w:rPr>
        <w:t xml:space="preserve"> to i</w:t>
      </w:r>
      <w:r w:rsidR="00D64840" w:rsidRPr="00CB3347">
        <w:rPr>
          <w:rFonts w:cs="Arial"/>
        </w:rPr>
        <w:t xml:space="preserve">mplement the Community Engagement </w:t>
      </w:r>
      <w:r w:rsidR="00016EB9" w:rsidRPr="00CB3347">
        <w:rPr>
          <w:rFonts w:cs="Arial"/>
        </w:rPr>
        <w:t xml:space="preserve">Review recommendations </w:t>
      </w:r>
      <w:r w:rsidR="00221D91" w:rsidRPr="00CB3347">
        <w:rPr>
          <w:rFonts w:cs="Arial"/>
        </w:rPr>
        <w:t xml:space="preserve">in a timely </w:t>
      </w:r>
      <w:r w:rsidR="0099690B" w:rsidRPr="00CB3347">
        <w:rPr>
          <w:rFonts w:cs="Arial"/>
        </w:rPr>
        <w:t>way</w:t>
      </w:r>
      <w:r w:rsidR="001E5477" w:rsidRPr="00CB3347">
        <w:rPr>
          <w:rFonts w:cs="Arial"/>
        </w:rPr>
        <w:t>.</w:t>
      </w:r>
    </w:p>
    <w:p w14:paraId="07CA975D" w14:textId="49589D48" w:rsidR="0072757B" w:rsidRDefault="001E5477" w:rsidP="00BE37CD">
      <w:pPr>
        <w:spacing w:line="264" w:lineRule="auto"/>
        <w:rPr>
          <w:rFonts w:cs="Arial"/>
        </w:rPr>
      </w:pPr>
      <w:r>
        <w:rPr>
          <w:rFonts w:cs="Arial"/>
        </w:rPr>
        <w:t>Once implemented, the recommendations will</w:t>
      </w:r>
      <w:r w:rsidR="00A64F8C">
        <w:rPr>
          <w:rFonts w:cs="Arial"/>
        </w:rPr>
        <w:t xml:space="preserve"> materially change how projects are </w:t>
      </w:r>
      <w:r w:rsidR="00CA20BC">
        <w:rPr>
          <w:rFonts w:cs="Arial"/>
        </w:rPr>
        <w:t xml:space="preserve">located, </w:t>
      </w:r>
      <w:r w:rsidR="0087590A">
        <w:rPr>
          <w:rFonts w:cs="Arial"/>
        </w:rPr>
        <w:t xml:space="preserve">designed, </w:t>
      </w:r>
      <w:r w:rsidR="00A64F8C">
        <w:rPr>
          <w:rFonts w:cs="Arial"/>
        </w:rPr>
        <w:t>developed and approved,</w:t>
      </w:r>
      <w:r w:rsidR="00C5709E">
        <w:rPr>
          <w:rFonts w:cs="Arial"/>
        </w:rPr>
        <w:t xml:space="preserve"> eliminating </w:t>
      </w:r>
      <w:r w:rsidR="00D85EB8">
        <w:rPr>
          <w:rFonts w:cs="Arial"/>
        </w:rPr>
        <w:t xml:space="preserve">unnecessary and redundant </w:t>
      </w:r>
      <w:r w:rsidR="00562860">
        <w:rPr>
          <w:rFonts w:cs="Arial"/>
        </w:rPr>
        <w:t xml:space="preserve">projects </w:t>
      </w:r>
      <w:r w:rsidR="00A02984">
        <w:rPr>
          <w:rFonts w:cs="Arial"/>
        </w:rPr>
        <w:t xml:space="preserve">and processes – and, therefore </w:t>
      </w:r>
      <w:r w:rsidR="00317DF8">
        <w:rPr>
          <w:rFonts w:cs="Arial"/>
        </w:rPr>
        <w:t xml:space="preserve">reducing and eliminating unnecessary and unproductive engagement. </w:t>
      </w:r>
    </w:p>
    <w:p w14:paraId="7336D904" w14:textId="01583D88" w:rsidR="00D361A3" w:rsidRDefault="00500176" w:rsidP="00D361A3">
      <w:r w:rsidRPr="00500176">
        <w:t xml:space="preserve">Most </w:t>
      </w:r>
      <w:r w:rsidR="00D361A3">
        <w:t xml:space="preserve">of the review </w:t>
      </w:r>
      <w:r w:rsidRPr="00500176">
        <w:t>recommendations will require a collaborative approach between the Commonwealth and states and territories to implement successfully</w:t>
      </w:r>
      <w:r w:rsidR="00342F08">
        <w:t>. I</w:t>
      </w:r>
      <w:r w:rsidR="00D361A3">
        <w:t>mportantly there are already a number of programs and initiatives underway in jurisdictions that are well aligned with one or more of the recommendations.</w:t>
      </w:r>
    </w:p>
    <w:p w14:paraId="3F5E439A" w14:textId="336D8CE2" w:rsidR="00000CB1" w:rsidRDefault="00342F08" w:rsidP="00342F08">
      <w:r>
        <w:t>Many of our remaining coal-fired thermal generation assets are approaching end of life and</w:t>
      </w:r>
      <w:r w:rsidR="00E327F2">
        <w:t xml:space="preserve"> still p</w:t>
      </w:r>
      <w:r w:rsidR="004A3984">
        <w:t>rovide the bulk of our generation capacity</w:t>
      </w:r>
      <w:r w:rsidR="003518AB">
        <w:t>.</w:t>
      </w:r>
      <w:r w:rsidR="00682419">
        <w:t xml:space="preserve"> </w:t>
      </w:r>
      <w:r w:rsidR="003518AB">
        <w:t>There is not a lot of time left to</w:t>
      </w:r>
      <w:r w:rsidR="00180370">
        <w:t xml:space="preserve"> build and deploy the generation</w:t>
      </w:r>
      <w:r w:rsidR="00CB5027">
        <w:t xml:space="preserve"> capacity that will fill this huge gap.</w:t>
      </w:r>
      <w:r w:rsidR="00682419">
        <w:t xml:space="preserve"> </w:t>
      </w:r>
      <w:r w:rsidR="009D61E6">
        <w:t>If there are two words that best describe wh</w:t>
      </w:r>
      <w:r w:rsidR="009D78F1">
        <w:t xml:space="preserve">y the energy </w:t>
      </w:r>
      <w:r w:rsidR="001F3AE0">
        <w:t xml:space="preserve">transition </w:t>
      </w:r>
      <w:r w:rsidR="009D78F1">
        <w:t xml:space="preserve">is </w:t>
      </w:r>
      <w:r w:rsidR="001F3AE0">
        <w:t>required</w:t>
      </w:r>
      <w:r w:rsidR="009D78F1">
        <w:t xml:space="preserve"> and why time is so precious</w:t>
      </w:r>
      <w:r w:rsidR="00E07821">
        <w:t xml:space="preserve">, </w:t>
      </w:r>
      <w:r w:rsidR="00000CB1">
        <w:t>they are “Replace Coal”</w:t>
      </w:r>
      <w:r w:rsidR="003A7276">
        <w:t>.</w:t>
      </w:r>
    </w:p>
    <w:p w14:paraId="39BF98DD" w14:textId="1E1731DC" w:rsidR="003A7276" w:rsidRDefault="003A7276" w:rsidP="00342F08">
      <w:r>
        <w:t xml:space="preserve">On 1 March </w:t>
      </w:r>
      <w:r w:rsidR="0030098F">
        <w:t xml:space="preserve">2024, I advised the Minister that, after nearly nine years in this role, </w:t>
      </w:r>
      <w:r w:rsidR="00AD5763">
        <w:t>I had decided to retire, effective 3</w:t>
      </w:r>
      <w:r w:rsidR="007A62B6">
        <w:t>1 March 2024.</w:t>
      </w:r>
      <w:r w:rsidR="00810F0D">
        <w:t xml:space="preserve"> The Minister’s subsequent media release of 9 March 2024 confirms that an acting Commissioner will be appointed as an interim arrangement, prior to a search process for the next Commissioner.</w:t>
      </w:r>
    </w:p>
    <w:bookmarkEnd w:id="13"/>
    <w:p w14:paraId="0C788318" w14:textId="7E30D237" w:rsidR="00EF2B0F" w:rsidRDefault="00D25102" w:rsidP="00304241">
      <w:pPr>
        <w:pStyle w:val="gmail-p1"/>
        <w:spacing w:before="0" w:beforeAutospacing="0" w:after="200" w:afterAutospacing="0" w:line="264" w:lineRule="auto"/>
        <w:rPr>
          <w:rStyle w:val="gmail-s1"/>
          <w:rFonts w:ascii="Arial" w:hAnsi="Arial" w:cs="Arial"/>
          <w:sz w:val="22"/>
        </w:rPr>
      </w:pPr>
      <w:r>
        <w:rPr>
          <w:rStyle w:val="gmail-s1"/>
          <w:rFonts w:ascii="Arial" w:hAnsi="Arial" w:cs="Arial"/>
          <w:sz w:val="22"/>
        </w:rPr>
        <w:t>My sincere thanks to the many stak</w:t>
      </w:r>
      <w:r w:rsidR="00960721">
        <w:rPr>
          <w:rStyle w:val="gmail-s1"/>
          <w:rFonts w:ascii="Arial" w:hAnsi="Arial" w:cs="Arial"/>
          <w:sz w:val="22"/>
        </w:rPr>
        <w:t xml:space="preserve">eholders </w:t>
      </w:r>
      <w:r w:rsidR="006630FA">
        <w:rPr>
          <w:rStyle w:val="gmail-s1"/>
          <w:rFonts w:ascii="Arial" w:hAnsi="Arial" w:cs="Arial"/>
          <w:sz w:val="22"/>
        </w:rPr>
        <w:t>that I have had the privilege to work with</w:t>
      </w:r>
      <w:r w:rsidR="00135892">
        <w:rPr>
          <w:rStyle w:val="gmail-s1"/>
          <w:rFonts w:ascii="Arial" w:hAnsi="Arial" w:cs="Arial"/>
          <w:sz w:val="22"/>
        </w:rPr>
        <w:t xml:space="preserve"> since commencing the role in 2015.</w:t>
      </w:r>
      <w:r w:rsidR="00682419">
        <w:rPr>
          <w:rStyle w:val="gmail-s1"/>
          <w:rFonts w:ascii="Arial" w:hAnsi="Arial" w:cs="Arial"/>
          <w:sz w:val="22"/>
        </w:rPr>
        <w:t xml:space="preserve"> </w:t>
      </w:r>
      <w:r w:rsidR="00AE0EDD">
        <w:rPr>
          <w:rStyle w:val="gmail-s1"/>
          <w:rFonts w:ascii="Arial" w:hAnsi="Arial" w:cs="Arial"/>
          <w:sz w:val="22"/>
        </w:rPr>
        <w:t>I am extremely fortunate to have had</w:t>
      </w:r>
      <w:r w:rsidR="00187F3E">
        <w:rPr>
          <w:rStyle w:val="gmail-s1"/>
          <w:rFonts w:ascii="Arial" w:hAnsi="Arial" w:cs="Arial"/>
          <w:sz w:val="22"/>
        </w:rPr>
        <w:t xml:space="preserve"> the opportunity to work with you and witness the changes that have occurred as a </w:t>
      </w:r>
      <w:r w:rsidR="00875E85">
        <w:rPr>
          <w:rStyle w:val="gmail-s1"/>
          <w:rFonts w:ascii="Arial" w:hAnsi="Arial" w:cs="Arial"/>
          <w:sz w:val="22"/>
        </w:rPr>
        <w:t>result.</w:t>
      </w:r>
      <w:r w:rsidR="00682419">
        <w:rPr>
          <w:rStyle w:val="gmail-s1"/>
          <w:rFonts w:ascii="Arial" w:hAnsi="Arial" w:cs="Arial"/>
          <w:sz w:val="22"/>
        </w:rPr>
        <w:t xml:space="preserve"> </w:t>
      </w:r>
    </w:p>
    <w:p w14:paraId="116FD6BA" w14:textId="4887DF4C" w:rsidR="0016443A" w:rsidRDefault="006D2CE6" w:rsidP="00304241">
      <w:pPr>
        <w:pStyle w:val="gmail-p1"/>
        <w:spacing w:before="0" w:beforeAutospacing="0" w:after="200" w:afterAutospacing="0" w:line="264" w:lineRule="auto"/>
        <w:rPr>
          <w:rStyle w:val="gmail-s1"/>
          <w:rFonts w:ascii="Arial" w:hAnsi="Arial" w:cs="Arial"/>
          <w:sz w:val="22"/>
        </w:rPr>
      </w:pPr>
      <w:r>
        <w:rPr>
          <w:rStyle w:val="gmail-s1"/>
          <w:rFonts w:ascii="Arial" w:hAnsi="Arial" w:cs="Arial"/>
          <w:sz w:val="22"/>
        </w:rPr>
        <w:t xml:space="preserve">I would also like to thank </w:t>
      </w:r>
      <w:r w:rsidR="00606F1A">
        <w:rPr>
          <w:rStyle w:val="gmail-s1"/>
          <w:rFonts w:ascii="Arial" w:hAnsi="Arial" w:cs="Arial"/>
          <w:sz w:val="22"/>
        </w:rPr>
        <w:t xml:space="preserve">all of </w:t>
      </w:r>
      <w:r w:rsidR="00260637">
        <w:rPr>
          <w:rStyle w:val="gmail-s1"/>
          <w:rFonts w:ascii="Arial" w:hAnsi="Arial" w:cs="Arial"/>
          <w:sz w:val="22"/>
        </w:rPr>
        <w:t>the communit</w:t>
      </w:r>
      <w:r w:rsidR="00472EC8">
        <w:rPr>
          <w:rStyle w:val="gmail-s1"/>
          <w:rFonts w:ascii="Arial" w:hAnsi="Arial" w:cs="Arial"/>
          <w:sz w:val="22"/>
        </w:rPr>
        <w:t xml:space="preserve">y members that </w:t>
      </w:r>
      <w:r w:rsidR="00606F1A">
        <w:rPr>
          <w:rStyle w:val="gmail-s1"/>
          <w:rFonts w:ascii="Arial" w:hAnsi="Arial" w:cs="Arial"/>
          <w:sz w:val="22"/>
        </w:rPr>
        <w:t xml:space="preserve">have </w:t>
      </w:r>
      <w:r w:rsidR="00472EC8">
        <w:rPr>
          <w:rStyle w:val="gmail-s1"/>
          <w:rFonts w:ascii="Arial" w:hAnsi="Arial" w:cs="Arial"/>
          <w:sz w:val="22"/>
        </w:rPr>
        <w:t>take</w:t>
      </w:r>
      <w:r w:rsidR="00606F1A">
        <w:rPr>
          <w:rStyle w:val="gmail-s1"/>
          <w:rFonts w:ascii="Arial" w:hAnsi="Arial" w:cs="Arial"/>
          <w:sz w:val="22"/>
        </w:rPr>
        <w:t>n</w:t>
      </w:r>
      <w:r w:rsidR="00472EC8">
        <w:rPr>
          <w:rStyle w:val="gmail-s1"/>
          <w:rFonts w:ascii="Arial" w:hAnsi="Arial" w:cs="Arial"/>
          <w:sz w:val="22"/>
        </w:rPr>
        <w:t xml:space="preserve"> the time to bring concerns to our attention</w:t>
      </w:r>
      <w:r w:rsidR="002C372F">
        <w:rPr>
          <w:rStyle w:val="gmail-s1"/>
          <w:rFonts w:ascii="Arial" w:hAnsi="Arial" w:cs="Arial"/>
          <w:sz w:val="22"/>
        </w:rPr>
        <w:t xml:space="preserve"> </w:t>
      </w:r>
      <w:r w:rsidR="00783B31">
        <w:rPr>
          <w:rStyle w:val="gmail-s1"/>
          <w:rFonts w:ascii="Arial" w:hAnsi="Arial" w:cs="Arial"/>
          <w:sz w:val="22"/>
        </w:rPr>
        <w:t>and</w:t>
      </w:r>
      <w:r w:rsidR="00D12D51">
        <w:rPr>
          <w:rStyle w:val="gmail-s1"/>
          <w:rFonts w:ascii="Arial" w:hAnsi="Arial" w:cs="Arial"/>
          <w:sz w:val="22"/>
        </w:rPr>
        <w:t>,</w:t>
      </w:r>
      <w:r w:rsidR="00783B31">
        <w:rPr>
          <w:rStyle w:val="gmail-s1"/>
          <w:rFonts w:ascii="Arial" w:hAnsi="Arial" w:cs="Arial"/>
          <w:sz w:val="22"/>
        </w:rPr>
        <w:t xml:space="preserve"> </w:t>
      </w:r>
      <w:r w:rsidR="002C372F">
        <w:rPr>
          <w:rStyle w:val="gmail-s1"/>
          <w:rFonts w:ascii="Arial" w:hAnsi="Arial" w:cs="Arial"/>
          <w:sz w:val="22"/>
        </w:rPr>
        <w:t xml:space="preserve">without </w:t>
      </w:r>
      <w:r w:rsidR="00783B31">
        <w:rPr>
          <w:rStyle w:val="gmail-s1"/>
          <w:rFonts w:ascii="Arial" w:hAnsi="Arial" w:cs="Arial"/>
          <w:sz w:val="22"/>
        </w:rPr>
        <w:t>whom</w:t>
      </w:r>
      <w:r w:rsidR="002C372F">
        <w:rPr>
          <w:rStyle w:val="gmail-s1"/>
          <w:rFonts w:ascii="Arial" w:hAnsi="Arial" w:cs="Arial"/>
          <w:sz w:val="22"/>
        </w:rPr>
        <w:t>, we would have no</w:t>
      </w:r>
      <w:r w:rsidR="00135DA3">
        <w:rPr>
          <w:rStyle w:val="gmail-s1"/>
          <w:rFonts w:ascii="Arial" w:hAnsi="Arial" w:cs="Arial"/>
          <w:sz w:val="22"/>
        </w:rPr>
        <w:t xml:space="preserve"> line of sight of the real </w:t>
      </w:r>
      <w:r w:rsidR="00760B3D">
        <w:rPr>
          <w:rStyle w:val="gmail-s1"/>
          <w:rFonts w:ascii="Arial" w:hAnsi="Arial" w:cs="Arial"/>
          <w:sz w:val="22"/>
        </w:rPr>
        <w:t>concerns</w:t>
      </w:r>
      <w:r w:rsidR="00135DA3">
        <w:rPr>
          <w:rStyle w:val="gmail-s1"/>
          <w:rFonts w:ascii="Arial" w:hAnsi="Arial" w:cs="Arial"/>
          <w:sz w:val="22"/>
        </w:rPr>
        <w:t xml:space="preserve"> </w:t>
      </w:r>
      <w:r w:rsidR="004B0A01">
        <w:rPr>
          <w:rStyle w:val="gmail-s1"/>
          <w:rFonts w:ascii="Arial" w:hAnsi="Arial" w:cs="Arial"/>
          <w:sz w:val="22"/>
        </w:rPr>
        <w:t xml:space="preserve">and systemic </w:t>
      </w:r>
      <w:r w:rsidR="00760B3D">
        <w:rPr>
          <w:rStyle w:val="gmail-s1"/>
          <w:rFonts w:ascii="Arial" w:hAnsi="Arial" w:cs="Arial"/>
          <w:sz w:val="22"/>
        </w:rPr>
        <w:t xml:space="preserve">issues </w:t>
      </w:r>
      <w:r w:rsidR="00135DA3">
        <w:rPr>
          <w:rStyle w:val="gmail-s1"/>
          <w:rFonts w:ascii="Arial" w:hAnsi="Arial" w:cs="Arial"/>
          <w:sz w:val="22"/>
        </w:rPr>
        <w:t>to address.</w:t>
      </w:r>
    </w:p>
    <w:p w14:paraId="719E7FBA" w14:textId="1BFE66B4" w:rsidR="00D66FC9" w:rsidRDefault="00A763A0" w:rsidP="00304241">
      <w:pPr>
        <w:pStyle w:val="gmail-p1"/>
        <w:spacing w:before="0" w:beforeAutospacing="0" w:after="200" w:afterAutospacing="0" w:line="264" w:lineRule="auto"/>
        <w:rPr>
          <w:rStyle w:val="gmail-s1"/>
          <w:rFonts w:ascii="Arial" w:hAnsi="Arial" w:cs="Arial"/>
          <w:sz w:val="22"/>
        </w:rPr>
      </w:pPr>
      <w:r>
        <w:rPr>
          <w:rStyle w:val="gmail-s1"/>
          <w:rFonts w:ascii="Arial" w:hAnsi="Arial" w:cs="Arial"/>
          <w:sz w:val="22"/>
        </w:rPr>
        <w:t xml:space="preserve">Finally, </w:t>
      </w:r>
      <w:r w:rsidR="00574948">
        <w:rPr>
          <w:rStyle w:val="gmail-s1"/>
          <w:rFonts w:ascii="Arial" w:hAnsi="Arial" w:cs="Arial"/>
          <w:sz w:val="22"/>
        </w:rPr>
        <w:t xml:space="preserve">I would like to express </w:t>
      </w:r>
      <w:r>
        <w:rPr>
          <w:rStyle w:val="gmail-s1"/>
          <w:rFonts w:ascii="Arial" w:hAnsi="Arial" w:cs="Arial"/>
          <w:sz w:val="22"/>
        </w:rPr>
        <w:t xml:space="preserve">my </w:t>
      </w:r>
      <w:r w:rsidR="002840A9">
        <w:rPr>
          <w:rStyle w:val="gmail-s1"/>
          <w:rFonts w:ascii="Arial" w:hAnsi="Arial" w:cs="Arial"/>
          <w:sz w:val="22"/>
        </w:rPr>
        <w:t xml:space="preserve">appreciation </w:t>
      </w:r>
      <w:r w:rsidR="00574948">
        <w:rPr>
          <w:rStyle w:val="gmail-s1"/>
          <w:rFonts w:ascii="Arial" w:hAnsi="Arial" w:cs="Arial"/>
          <w:sz w:val="22"/>
        </w:rPr>
        <w:t xml:space="preserve">to </w:t>
      </w:r>
      <w:r w:rsidR="00A22B77">
        <w:rPr>
          <w:rStyle w:val="gmail-s1"/>
          <w:rFonts w:ascii="Arial" w:hAnsi="Arial" w:cs="Arial"/>
          <w:sz w:val="22"/>
        </w:rPr>
        <w:t xml:space="preserve">our Office </w:t>
      </w:r>
      <w:r w:rsidR="00567E80">
        <w:rPr>
          <w:rStyle w:val="gmail-s1"/>
          <w:rFonts w:ascii="Arial" w:hAnsi="Arial" w:cs="Arial"/>
          <w:sz w:val="22"/>
        </w:rPr>
        <w:t>staff and the ongoing</w:t>
      </w:r>
      <w:r w:rsidR="00AB348A">
        <w:rPr>
          <w:rStyle w:val="gmail-s1"/>
          <w:rFonts w:ascii="Arial" w:hAnsi="Arial" w:cs="Arial"/>
          <w:sz w:val="22"/>
        </w:rPr>
        <w:t xml:space="preserve"> support we </w:t>
      </w:r>
      <w:r w:rsidR="00D13FA4">
        <w:rPr>
          <w:rStyle w:val="gmail-s1"/>
          <w:rFonts w:ascii="Arial" w:hAnsi="Arial" w:cs="Arial"/>
          <w:sz w:val="22"/>
        </w:rPr>
        <w:t xml:space="preserve">have </w:t>
      </w:r>
      <w:r w:rsidR="00AB348A">
        <w:rPr>
          <w:rStyle w:val="gmail-s1"/>
          <w:rFonts w:ascii="Arial" w:hAnsi="Arial" w:cs="Arial"/>
          <w:sz w:val="22"/>
        </w:rPr>
        <w:t>receive</w:t>
      </w:r>
      <w:r w:rsidR="00D13FA4">
        <w:rPr>
          <w:rStyle w:val="gmail-s1"/>
          <w:rFonts w:ascii="Arial" w:hAnsi="Arial" w:cs="Arial"/>
          <w:sz w:val="22"/>
        </w:rPr>
        <w:t>d</w:t>
      </w:r>
      <w:r w:rsidR="00AB348A">
        <w:rPr>
          <w:rStyle w:val="gmail-s1"/>
          <w:rFonts w:ascii="Arial" w:hAnsi="Arial" w:cs="Arial"/>
          <w:sz w:val="22"/>
        </w:rPr>
        <w:t xml:space="preserve"> from the Department</w:t>
      </w:r>
      <w:r w:rsidR="00437017">
        <w:rPr>
          <w:rStyle w:val="gmail-s1"/>
          <w:rFonts w:ascii="Arial" w:hAnsi="Arial" w:cs="Arial"/>
          <w:sz w:val="22"/>
        </w:rPr>
        <w:t xml:space="preserve"> over the many years of my engagement</w:t>
      </w:r>
      <w:r w:rsidR="000F4F4A">
        <w:rPr>
          <w:rStyle w:val="gmail-s1"/>
          <w:rFonts w:ascii="Arial" w:hAnsi="Arial" w:cs="Arial"/>
          <w:sz w:val="22"/>
        </w:rPr>
        <w:t xml:space="preserve"> in this role</w:t>
      </w:r>
      <w:r w:rsidR="00783B31">
        <w:rPr>
          <w:rStyle w:val="gmail-s1"/>
          <w:rFonts w:ascii="Arial" w:hAnsi="Arial" w:cs="Arial"/>
          <w:sz w:val="22"/>
        </w:rPr>
        <w:t xml:space="preserve">. </w:t>
      </w:r>
    </w:p>
    <w:p w14:paraId="631DA96B" w14:textId="77777777" w:rsidR="00304241" w:rsidRDefault="00304241" w:rsidP="00304241">
      <w:pPr>
        <w:spacing w:after="0" w:line="264" w:lineRule="auto"/>
        <w:rPr>
          <w:rFonts w:cs="Arial"/>
          <w:b/>
        </w:rPr>
      </w:pPr>
      <w:r>
        <w:rPr>
          <w:rFonts w:cs="Arial"/>
          <w:noProof/>
          <w:lang w:eastAsia="en-AU"/>
        </w:rPr>
        <w:drawing>
          <wp:inline distT="0" distB="0" distL="0" distR="0" wp14:anchorId="1540AF5D" wp14:editId="7583073E">
            <wp:extent cx="821125" cy="56197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8644" cy="573965"/>
                    </a:xfrm>
                    <a:prstGeom prst="rect">
                      <a:avLst/>
                    </a:prstGeom>
                    <a:noFill/>
                    <a:ln>
                      <a:noFill/>
                    </a:ln>
                  </pic:spPr>
                </pic:pic>
              </a:graphicData>
            </a:graphic>
          </wp:inline>
        </w:drawing>
      </w:r>
    </w:p>
    <w:p w14:paraId="03F967B5" w14:textId="77777777" w:rsidR="00304241" w:rsidRPr="00F47E6D" w:rsidRDefault="00304241" w:rsidP="00304241">
      <w:pPr>
        <w:spacing w:after="0" w:line="264" w:lineRule="auto"/>
        <w:rPr>
          <w:rFonts w:cs="Arial"/>
          <w:b/>
        </w:rPr>
      </w:pPr>
      <w:r w:rsidRPr="00F47E6D">
        <w:rPr>
          <w:rFonts w:cs="Arial"/>
          <w:b/>
        </w:rPr>
        <w:t>Andrew Dyer</w:t>
      </w:r>
    </w:p>
    <w:p w14:paraId="120C4B92" w14:textId="77777777" w:rsidR="00304241" w:rsidRPr="007A0EF2" w:rsidRDefault="00304241" w:rsidP="00304241">
      <w:pPr>
        <w:spacing w:after="0" w:line="264" w:lineRule="auto"/>
        <w:rPr>
          <w:rFonts w:cs="Arial"/>
          <w:b/>
        </w:rPr>
      </w:pPr>
      <w:r>
        <w:rPr>
          <w:rFonts w:ascii="Calibri Light" w:hAnsi="Calibri Light"/>
          <w:b/>
          <w:noProof/>
          <w:lang w:eastAsia="en-AU"/>
        </w:rPr>
        <w:drawing>
          <wp:anchor distT="0" distB="0" distL="114300" distR="114300" simplePos="0" relativeHeight="251658240" behindDoc="1" locked="0" layoutInCell="1" allowOverlap="1" wp14:anchorId="691AE3B5" wp14:editId="535EC39C">
            <wp:simplePos x="0" y="0"/>
            <wp:positionH relativeFrom="margin">
              <wp:align>right</wp:align>
            </wp:positionH>
            <wp:positionV relativeFrom="margin">
              <wp:posOffset>7453766</wp:posOffset>
            </wp:positionV>
            <wp:extent cx="2914650" cy="21336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rPr>
        <w:t xml:space="preserve">Australian Energy Infrastructure </w:t>
      </w:r>
      <w:r w:rsidRPr="00F47E6D">
        <w:rPr>
          <w:rFonts w:cs="Arial"/>
          <w:b/>
        </w:rPr>
        <w:t>Commissioner</w:t>
      </w:r>
    </w:p>
    <w:p w14:paraId="7CBBD815" w14:textId="77777777" w:rsidR="00304241" w:rsidRDefault="00304241" w:rsidP="00304241">
      <w:pPr>
        <w:spacing w:after="0" w:line="240" w:lineRule="auto"/>
        <w:jc w:val="center"/>
        <w:rPr>
          <w:rFonts w:ascii="Calibri Light" w:hAnsi="Calibri Light"/>
          <w:b/>
        </w:rPr>
        <w:sectPr w:rsidR="00304241" w:rsidSect="00D801AB">
          <w:headerReference w:type="even" r:id="rId34"/>
          <w:headerReference w:type="default" r:id="rId35"/>
          <w:footerReference w:type="even" r:id="rId36"/>
          <w:footerReference w:type="default" r:id="rId37"/>
          <w:headerReference w:type="first" r:id="rId38"/>
          <w:pgSz w:w="11906" w:h="16838"/>
          <w:pgMar w:top="720" w:right="720" w:bottom="720" w:left="720" w:header="425" w:footer="425" w:gutter="0"/>
          <w:pgNumType w:start="3"/>
          <w:cols w:space="708"/>
          <w:docGrid w:linePitch="360"/>
        </w:sectPr>
      </w:pPr>
    </w:p>
    <w:p w14:paraId="4D5D98BC" w14:textId="31BEBC21" w:rsidR="00304241" w:rsidRPr="002D7001" w:rsidRDefault="008861BE" w:rsidP="002D7001">
      <w:pPr>
        <w:pStyle w:val="Heading1"/>
      </w:pPr>
      <w:bookmarkStart w:id="16" w:name="_Toc161672783"/>
      <w:bookmarkStart w:id="17" w:name="_Toc473795853"/>
      <w:r>
        <w:lastRenderedPageBreak/>
        <w:t xml:space="preserve">OFFICE </w:t>
      </w:r>
      <w:r w:rsidR="00304241" w:rsidRPr="002D7001">
        <w:t>Overview</w:t>
      </w:r>
      <w:bookmarkEnd w:id="16"/>
    </w:p>
    <w:p w14:paraId="1AB94EEC" w14:textId="77777777" w:rsidR="00304241" w:rsidRPr="002D7001" w:rsidRDefault="00304241" w:rsidP="002D7001">
      <w:pPr>
        <w:pStyle w:val="Heading2"/>
      </w:pPr>
      <w:bookmarkStart w:id="18" w:name="_Toc161672784"/>
      <w:bookmarkEnd w:id="17"/>
      <w:r w:rsidRPr="002D7001">
        <w:t>Background</w:t>
      </w:r>
      <w:bookmarkEnd w:id="18"/>
    </w:p>
    <w:p w14:paraId="08D45D43" w14:textId="50F6E2CD" w:rsidR="00C2302D" w:rsidRPr="00DA6087" w:rsidRDefault="00304241" w:rsidP="00C2302D">
      <w:pPr>
        <w:spacing w:line="264" w:lineRule="auto"/>
        <w:rPr>
          <w:rFonts w:cs="Arial"/>
          <w:i/>
          <w:iCs/>
        </w:rPr>
      </w:pPr>
      <w:r>
        <w:rPr>
          <w:rFonts w:cs="Arial"/>
        </w:rPr>
        <w:t>T</w:t>
      </w:r>
      <w:r w:rsidRPr="00F47E6D">
        <w:rPr>
          <w:rFonts w:cs="Arial"/>
        </w:rPr>
        <w:t xml:space="preserve">he </w:t>
      </w:r>
      <w:r w:rsidRPr="00827685">
        <w:rPr>
          <w:rFonts w:cs="Arial"/>
          <w:i/>
          <w:iCs/>
        </w:rPr>
        <w:t>Australian Energy Infrastructure Commissioner</w:t>
      </w:r>
      <w:r>
        <w:rPr>
          <w:rFonts w:cs="Arial"/>
        </w:rPr>
        <w:t xml:space="preserve"> is an independent role </w:t>
      </w:r>
      <w:r w:rsidR="00DA3F80">
        <w:rPr>
          <w:rFonts w:cs="Arial"/>
        </w:rPr>
        <w:t xml:space="preserve">originally </w:t>
      </w:r>
      <w:r w:rsidR="00C2302D">
        <w:rPr>
          <w:rFonts w:cs="Arial"/>
        </w:rPr>
        <w:t xml:space="preserve">established in October 2015 </w:t>
      </w:r>
      <w:r w:rsidR="00C2302D" w:rsidRPr="004767EA">
        <w:rPr>
          <w:rFonts w:cs="Arial"/>
        </w:rPr>
        <w:t>by the</w:t>
      </w:r>
      <w:r w:rsidR="0047239C">
        <w:rPr>
          <w:rFonts w:cs="Arial"/>
        </w:rPr>
        <w:t xml:space="preserve"> Australian Government</w:t>
      </w:r>
      <w:r w:rsidR="00B9320A">
        <w:rPr>
          <w:rFonts w:cs="Arial"/>
        </w:rPr>
        <w:t xml:space="preserve">. The role </w:t>
      </w:r>
      <w:r w:rsidR="00BD6850">
        <w:rPr>
          <w:rFonts w:cs="Arial"/>
        </w:rPr>
        <w:t xml:space="preserve">at that time was known as the </w:t>
      </w:r>
      <w:r w:rsidR="00B9320A" w:rsidRPr="00827685">
        <w:rPr>
          <w:rFonts w:cs="Arial"/>
          <w:i/>
          <w:iCs/>
        </w:rPr>
        <w:t>National Wind Farm Commissioner</w:t>
      </w:r>
      <w:r w:rsidR="00B9320A">
        <w:rPr>
          <w:rFonts w:cs="Arial"/>
        </w:rPr>
        <w:t xml:space="preserve"> and was </w:t>
      </w:r>
      <w:r w:rsidR="00B9320A" w:rsidRPr="00730D68">
        <w:rPr>
          <w:rFonts w:cs="Arial"/>
        </w:rPr>
        <w:t>initiated by</w:t>
      </w:r>
      <w:r w:rsidR="00B9320A">
        <w:rPr>
          <w:rFonts w:cs="Arial"/>
        </w:rPr>
        <w:t xml:space="preserve"> Recommendation </w:t>
      </w:r>
      <w:r w:rsidR="00B9320A" w:rsidRPr="00730D68">
        <w:rPr>
          <w:rFonts w:cs="Arial"/>
        </w:rPr>
        <w:t xml:space="preserve">5 of the </w:t>
      </w:r>
      <w:r w:rsidR="00B9320A" w:rsidRPr="00DA6087">
        <w:rPr>
          <w:rFonts w:cs="Arial"/>
          <w:i/>
          <w:iCs/>
        </w:rPr>
        <w:t>2015 Senate Committee on Wind Turbines Interim Report.</w:t>
      </w:r>
    </w:p>
    <w:p w14:paraId="0F2533C6" w14:textId="18E34FB3" w:rsidR="00C2302D" w:rsidRDefault="00B9320A" w:rsidP="00304241">
      <w:pPr>
        <w:spacing w:line="264" w:lineRule="auto"/>
        <w:rPr>
          <w:rFonts w:cs="Arial"/>
        </w:rPr>
      </w:pPr>
      <w:r>
        <w:rPr>
          <w:rFonts w:cs="Arial"/>
        </w:rPr>
        <w:t xml:space="preserve">In November 2015, Andrew Dyer </w:t>
      </w:r>
      <w:r w:rsidR="00BF3B3D">
        <w:rPr>
          <w:rFonts w:cs="Arial"/>
        </w:rPr>
        <w:t xml:space="preserve">commenced his </w:t>
      </w:r>
      <w:r w:rsidR="00491A6E">
        <w:rPr>
          <w:rFonts w:cs="Arial"/>
        </w:rPr>
        <w:t>appoint</w:t>
      </w:r>
      <w:r w:rsidR="00BF3B3D">
        <w:rPr>
          <w:rFonts w:cs="Arial"/>
        </w:rPr>
        <w:t>ment</w:t>
      </w:r>
      <w:r w:rsidR="00491A6E">
        <w:rPr>
          <w:rFonts w:cs="Arial"/>
        </w:rPr>
        <w:t xml:space="preserve"> to the </w:t>
      </w:r>
      <w:r w:rsidR="00E42CCD">
        <w:rPr>
          <w:rFonts w:cs="Arial"/>
        </w:rPr>
        <w:t>role</w:t>
      </w:r>
      <w:r w:rsidR="000F1242">
        <w:rPr>
          <w:rFonts w:cs="Arial"/>
        </w:rPr>
        <w:t xml:space="preserve"> for an initial </w:t>
      </w:r>
      <w:r w:rsidR="006E499A">
        <w:rPr>
          <w:rFonts w:cs="Arial"/>
        </w:rPr>
        <w:t>three-year</w:t>
      </w:r>
      <w:r w:rsidR="000F1242">
        <w:rPr>
          <w:rFonts w:cs="Arial"/>
        </w:rPr>
        <w:t xml:space="preserve"> term.</w:t>
      </w:r>
    </w:p>
    <w:p w14:paraId="25BD4D42" w14:textId="1A4052B8" w:rsidR="00B9320A" w:rsidRDefault="00B9320A" w:rsidP="00304241">
      <w:pPr>
        <w:spacing w:line="264" w:lineRule="auto"/>
        <w:rPr>
          <w:rFonts w:cs="Arial"/>
        </w:rPr>
      </w:pPr>
      <w:r>
        <w:rPr>
          <w:rFonts w:cs="Arial"/>
        </w:rPr>
        <w:t>In</w:t>
      </w:r>
      <w:r w:rsidRPr="00F47E6D">
        <w:rPr>
          <w:rFonts w:cs="Arial"/>
        </w:rPr>
        <w:t xml:space="preserve"> October 201</w:t>
      </w:r>
      <w:r>
        <w:rPr>
          <w:rFonts w:cs="Arial"/>
        </w:rPr>
        <w:t xml:space="preserve">8, following an independent review </w:t>
      </w:r>
      <w:r w:rsidR="00E42CCD">
        <w:rPr>
          <w:rFonts w:cs="Arial"/>
        </w:rPr>
        <w:t xml:space="preserve">of the role </w:t>
      </w:r>
      <w:r>
        <w:rPr>
          <w:rFonts w:cs="Arial"/>
        </w:rPr>
        <w:t xml:space="preserve">by the Climate Change Authority, </w:t>
      </w:r>
      <w:r>
        <w:rPr>
          <w:rStyle w:val="gmail-s1"/>
          <w:rFonts w:cs="Arial"/>
        </w:rPr>
        <w:t xml:space="preserve">the role was renewed </w:t>
      </w:r>
      <w:r>
        <w:rPr>
          <w:rFonts w:cs="Arial"/>
        </w:rPr>
        <w:t>for a further three years</w:t>
      </w:r>
      <w:r w:rsidR="00FB23DD">
        <w:rPr>
          <w:rFonts w:cs="Arial"/>
        </w:rPr>
        <w:t xml:space="preserve"> and</w:t>
      </w:r>
      <w:r w:rsidR="00FD74D9">
        <w:rPr>
          <w:rFonts w:cs="Arial"/>
        </w:rPr>
        <w:t xml:space="preserve"> </w:t>
      </w:r>
      <w:r>
        <w:rPr>
          <w:rFonts w:cs="Arial"/>
        </w:rPr>
        <w:t xml:space="preserve">expanded </w:t>
      </w:r>
      <w:r w:rsidRPr="0050245A">
        <w:rPr>
          <w:rStyle w:val="gmail-s1"/>
          <w:rFonts w:cs="Arial"/>
        </w:rPr>
        <w:t>to include large</w:t>
      </w:r>
      <w:r>
        <w:rPr>
          <w:rStyle w:val="gmail-s1"/>
          <w:rFonts w:cs="Arial"/>
        </w:rPr>
        <w:t>-</w:t>
      </w:r>
      <w:r w:rsidRPr="0050245A">
        <w:rPr>
          <w:rStyle w:val="gmail-s1"/>
          <w:rFonts w:cs="Arial"/>
        </w:rPr>
        <w:t xml:space="preserve">scale solar farms and </w:t>
      </w:r>
      <w:r w:rsidRPr="008530B9">
        <w:rPr>
          <w:rStyle w:val="gmail-s1"/>
          <w:rFonts w:cs="Arial"/>
        </w:rPr>
        <w:t>energy storage</w:t>
      </w:r>
      <w:r>
        <w:rPr>
          <w:rStyle w:val="gmail-s1"/>
          <w:rFonts w:cs="Arial"/>
        </w:rPr>
        <w:t xml:space="preserve"> facilities</w:t>
      </w:r>
      <w:r>
        <w:rPr>
          <w:rFonts w:cs="Arial"/>
        </w:rPr>
        <w:t>.</w:t>
      </w:r>
    </w:p>
    <w:p w14:paraId="51F5F7B4" w14:textId="2CFEFE2B" w:rsidR="00304241" w:rsidRDefault="00B9320A" w:rsidP="00304241">
      <w:pPr>
        <w:spacing w:line="264" w:lineRule="auto"/>
        <w:rPr>
          <w:rFonts w:cs="Arial"/>
        </w:rPr>
      </w:pPr>
      <w:r>
        <w:rPr>
          <w:rFonts w:cs="Arial"/>
        </w:rPr>
        <w:t xml:space="preserve">In </w:t>
      </w:r>
      <w:r w:rsidR="00304241">
        <w:rPr>
          <w:rFonts w:cs="Arial"/>
        </w:rPr>
        <w:t xml:space="preserve">March 2021, the </w:t>
      </w:r>
      <w:r w:rsidR="0029285C">
        <w:rPr>
          <w:rFonts w:cs="Arial"/>
        </w:rPr>
        <w:t xml:space="preserve">Australian Government </w:t>
      </w:r>
      <w:r w:rsidR="00304241">
        <w:rPr>
          <w:rFonts w:cs="Arial"/>
        </w:rPr>
        <w:t xml:space="preserve">announced a further expansion to the role, </w:t>
      </w:r>
      <w:r w:rsidR="00D35EEE">
        <w:rPr>
          <w:rFonts w:cs="Arial"/>
        </w:rPr>
        <w:t>to include</w:t>
      </w:r>
      <w:r w:rsidR="00304241">
        <w:rPr>
          <w:rFonts w:cs="Arial"/>
        </w:rPr>
        <w:t xml:space="preserve"> new large-scale transmission projects</w:t>
      </w:r>
      <w:r w:rsidR="00224634">
        <w:rPr>
          <w:rFonts w:cs="Arial"/>
        </w:rPr>
        <w:t xml:space="preserve"> and a change of title</w:t>
      </w:r>
      <w:r w:rsidR="00304241">
        <w:rPr>
          <w:rFonts w:cs="Arial"/>
        </w:rPr>
        <w:t xml:space="preserve"> to the </w:t>
      </w:r>
      <w:r w:rsidR="00304241" w:rsidRPr="00F27895">
        <w:rPr>
          <w:rFonts w:cs="Arial"/>
          <w:i/>
          <w:iCs/>
        </w:rPr>
        <w:t>Australian Energy Infrastructure Commissioner</w:t>
      </w:r>
      <w:r w:rsidR="00304241">
        <w:rPr>
          <w:rFonts w:cs="Arial"/>
        </w:rPr>
        <w:t>.</w:t>
      </w:r>
    </w:p>
    <w:p w14:paraId="1CC0BA74" w14:textId="485F5901" w:rsidR="00304241" w:rsidRDefault="00304241" w:rsidP="00304241">
      <w:pPr>
        <w:rPr>
          <w:rFonts w:cs="Arial"/>
        </w:rPr>
      </w:pPr>
      <w:r>
        <w:rPr>
          <w:rFonts w:cs="Arial"/>
        </w:rPr>
        <w:t>T</w:t>
      </w:r>
      <w:r w:rsidRPr="00F47E6D">
        <w:rPr>
          <w:rFonts w:cs="Arial"/>
        </w:rPr>
        <w:t>he Commissioner</w:t>
      </w:r>
      <w:r>
        <w:rPr>
          <w:rFonts w:cs="Arial"/>
        </w:rPr>
        <w:t>’s</w:t>
      </w:r>
      <w:r w:rsidRPr="00F47E6D">
        <w:rPr>
          <w:rFonts w:cs="Arial"/>
        </w:rPr>
        <w:t xml:space="preserve"> Terms of Reference</w:t>
      </w:r>
      <w:r>
        <w:rPr>
          <w:rFonts w:cs="Arial"/>
        </w:rPr>
        <w:t xml:space="preserve"> are available at </w:t>
      </w:r>
      <w:r w:rsidRPr="00B910AA">
        <w:rPr>
          <w:rFonts w:cs="Arial"/>
          <w:u w:val="single"/>
        </w:rPr>
        <w:t>A</w:t>
      </w:r>
      <w:r w:rsidR="004D710E">
        <w:rPr>
          <w:rFonts w:cs="Arial"/>
          <w:u w:val="single"/>
        </w:rPr>
        <w:t>ppendix</w:t>
      </w:r>
      <w:r w:rsidRPr="00B910AA">
        <w:rPr>
          <w:rFonts w:cs="Arial"/>
          <w:u w:val="single"/>
        </w:rPr>
        <w:t xml:space="preserve"> </w:t>
      </w:r>
      <w:r w:rsidR="00D13FA4">
        <w:rPr>
          <w:rFonts w:cs="Arial"/>
          <w:u w:val="single"/>
        </w:rPr>
        <w:t>A</w:t>
      </w:r>
      <w:r>
        <w:rPr>
          <w:rFonts w:cs="Arial"/>
        </w:rPr>
        <w:t xml:space="preserve"> and on the Commissioner’s website at:</w:t>
      </w:r>
      <w:r w:rsidR="008861BE">
        <w:rPr>
          <w:rFonts w:cs="Arial"/>
        </w:rPr>
        <w:t xml:space="preserve"> </w:t>
      </w:r>
      <w:hyperlink r:id="rId39" w:history="1">
        <w:r w:rsidRPr="008035C6">
          <w:rPr>
            <w:rStyle w:val="Hyperlink"/>
            <w:rFonts w:cs="Arial"/>
          </w:rPr>
          <w:t>www.aeic.gov.au/about</w:t>
        </w:r>
      </w:hyperlink>
      <w:r>
        <w:rPr>
          <w:rFonts w:cs="Arial"/>
        </w:rPr>
        <w:t xml:space="preserve"> </w:t>
      </w:r>
    </w:p>
    <w:p w14:paraId="0F86620E" w14:textId="616C7995" w:rsidR="00304241" w:rsidRPr="002D7001" w:rsidRDefault="00304241" w:rsidP="002D7001">
      <w:pPr>
        <w:pStyle w:val="Heading2"/>
      </w:pPr>
      <w:bookmarkStart w:id="19" w:name="_Toc161672785"/>
      <w:r w:rsidRPr="002D7001">
        <w:t xml:space="preserve">Who </w:t>
      </w:r>
      <w:r w:rsidR="00264A69" w:rsidRPr="002D7001">
        <w:t>W</w:t>
      </w:r>
      <w:r w:rsidRPr="002D7001">
        <w:t xml:space="preserve">e </w:t>
      </w:r>
      <w:r w:rsidR="00264A69" w:rsidRPr="002D7001">
        <w:t>A</w:t>
      </w:r>
      <w:r w:rsidRPr="002D7001">
        <w:t>re</w:t>
      </w:r>
      <w:bookmarkEnd w:id="19"/>
    </w:p>
    <w:p w14:paraId="7BA3DB49" w14:textId="75594538" w:rsidR="007A6693" w:rsidRDefault="007A6693" w:rsidP="007A6693">
      <w:pPr>
        <w:rPr>
          <w:rFonts w:cs="Arial"/>
        </w:rPr>
      </w:pPr>
      <w:r>
        <w:rPr>
          <w:rFonts w:cs="Arial"/>
        </w:rPr>
        <w:t xml:space="preserve">The Commissioner is supported by a small team located in Melbourne. The </w:t>
      </w:r>
      <w:r w:rsidR="006205D9">
        <w:rPr>
          <w:rFonts w:cs="Arial"/>
        </w:rPr>
        <w:t xml:space="preserve">staffing, operational resources and other </w:t>
      </w:r>
      <w:r>
        <w:rPr>
          <w:rFonts w:cs="Arial"/>
        </w:rPr>
        <w:t xml:space="preserve">finances for the </w:t>
      </w:r>
      <w:r w:rsidRPr="005A0D06">
        <w:rPr>
          <w:rFonts w:cs="Arial"/>
        </w:rPr>
        <w:t xml:space="preserve">Commissioner’s </w:t>
      </w:r>
      <w:r>
        <w:rPr>
          <w:rFonts w:cs="Arial"/>
        </w:rPr>
        <w:t>O</w:t>
      </w:r>
      <w:r w:rsidRPr="005A0D06">
        <w:rPr>
          <w:rFonts w:cs="Arial"/>
        </w:rPr>
        <w:t>ffice are managed through the Department of Climate Change, Energy, the Environment and Water</w:t>
      </w:r>
      <w:r w:rsidR="00A2504C">
        <w:rPr>
          <w:rFonts w:cs="Arial"/>
        </w:rPr>
        <w:t xml:space="preserve"> (DCCEEW)</w:t>
      </w:r>
      <w:r w:rsidRPr="005A0D06">
        <w:rPr>
          <w:rFonts w:cs="Arial"/>
        </w:rPr>
        <w:t>.</w:t>
      </w:r>
    </w:p>
    <w:p w14:paraId="2C3D20EA" w14:textId="10538E25" w:rsidR="006205D9" w:rsidRPr="004E0118" w:rsidRDefault="00811886" w:rsidP="00304241">
      <w:r w:rsidRPr="004E0118">
        <w:t>In 202</w:t>
      </w:r>
      <w:r w:rsidR="007A6693" w:rsidRPr="004E0118">
        <w:t>3</w:t>
      </w:r>
      <w:r w:rsidRPr="004E0118">
        <w:t xml:space="preserve">, </w:t>
      </w:r>
      <w:r w:rsidR="00511DAE">
        <w:t xml:space="preserve">the underlying </w:t>
      </w:r>
      <w:r w:rsidR="006205D9" w:rsidRPr="004E0118">
        <w:t xml:space="preserve">staffing </w:t>
      </w:r>
      <w:r w:rsidR="00511DAE">
        <w:t xml:space="preserve">for </w:t>
      </w:r>
      <w:r w:rsidRPr="004E0118">
        <w:t xml:space="preserve">the </w:t>
      </w:r>
      <w:r w:rsidR="006205D9" w:rsidRPr="004E0118">
        <w:t xml:space="preserve">Office </w:t>
      </w:r>
      <w:r w:rsidR="00304241" w:rsidRPr="004E0118">
        <w:t>comprise</w:t>
      </w:r>
      <w:r w:rsidR="005A0D06" w:rsidRPr="004E0118">
        <w:t>d</w:t>
      </w:r>
      <w:r w:rsidR="00304241" w:rsidRPr="004E0118">
        <w:t xml:space="preserve"> </w:t>
      </w:r>
      <w:r w:rsidR="006205D9" w:rsidRPr="004E0118">
        <w:t xml:space="preserve">of </w:t>
      </w:r>
      <w:r w:rsidR="00304241" w:rsidRPr="004E0118">
        <w:t xml:space="preserve">an Executive Officer, </w:t>
      </w:r>
      <w:r w:rsidR="00F378A6" w:rsidRPr="004E0118">
        <w:t xml:space="preserve">a </w:t>
      </w:r>
      <w:r w:rsidR="00304241" w:rsidRPr="004E0118">
        <w:t>Complaints Officer</w:t>
      </w:r>
      <w:r w:rsidR="006205D9" w:rsidRPr="004E0118">
        <w:t xml:space="preserve">, two Policy and Research Officers, </w:t>
      </w:r>
      <w:r w:rsidRPr="004E0118">
        <w:t>and</w:t>
      </w:r>
      <w:r w:rsidR="00304241" w:rsidRPr="004E0118">
        <w:t xml:space="preserve"> </w:t>
      </w:r>
      <w:r w:rsidR="00F378A6" w:rsidRPr="004E0118">
        <w:t xml:space="preserve">an </w:t>
      </w:r>
      <w:r w:rsidR="00E13C18">
        <w:t>Executive</w:t>
      </w:r>
      <w:r w:rsidR="002816CC">
        <w:t xml:space="preserve"> </w:t>
      </w:r>
      <w:r w:rsidR="00304241" w:rsidRPr="004E0118">
        <w:t>Assistant</w:t>
      </w:r>
      <w:r w:rsidRPr="004E0118">
        <w:t>.</w:t>
      </w:r>
      <w:r w:rsidR="006205D9" w:rsidRPr="004E0118">
        <w:t xml:space="preserve"> </w:t>
      </w:r>
    </w:p>
    <w:p w14:paraId="316C7327" w14:textId="70ADE746" w:rsidR="00304241" w:rsidRDefault="006205D9" w:rsidP="00304241">
      <w:r w:rsidRPr="004E0118">
        <w:t xml:space="preserve">During the period that the Commissioner led the </w:t>
      </w:r>
      <w:r w:rsidRPr="004E0118">
        <w:rPr>
          <w:i/>
          <w:iCs/>
        </w:rPr>
        <w:t>Community Engagement</w:t>
      </w:r>
      <w:r w:rsidR="005B2749">
        <w:rPr>
          <w:i/>
          <w:iCs/>
        </w:rPr>
        <w:t xml:space="preserve"> Review</w:t>
      </w:r>
      <w:r w:rsidR="00B65C85">
        <w:t xml:space="preserve">, </w:t>
      </w:r>
      <w:r w:rsidRPr="004E0118">
        <w:t xml:space="preserve">temporary arrangements were </w:t>
      </w:r>
      <w:r w:rsidR="00D13FA4">
        <w:t xml:space="preserve">also </w:t>
      </w:r>
      <w:r w:rsidRPr="004E0118">
        <w:t>made to appoint an acting Assistant Commissioner.</w:t>
      </w:r>
    </w:p>
    <w:p w14:paraId="288A5E42" w14:textId="69D7C531" w:rsidR="00304241" w:rsidRPr="002D7001" w:rsidRDefault="00264A69" w:rsidP="002D7001">
      <w:pPr>
        <w:pStyle w:val="Heading2"/>
      </w:pPr>
      <w:bookmarkStart w:id="20" w:name="_Toc161672786"/>
      <w:r w:rsidRPr="002D7001">
        <w:t>C</w:t>
      </w:r>
      <w:r w:rsidR="00304241" w:rsidRPr="002D7001">
        <w:t xml:space="preserve">ontact </w:t>
      </w:r>
      <w:r w:rsidRPr="002D7001">
        <w:t>D</w:t>
      </w:r>
      <w:r w:rsidR="00304241" w:rsidRPr="002D7001">
        <w:t>etails</w:t>
      </w:r>
      <w:bookmarkEnd w:id="20"/>
    </w:p>
    <w:p w14:paraId="5F4EE191" w14:textId="1D4B3909" w:rsidR="00304241" w:rsidRDefault="00304241" w:rsidP="00304241">
      <w:pPr>
        <w:rPr>
          <w:rFonts w:cs="Arial"/>
        </w:rPr>
      </w:pPr>
      <w:r w:rsidRPr="00F47E6D">
        <w:rPr>
          <w:rFonts w:cs="Arial"/>
        </w:rPr>
        <w:t xml:space="preserve">The Office of </w:t>
      </w:r>
      <w:r>
        <w:rPr>
          <w:rFonts w:cs="Arial"/>
        </w:rPr>
        <w:t>the Australian Energy Infrastructure Commissioner can be contacted via:</w:t>
      </w:r>
    </w:p>
    <w:p w14:paraId="70305E7A" w14:textId="644FEE06" w:rsidR="00304241" w:rsidRDefault="00C8286E" w:rsidP="00304241">
      <w:pPr>
        <w:spacing w:after="120"/>
        <w:ind w:firstLine="720"/>
        <w:rPr>
          <w:rFonts w:cs="Arial"/>
        </w:rPr>
      </w:pPr>
      <w:r>
        <w:rPr>
          <w:rFonts w:cs="Arial"/>
        </w:rPr>
        <w:t>T</w:t>
      </w:r>
      <w:r w:rsidR="00304241">
        <w:rPr>
          <w:rFonts w:cs="Arial"/>
        </w:rPr>
        <w:t>elephone</w:t>
      </w:r>
      <w:r>
        <w:rPr>
          <w:rFonts w:cs="Arial"/>
        </w:rPr>
        <w:t xml:space="preserve"> (toll-free)</w:t>
      </w:r>
      <w:r w:rsidR="00304241">
        <w:rPr>
          <w:rFonts w:cs="Arial"/>
        </w:rPr>
        <w:t>:</w:t>
      </w:r>
      <w:r w:rsidR="00304241">
        <w:rPr>
          <w:rFonts w:cs="Arial"/>
        </w:rPr>
        <w:tab/>
        <w:t>1800 656 395</w:t>
      </w:r>
    </w:p>
    <w:p w14:paraId="0AA55041" w14:textId="77777777" w:rsidR="00304241" w:rsidRDefault="00304241" w:rsidP="00304241">
      <w:pPr>
        <w:spacing w:after="120"/>
        <w:ind w:firstLine="720"/>
        <w:rPr>
          <w:rFonts w:cs="Arial"/>
        </w:rPr>
      </w:pPr>
      <w:r>
        <w:rPr>
          <w:rFonts w:cs="Arial"/>
        </w:rPr>
        <w:t>Email:</w:t>
      </w:r>
      <w:r>
        <w:rPr>
          <w:rFonts w:cs="Arial"/>
        </w:rPr>
        <w:tab/>
      </w:r>
      <w:r>
        <w:rPr>
          <w:rFonts w:cs="Arial"/>
        </w:rPr>
        <w:tab/>
      </w:r>
      <w:r>
        <w:rPr>
          <w:rFonts w:cs="Arial"/>
        </w:rPr>
        <w:tab/>
      </w:r>
      <w:hyperlink r:id="rId40" w:history="1">
        <w:r w:rsidRPr="008035C6">
          <w:rPr>
            <w:rStyle w:val="Hyperlink"/>
            <w:rFonts w:cs="Arial"/>
          </w:rPr>
          <w:t>aeic@aeic.gov.au</w:t>
        </w:r>
      </w:hyperlink>
      <w:r>
        <w:rPr>
          <w:rFonts w:cs="Arial"/>
        </w:rPr>
        <w:t xml:space="preserve"> </w:t>
      </w:r>
    </w:p>
    <w:p w14:paraId="030490AE" w14:textId="77777777" w:rsidR="00304241" w:rsidRDefault="00304241" w:rsidP="00304241">
      <w:pPr>
        <w:spacing w:after="0"/>
        <w:ind w:firstLine="720"/>
        <w:rPr>
          <w:rFonts w:cs="Arial"/>
        </w:rPr>
      </w:pPr>
      <w:r>
        <w:rPr>
          <w:rFonts w:cs="Arial"/>
        </w:rPr>
        <w:t xml:space="preserve">Post: </w:t>
      </w:r>
      <w:r>
        <w:rPr>
          <w:rFonts w:cs="Arial"/>
        </w:rPr>
        <w:tab/>
      </w:r>
      <w:r>
        <w:rPr>
          <w:rFonts w:cs="Arial"/>
        </w:rPr>
        <w:tab/>
      </w:r>
      <w:r>
        <w:rPr>
          <w:rFonts w:cs="Arial"/>
        </w:rPr>
        <w:tab/>
        <w:t>Australian Energy Infrastructure Commissioner</w:t>
      </w:r>
    </w:p>
    <w:p w14:paraId="612F0620" w14:textId="17441EA1" w:rsidR="00304241" w:rsidRDefault="00304241" w:rsidP="00304241">
      <w:pPr>
        <w:spacing w:after="0"/>
        <w:ind w:left="2160" w:firstLine="720"/>
        <w:rPr>
          <w:rFonts w:cs="Arial"/>
        </w:rPr>
      </w:pPr>
      <w:r>
        <w:rPr>
          <w:rFonts w:cs="Arial"/>
        </w:rPr>
        <w:t>PO</w:t>
      </w:r>
      <w:r w:rsidR="00BE19C1">
        <w:rPr>
          <w:rFonts w:cs="Arial"/>
        </w:rPr>
        <w:t xml:space="preserve"> </w:t>
      </w:r>
      <w:r>
        <w:rPr>
          <w:rFonts w:cs="Arial"/>
        </w:rPr>
        <w:t>Box 24434</w:t>
      </w:r>
    </w:p>
    <w:p w14:paraId="515CFCCF" w14:textId="02EFCE98" w:rsidR="007A6693" w:rsidRDefault="006E499A" w:rsidP="007A6693">
      <w:pPr>
        <w:ind w:left="2160" w:firstLine="720"/>
        <w:rPr>
          <w:rFonts w:cs="Arial"/>
        </w:rPr>
      </w:pPr>
      <w:r>
        <w:rPr>
          <w:rFonts w:cs="Arial"/>
        </w:rPr>
        <w:t xml:space="preserve">MELBOURNE </w:t>
      </w:r>
      <w:r w:rsidR="006F2640">
        <w:rPr>
          <w:rFonts w:cs="Arial"/>
        </w:rPr>
        <w:t xml:space="preserve"> </w:t>
      </w:r>
      <w:r>
        <w:rPr>
          <w:rFonts w:cs="Arial"/>
        </w:rPr>
        <w:t>VIC</w:t>
      </w:r>
      <w:r w:rsidR="00304241">
        <w:rPr>
          <w:rFonts w:cs="Arial"/>
        </w:rPr>
        <w:t xml:space="preserve">  300</w:t>
      </w:r>
      <w:r w:rsidR="00D13FA4">
        <w:rPr>
          <w:rFonts w:cs="Arial"/>
        </w:rPr>
        <w:t>1</w:t>
      </w:r>
    </w:p>
    <w:p w14:paraId="77380C0F" w14:textId="77777777" w:rsidR="003D1861" w:rsidRDefault="003D1861" w:rsidP="00304241">
      <w:pPr>
        <w:tabs>
          <w:tab w:val="left" w:pos="9220"/>
        </w:tabs>
      </w:pPr>
    </w:p>
    <w:p w14:paraId="556ECD62" w14:textId="77777777" w:rsidR="006205D9" w:rsidRDefault="006205D9" w:rsidP="00304241">
      <w:pPr>
        <w:tabs>
          <w:tab w:val="left" w:pos="9220"/>
        </w:tabs>
        <w:sectPr w:rsidR="006205D9" w:rsidSect="00D801AB">
          <w:headerReference w:type="even" r:id="rId41"/>
          <w:headerReference w:type="default" r:id="rId42"/>
          <w:footerReference w:type="even" r:id="rId43"/>
          <w:footerReference w:type="default" r:id="rId44"/>
          <w:headerReference w:type="first" r:id="rId45"/>
          <w:pgSz w:w="11906" w:h="16838" w:code="9"/>
          <w:pgMar w:top="720" w:right="720" w:bottom="720" w:left="720" w:header="425" w:footer="425" w:gutter="0"/>
          <w:cols w:space="708"/>
          <w:docGrid w:linePitch="360"/>
        </w:sectPr>
      </w:pPr>
    </w:p>
    <w:p w14:paraId="41FE1D89" w14:textId="48E8B20F" w:rsidR="00A2504C" w:rsidRPr="002D7001" w:rsidRDefault="00E61EE7" w:rsidP="00A2504C">
      <w:pPr>
        <w:pStyle w:val="Heading1"/>
      </w:pPr>
      <w:bookmarkStart w:id="21" w:name="_Toc161672787"/>
      <w:r>
        <w:lastRenderedPageBreak/>
        <w:t>case</w:t>
      </w:r>
      <w:r w:rsidR="00A2504C" w:rsidRPr="002D7001">
        <w:t xml:space="preserve"> DATA</w:t>
      </w:r>
      <w:bookmarkEnd w:id="21"/>
    </w:p>
    <w:p w14:paraId="4CBFE2D1" w14:textId="77777777" w:rsidR="00A2504C" w:rsidRPr="002D7001" w:rsidRDefault="00A2504C" w:rsidP="00A2504C">
      <w:pPr>
        <w:pStyle w:val="Heading2"/>
      </w:pPr>
      <w:bookmarkStart w:id="22" w:name="_Toc161672788"/>
      <w:r w:rsidRPr="002D7001">
        <w:t>Complaint Management Process</w:t>
      </w:r>
      <w:bookmarkEnd w:id="22"/>
    </w:p>
    <w:p w14:paraId="786D41CA" w14:textId="77777777" w:rsidR="00A2504C" w:rsidRDefault="00A2504C" w:rsidP="00A2504C">
      <w:pPr>
        <w:rPr>
          <w:rFonts w:cs="Arial"/>
        </w:rPr>
      </w:pPr>
      <w:r w:rsidRPr="00F66059">
        <w:rPr>
          <w:rFonts w:cs="Arial"/>
        </w:rPr>
        <w:t xml:space="preserve">A </w:t>
      </w:r>
      <w:r>
        <w:rPr>
          <w:rFonts w:cs="Arial"/>
        </w:rPr>
        <w:t>core</w:t>
      </w:r>
      <w:r w:rsidRPr="00F66059">
        <w:rPr>
          <w:rFonts w:cs="Arial"/>
        </w:rPr>
        <w:t xml:space="preserve"> function of the Commissioner’s Office is to receive and refer </w:t>
      </w:r>
      <w:r w:rsidRPr="001C681A">
        <w:rPr>
          <w:rFonts w:cs="Arial"/>
        </w:rPr>
        <w:t xml:space="preserve">complaints </w:t>
      </w:r>
      <w:r w:rsidRPr="00F66059">
        <w:rPr>
          <w:rFonts w:cs="Arial"/>
        </w:rPr>
        <w:t xml:space="preserve">from concerned community members about operating and proposed projects and, via a voluntary process, help facilitate resolutions </w:t>
      </w:r>
      <w:r>
        <w:rPr>
          <w:rFonts w:cs="Arial"/>
        </w:rPr>
        <w:t xml:space="preserve">between the parties to the complaint </w:t>
      </w:r>
      <w:r w:rsidRPr="00F66059">
        <w:rPr>
          <w:rFonts w:cs="Arial"/>
        </w:rPr>
        <w:t>where practical</w:t>
      </w:r>
      <w:r>
        <w:rPr>
          <w:rFonts w:cs="Arial"/>
        </w:rPr>
        <w:t xml:space="preserve"> and required</w:t>
      </w:r>
      <w:r w:rsidRPr="00F66059">
        <w:rPr>
          <w:rFonts w:cs="Arial"/>
        </w:rPr>
        <w:t>.</w:t>
      </w:r>
      <w:r>
        <w:rPr>
          <w:rFonts w:cs="Arial"/>
        </w:rPr>
        <w:t xml:space="preserve"> </w:t>
      </w:r>
      <w:r w:rsidRPr="00F66059">
        <w:rPr>
          <w:rFonts w:cs="Arial"/>
        </w:rPr>
        <w:t xml:space="preserve">Information relating to </w:t>
      </w:r>
      <w:r>
        <w:rPr>
          <w:rFonts w:cs="Arial"/>
        </w:rPr>
        <w:t>the Office’s</w:t>
      </w:r>
      <w:r w:rsidRPr="00F66059">
        <w:rPr>
          <w:rFonts w:cs="Arial"/>
        </w:rPr>
        <w:t xml:space="preserve"> complaint handling activities are detailed in this </w:t>
      </w:r>
      <w:r>
        <w:rPr>
          <w:rFonts w:cs="Arial"/>
        </w:rPr>
        <w:t xml:space="preserve">section of the </w:t>
      </w:r>
      <w:r w:rsidRPr="00F66059">
        <w:rPr>
          <w:rFonts w:cs="Arial"/>
        </w:rPr>
        <w:t>report.</w:t>
      </w:r>
    </w:p>
    <w:p w14:paraId="1281E8BB" w14:textId="28AE189B" w:rsidR="00A2504C" w:rsidRDefault="00A2504C" w:rsidP="00A2504C">
      <w:pPr>
        <w:rPr>
          <w:rFonts w:cs="Arial"/>
        </w:rPr>
      </w:pPr>
      <w:r>
        <w:rPr>
          <w:rFonts w:cs="Arial"/>
        </w:rPr>
        <w:t>M</w:t>
      </w:r>
      <w:r w:rsidRPr="00B84E66">
        <w:rPr>
          <w:rFonts w:cs="Arial"/>
        </w:rPr>
        <w:t xml:space="preserve">any </w:t>
      </w:r>
      <w:r>
        <w:rPr>
          <w:rFonts w:cs="Arial"/>
        </w:rPr>
        <w:t xml:space="preserve">complaints </w:t>
      </w:r>
      <w:r w:rsidR="00107897">
        <w:rPr>
          <w:rFonts w:cs="Arial"/>
        </w:rPr>
        <w:t>(</w:t>
      </w:r>
      <w:r w:rsidR="00462C45">
        <w:rPr>
          <w:rFonts w:cs="Arial"/>
        </w:rPr>
        <w:t xml:space="preserve">or “cases”) </w:t>
      </w:r>
      <w:r>
        <w:rPr>
          <w:rFonts w:cs="Arial"/>
        </w:rPr>
        <w:t xml:space="preserve">can be resolved by the provision of factual information to the complainant or connecting the complainant to the appropriate organisation and/or contact that can address and resolve the issue. However, some cases can be quite </w:t>
      </w:r>
      <w:r w:rsidRPr="00B84E66">
        <w:rPr>
          <w:rFonts w:cs="Arial"/>
        </w:rPr>
        <w:t>complex</w:t>
      </w:r>
      <w:r>
        <w:rPr>
          <w:rFonts w:cs="Arial"/>
        </w:rPr>
        <w:t>, taking time for our Office to research and identify an effective path to resolution. The Office’s complaint management process has been designed to</w:t>
      </w:r>
      <w:r w:rsidRPr="00F47E6D">
        <w:rPr>
          <w:rFonts w:cs="Arial"/>
        </w:rPr>
        <w:t xml:space="preserve"> </w:t>
      </w:r>
      <w:r>
        <w:rPr>
          <w:rFonts w:cs="Arial"/>
        </w:rPr>
        <w:t xml:space="preserve">help </w:t>
      </w:r>
      <w:r w:rsidRPr="00F47E6D">
        <w:rPr>
          <w:rFonts w:cs="Arial"/>
        </w:rPr>
        <w:t xml:space="preserve">ensure that </w:t>
      </w:r>
      <w:r w:rsidRPr="0044051C">
        <w:rPr>
          <w:rFonts w:cs="Arial"/>
        </w:rPr>
        <w:t>the Office function</w:t>
      </w:r>
      <w:r>
        <w:rPr>
          <w:rFonts w:cs="Arial"/>
        </w:rPr>
        <w:t>s</w:t>
      </w:r>
      <w:r w:rsidRPr="0044051C">
        <w:rPr>
          <w:rFonts w:cs="Arial"/>
        </w:rPr>
        <w:t xml:space="preserve"> effectively</w:t>
      </w:r>
      <w:r>
        <w:rPr>
          <w:rFonts w:cs="Arial"/>
        </w:rPr>
        <w:t xml:space="preserve">, managing each </w:t>
      </w:r>
      <w:r w:rsidRPr="00F47E6D">
        <w:rPr>
          <w:rFonts w:cs="Arial"/>
        </w:rPr>
        <w:t>com</w:t>
      </w:r>
      <w:r>
        <w:rPr>
          <w:rFonts w:cs="Arial"/>
        </w:rPr>
        <w:t>plaint received appropriately.</w:t>
      </w:r>
    </w:p>
    <w:p w14:paraId="1CCA1BA3" w14:textId="77777777" w:rsidR="00A2504C" w:rsidRDefault="00A2504C" w:rsidP="00A2504C">
      <w:pPr>
        <w:rPr>
          <w:rFonts w:cs="Arial"/>
        </w:rPr>
      </w:pPr>
      <w:r>
        <w:rPr>
          <w:rFonts w:cs="Arial"/>
        </w:rPr>
        <w:t>The Office usually treats a complaint from a resident as one</w:t>
      </w:r>
      <w:r w:rsidRPr="00B85A19">
        <w:rPr>
          <w:rFonts w:cs="Arial"/>
          <w:b/>
          <w:i/>
        </w:rPr>
        <w:t xml:space="preserve"> </w:t>
      </w:r>
      <w:r>
        <w:rPr>
          <w:rFonts w:cs="Arial"/>
        </w:rPr>
        <w:t xml:space="preserve">case. The case may contain several complaint issues and may involve a large volume of correspondence with the Office over a long period of time. The Office records ongoing correspondence in the case file as further information about the complaint. </w:t>
      </w:r>
      <w:r w:rsidRPr="00B84E66">
        <w:rPr>
          <w:rFonts w:cs="Arial"/>
        </w:rPr>
        <w:t xml:space="preserve">If the complainant </w:t>
      </w:r>
      <w:r>
        <w:rPr>
          <w:rFonts w:cs="Arial"/>
        </w:rPr>
        <w:t xml:space="preserve">subsequently </w:t>
      </w:r>
      <w:r w:rsidRPr="00B84E66">
        <w:rPr>
          <w:rFonts w:cs="Arial"/>
        </w:rPr>
        <w:t>lodges a complaint about a substantive new issue</w:t>
      </w:r>
      <w:r>
        <w:rPr>
          <w:rFonts w:cs="Arial"/>
        </w:rPr>
        <w:t xml:space="preserve">, </w:t>
      </w:r>
      <w:r w:rsidRPr="00B84E66">
        <w:rPr>
          <w:rFonts w:cs="Arial"/>
        </w:rPr>
        <w:t xml:space="preserve">a different </w:t>
      </w:r>
      <w:r>
        <w:rPr>
          <w:rFonts w:cs="Arial"/>
        </w:rPr>
        <w:t>aspect of the project, or a different project altogether</w:t>
      </w:r>
      <w:r w:rsidRPr="00B84E66">
        <w:rPr>
          <w:rFonts w:cs="Arial"/>
        </w:rPr>
        <w:t>, a new c</w:t>
      </w:r>
      <w:r>
        <w:rPr>
          <w:rFonts w:cs="Arial"/>
        </w:rPr>
        <w:t>ase</w:t>
      </w:r>
      <w:r w:rsidRPr="00B84E66">
        <w:rPr>
          <w:rFonts w:cs="Arial"/>
        </w:rPr>
        <w:t xml:space="preserve"> may be established and recorded by </w:t>
      </w:r>
      <w:r>
        <w:rPr>
          <w:rFonts w:cs="Arial"/>
        </w:rPr>
        <w:t>the</w:t>
      </w:r>
      <w:r w:rsidRPr="00B84E66">
        <w:rPr>
          <w:rFonts w:cs="Arial"/>
        </w:rPr>
        <w:t xml:space="preserve"> Office</w:t>
      </w:r>
      <w:r>
        <w:rPr>
          <w:rFonts w:cs="Arial"/>
        </w:rPr>
        <w:t>.</w:t>
      </w:r>
    </w:p>
    <w:p w14:paraId="1092FD8E" w14:textId="77777777" w:rsidR="00A2504C" w:rsidRPr="002D7001" w:rsidRDefault="00A2504C" w:rsidP="00A2504C">
      <w:pPr>
        <w:pStyle w:val="Heading2"/>
      </w:pPr>
      <w:bookmarkStart w:id="23" w:name="_Toc161672789"/>
      <w:r w:rsidRPr="002D7001">
        <w:t>Complaint Handling Policy</w:t>
      </w:r>
      <w:bookmarkEnd w:id="23"/>
    </w:p>
    <w:p w14:paraId="7215F30B" w14:textId="5047C553" w:rsidR="00A2504C" w:rsidRDefault="00A2504C" w:rsidP="00A2504C">
      <w:pPr>
        <w:rPr>
          <w:rFonts w:cs="Arial"/>
        </w:rPr>
      </w:pPr>
      <w:r>
        <w:rPr>
          <w:rFonts w:cs="Arial"/>
        </w:rPr>
        <w:t>The Office’s Complaint Handling Policy outlines the procedure for receiving and handling cases. Cases</w:t>
      </w:r>
      <w:r w:rsidRPr="00F47E6D">
        <w:rPr>
          <w:rFonts w:cs="Arial"/>
        </w:rPr>
        <w:t xml:space="preserve"> </w:t>
      </w:r>
      <w:r>
        <w:rPr>
          <w:rFonts w:cs="Arial"/>
        </w:rPr>
        <w:t xml:space="preserve">initially </w:t>
      </w:r>
      <w:r w:rsidRPr="00F47E6D">
        <w:rPr>
          <w:rFonts w:cs="Arial"/>
        </w:rPr>
        <w:t xml:space="preserve">received by the Office are classified as an </w:t>
      </w:r>
      <w:r w:rsidR="00B95035">
        <w:rPr>
          <w:rFonts w:cs="Arial"/>
        </w:rPr>
        <w:t>“</w:t>
      </w:r>
      <w:r w:rsidRPr="00F47E6D">
        <w:rPr>
          <w:rFonts w:cs="Arial"/>
        </w:rPr>
        <w:t>enquiry</w:t>
      </w:r>
      <w:r w:rsidR="00B95035">
        <w:rPr>
          <w:rFonts w:cs="Arial"/>
        </w:rPr>
        <w:t>”</w:t>
      </w:r>
      <w:r>
        <w:rPr>
          <w:rFonts w:cs="Arial"/>
        </w:rPr>
        <w:t xml:space="preserve"> and may be</w:t>
      </w:r>
      <w:r w:rsidRPr="00F47E6D">
        <w:rPr>
          <w:rFonts w:cs="Arial"/>
        </w:rPr>
        <w:t xml:space="preserve"> accepted </w:t>
      </w:r>
      <w:r>
        <w:rPr>
          <w:rFonts w:cs="Arial"/>
        </w:rPr>
        <w:t xml:space="preserve">and progressed as a formal complaint </w:t>
      </w:r>
      <w:r w:rsidRPr="00F47E6D">
        <w:rPr>
          <w:rFonts w:cs="Arial"/>
        </w:rPr>
        <w:t>by the Office once sufficient information</w:t>
      </w:r>
      <w:r>
        <w:rPr>
          <w:rFonts w:cs="Arial"/>
        </w:rPr>
        <w:t>,</w:t>
      </w:r>
      <w:r w:rsidRPr="00F47E6D">
        <w:rPr>
          <w:rFonts w:cs="Arial"/>
        </w:rPr>
        <w:t xml:space="preserve"> </w:t>
      </w:r>
      <w:r>
        <w:rPr>
          <w:rFonts w:cs="Arial"/>
        </w:rPr>
        <w:t xml:space="preserve">including written consent </w:t>
      </w:r>
      <w:r w:rsidRPr="00F47E6D">
        <w:rPr>
          <w:rFonts w:cs="Arial"/>
        </w:rPr>
        <w:t>to share information</w:t>
      </w:r>
      <w:r>
        <w:rPr>
          <w:rFonts w:cs="Arial"/>
        </w:rPr>
        <w:t>,</w:t>
      </w:r>
      <w:r w:rsidRPr="00F47E6D">
        <w:rPr>
          <w:rFonts w:cs="Arial"/>
        </w:rPr>
        <w:t xml:space="preserve"> has been provided by the complainant.</w:t>
      </w:r>
    </w:p>
    <w:p w14:paraId="4F19F19E" w14:textId="77777777" w:rsidR="00A2504C" w:rsidRDefault="00A2504C" w:rsidP="00A2504C">
      <w:pPr>
        <w:rPr>
          <w:rFonts w:cs="Arial"/>
        </w:rPr>
      </w:pPr>
      <w:r w:rsidRPr="003929F8">
        <w:rPr>
          <w:rFonts w:cs="Arial"/>
        </w:rPr>
        <w:t xml:space="preserve">The </w:t>
      </w:r>
      <w:r>
        <w:rPr>
          <w:rFonts w:cs="Arial"/>
        </w:rPr>
        <w:t>Office is also guided by its Information Handling Policy, which outlines what information the Office collects and how this information may be disclosed as well as guidance about confidentiality and privacy.</w:t>
      </w:r>
    </w:p>
    <w:p w14:paraId="779B9834" w14:textId="303C2426" w:rsidR="00A2504C" w:rsidRDefault="00A2504C" w:rsidP="00A2504C">
      <w:pPr>
        <w:rPr>
          <w:rFonts w:cs="Arial"/>
        </w:rPr>
      </w:pPr>
      <w:r>
        <w:rPr>
          <w:rFonts w:cs="Arial"/>
        </w:rPr>
        <w:t>The Complaints Handling Policy and the Information Handling Policy were both reviewed and updated in 2023.</w:t>
      </w:r>
      <w:r w:rsidR="00812E58">
        <w:rPr>
          <w:rFonts w:cs="Arial"/>
        </w:rPr>
        <w:t xml:space="preserve"> </w:t>
      </w:r>
      <w:r>
        <w:rPr>
          <w:rFonts w:cs="Arial"/>
        </w:rPr>
        <w:t xml:space="preserve">These policies are available on the Commissioner’s website at </w:t>
      </w:r>
      <w:hyperlink r:id="rId46" w:history="1">
        <w:r w:rsidRPr="008035C6">
          <w:rPr>
            <w:rStyle w:val="Hyperlink"/>
            <w:rFonts w:cs="Arial"/>
          </w:rPr>
          <w:t>www.aeic.gov.au/about</w:t>
        </w:r>
      </w:hyperlink>
      <w:r>
        <w:rPr>
          <w:rFonts w:cs="Arial"/>
        </w:rPr>
        <w:t>.</w:t>
      </w:r>
    </w:p>
    <w:p w14:paraId="272B0558" w14:textId="77777777" w:rsidR="00A2504C" w:rsidRPr="002D7001" w:rsidRDefault="00A2504C" w:rsidP="00A2504C">
      <w:pPr>
        <w:pStyle w:val="Heading2"/>
      </w:pPr>
      <w:bookmarkStart w:id="24" w:name="_Toc161672790"/>
      <w:r w:rsidRPr="002D7001">
        <w:t>Case Activity in 202</w:t>
      </w:r>
      <w:r>
        <w:t>3</w:t>
      </w:r>
      <w:bookmarkEnd w:id="24"/>
    </w:p>
    <w:p w14:paraId="3878BD96" w14:textId="47DB3BC1" w:rsidR="00A2504C" w:rsidRDefault="00A2504C" w:rsidP="00A2504C">
      <w:pPr>
        <w:spacing w:line="264" w:lineRule="auto"/>
        <w:rPr>
          <w:rFonts w:cs="Arial"/>
        </w:rPr>
      </w:pPr>
      <w:r>
        <w:rPr>
          <w:rFonts w:cs="Arial"/>
        </w:rPr>
        <w:t>Between</w:t>
      </w:r>
      <w:r w:rsidRPr="00002675">
        <w:rPr>
          <w:rFonts w:cs="Arial"/>
        </w:rPr>
        <w:t xml:space="preserve"> 1 January 202</w:t>
      </w:r>
      <w:r>
        <w:rPr>
          <w:rFonts w:cs="Arial"/>
        </w:rPr>
        <w:t>3</w:t>
      </w:r>
      <w:r w:rsidRPr="00002675">
        <w:rPr>
          <w:rFonts w:cs="Arial"/>
        </w:rPr>
        <w:t xml:space="preserve"> </w:t>
      </w:r>
      <w:r>
        <w:rPr>
          <w:rFonts w:cs="Arial"/>
        </w:rPr>
        <w:t>and</w:t>
      </w:r>
      <w:r w:rsidRPr="00002675">
        <w:rPr>
          <w:rFonts w:cs="Arial"/>
        </w:rPr>
        <w:t xml:space="preserve"> 31 December 202</w:t>
      </w:r>
      <w:r>
        <w:rPr>
          <w:rFonts w:cs="Arial"/>
        </w:rPr>
        <w:t>3</w:t>
      </w:r>
      <w:r w:rsidRPr="00002675">
        <w:rPr>
          <w:rFonts w:cs="Arial"/>
        </w:rPr>
        <w:t xml:space="preserve">, the Office received a total of </w:t>
      </w:r>
      <w:r w:rsidR="00E519AB">
        <w:rPr>
          <w:rFonts w:cs="Arial"/>
        </w:rPr>
        <w:t>149</w:t>
      </w:r>
      <w:r w:rsidRPr="00002675">
        <w:rPr>
          <w:rFonts w:cs="Arial"/>
        </w:rPr>
        <w:t xml:space="preserve"> </w:t>
      </w:r>
      <w:r>
        <w:rPr>
          <w:rFonts w:cs="Arial"/>
        </w:rPr>
        <w:t xml:space="preserve">new </w:t>
      </w:r>
      <w:r w:rsidRPr="00002675">
        <w:rPr>
          <w:rFonts w:cs="Arial"/>
        </w:rPr>
        <w:t>c</w:t>
      </w:r>
      <w:r>
        <w:rPr>
          <w:rFonts w:cs="Arial"/>
        </w:rPr>
        <w:t>ases, compared to 87 cases the Office received during 2022.</w:t>
      </w:r>
    </w:p>
    <w:p w14:paraId="0B0DFB50" w14:textId="77777777" w:rsidR="00A2504C" w:rsidRPr="00002675" w:rsidRDefault="00A2504C" w:rsidP="00A2504C">
      <w:pPr>
        <w:spacing w:line="264" w:lineRule="auto"/>
        <w:rPr>
          <w:rFonts w:cs="Arial"/>
        </w:rPr>
      </w:pPr>
      <w:r w:rsidRPr="00002675">
        <w:rPr>
          <w:rFonts w:cs="Arial"/>
        </w:rPr>
        <w:t xml:space="preserve">The breakdown of the </w:t>
      </w:r>
      <w:r>
        <w:rPr>
          <w:rFonts w:cs="Arial"/>
        </w:rPr>
        <w:t>cases</w:t>
      </w:r>
      <w:r w:rsidRPr="00002675">
        <w:rPr>
          <w:rFonts w:cs="Arial"/>
        </w:rPr>
        <w:t xml:space="preserve"> received</w:t>
      </w:r>
      <w:r>
        <w:rPr>
          <w:rFonts w:cs="Arial"/>
        </w:rPr>
        <w:t xml:space="preserve"> in 2023</w:t>
      </w:r>
      <w:r w:rsidRPr="00002675">
        <w:rPr>
          <w:rFonts w:cs="Arial"/>
        </w:rPr>
        <w:t xml:space="preserve"> are as follows:</w:t>
      </w:r>
    </w:p>
    <w:p w14:paraId="326EDB0B" w14:textId="7AB9ADB7" w:rsidR="00A2504C" w:rsidRDefault="00A2504C" w:rsidP="00A4794B">
      <w:pPr>
        <w:pStyle w:val="ListParagraph"/>
        <w:numPr>
          <w:ilvl w:val="0"/>
          <w:numId w:val="8"/>
        </w:numPr>
        <w:spacing w:line="264" w:lineRule="auto"/>
        <w:rPr>
          <w:rFonts w:cs="Arial"/>
        </w:rPr>
      </w:pPr>
      <w:r>
        <w:rPr>
          <w:rFonts w:cs="Arial"/>
        </w:rPr>
        <w:t>5</w:t>
      </w:r>
      <w:r w:rsidR="00291941">
        <w:rPr>
          <w:rFonts w:cs="Arial"/>
        </w:rPr>
        <w:t>7</w:t>
      </w:r>
      <w:r>
        <w:rPr>
          <w:rFonts w:cs="Arial"/>
        </w:rPr>
        <w:t xml:space="preserve"> cases about </w:t>
      </w:r>
      <w:r w:rsidR="00291941">
        <w:rPr>
          <w:rFonts w:cs="Arial"/>
        </w:rPr>
        <w:t>9</w:t>
      </w:r>
      <w:r>
        <w:rPr>
          <w:rFonts w:cs="Arial"/>
        </w:rPr>
        <w:t xml:space="preserve"> proposed large-scale transmission projects</w:t>
      </w:r>
    </w:p>
    <w:p w14:paraId="61D60A90" w14:textId="72EC290A" w:rsidR="00A2504C" w:rsidRPr="00E057A5" w:rsidRDefault="00E519AB" w:rsidP="00A4794B">
      <w:pPr>
        <w:pStyle w:val="ListParagraph"/>
        <w:numPr>
          <w:ilvl w:val="0"/>
          <w:numId w:val="8"/>
        </w:numPr>
        <w:autoSpaceDE w:val="0"/>
        <w:autoSpaceDN w:val="0"/>
        <w:adjustRightInd w:val="0"/>
        <w:spacing w:line="264" w:lineRule="auto"/>
        <w:rPr>
          <w:rFonts w:cs="Arial"/>
          <w:color w:val="000000"/>
          <w:lang w:eastAsia="en-AU"/>
        </w:rPr>
      </w:pPr>
      <w:r>
        <w:rPr>
          <w:rFonts w:cs="Arial"/>
          <w:color w:val="000000"/>
          <w:lang w:eastAsia="en-AU"/>
        </w:rPr>
        <w:t>29</w:t>
      </w:r>
      <w:r w:rsidR="00A2504C" w:rsidRPr="00002675">
        <w:rPr>
          <w:rFonts w:cs="Arial"/>
          <w:color w:val="000000"/>
          <w:lang w:eastAsia="en-AU"/>
        </w:rPr>
        <w:t xml:space="preserve"> </w:t>
      </w:r>
      <w:r w:rsidR="00A2504C" w:rsidRPr="00E057A5">
        <w:rPr>
          <w:rFonts w:cs="Arial"/>
          <w:color w:val="000000"/>
          <w:lang w:eastAsia="en-AU"/>
        </w:rPr>
        <w:t>cases about 25 proposed wind farms</w:t>
      </w:r>
    </w:p>
    <w:p w14:paraId="6B6020C9" w14:textId="3E2F9B31" w:rsidR="00A2504C" w:rsidRPr="00E057A5" w:rsidRDefault="00A2504C" w:rsidP="00A4794B">
      <w:pPr>
        <w:pStyle w:val="ListParagraph"/>
        <w:numPr>
          <w:ilvl w:val="0"/>
          <w:numId w:val="8"/>
        </w:numPr>
        <w:autoSpaceDE w:val="0"/>
        <w:autoSpaceDN w:val="0"/>
        <w:adjustRightInd w:val="0"/>
        <w:spacing w:line="264" w:lineRule="auto"/>
        <w:rPr>
          <w:rFonts w:cs="Arial"/>
          <w:color w:val="000000"/>
          <w:lang w:eastAsia="en-AU"/>
        </w:rPr>
      </w:pPr>
      <w:r w:rsidRPr="00E057A5">
        <w:rPr>
          <w:rFonts w:cs="Arial"/>
        </w:rPr>
        <w:t>1</w:t>
      </w:r>
      <w:r>
        <w:rPr>
          <w:rFonts w:cs="Arial"/>
        </w:rPr>
        <w:t>8</w:t>
      </w:r>
      <w:r w:rsidRPr="00E057A5">
        <w:rPr>
          <w:rFonts w:cs="Arial"/>
        </w:rPr>
        <w:t xml:space="preserve"> cases about </w:t>
      </w:r>
      <w:r w:rsidR="00511DAE">
        <w:rPr>
          <w:rFonts w:cs="Arial"/>
        </w:rPr>
        <w:t>4</w:t>
      </w:r>
      <w:r w:rsidRPr="00E057A5">
        <w:rPr>
          <w:rFonts w:cs="Arial"/>
        </w:rPr>
        <w:t xml:space="preserve"> proposed pumped hydro projects</w:t>
      </w:r>
    </w:p>
    <w:p w14:paraId="61D69D21" w14:textId="4B73F1A3" w:rsidR="00A2504C" w:rsidRDefault="00A2504C" w:rsidP="00A4794B">
      <w:pPr>
        <w:pStyle w:val="ListParagraph"/>
        <w:numPr>
          <w:ilvl w:val="0"/>
          <w:numId w:val="8"/>
        </w:numPr>
        <w:autoSpaceDE w:val="0"/>
        <w:autoSpaceDN w:val="0"/>
        <w:adjustRightInd w:val="0"/>
        <w:spacing w:line="264" w:lineRule="auto"/>
        <w:rPr>
          <w:rFonts w:cs="Arial"/>
          <w:color w:val="000000"/>
          <w:lang w:eastAsia="en-AU"/>
        </w:rPr>
      </w:pPr>
      <w:r w:rsidRPr="00E057A5">
        <w:rPr>
          <w:rFonts w:cs="Arial"/>
          <w:color w:val="000000"/>
          <w:lang w:eastAsia="en-AU"/>
        </w:rPr>
        <w:t>1</w:t>
      </w:r>
      <w:r w:rsidR="00244B5B">
        <w:rPr>
          <w:rFonts w:cs="Arial"/>
          <w:color w:val="000000"/>
          <w:lang w:eastAsia="en-AU"/>
        </w:rPr>
        <w:t>8</w:t>
      </w:r>
      <w:r w:rsidRPr="00E057A5">
        <w:rPr>
          <w:rFonts w:cs="Arial"/>
          <w:color w:val="000000"/>
          <w:lang w:eastAsia="en-AU"/>
        </w:rPr>
        <w:t xml:space="preserve"> cases that did not specify</w:t>
      </w:r>
      <w:r w:rsidRPr="00EC544F">
        <w:rPr>
          <w:rFonts w:cs="Arial"/>
          <w:color w:val="000000"/>
          <w:lang w:eastAsia="en-AU"/>
        </w:rPr>
        <w:t xml:space="preserve"> a particular project or development</w:t>
      </w:r>
    </w:p>
    <w:p w14:paraId="0156DA3A" w14:textId="6AFC6AB6" w:rsidR="00A2504C" w:rsidRPr="00EC544F" w:rsidRDefault="00A2504C" w:rsidP="00A4794B">
      <w:pPr>
        <w:pStyle w:val="ListParagraph"/>
        <w:numPr>
          <w:ilvl w:val="0"/>
          <w:numId w:val="8"/>
        </w:numPr>
        <w:autoSpaceDE w:val="0"/>
        <w:autoSpaceDN w:val="0"/>
        <w:adjustRightInd w:val="0"/>
        <w:spacing w:line="264" w:lineRule="auto"/>
        <w:rPr>
          <w:rFonts w:cs="Arial"/>
          <w:color w:val="000000"/>
          <w:lang w:eastAsia="en-AU"/>
        </w:rPr>
      </w:pPr>
      <w:r w:rsidRPr="00EC544F">
        <w:rPr>
          <w:rFonts w:cs="Arial"/>
        </w:rPr>
        <w:t xml:space="preserve">13 cases about </w:t>
      </w:r>
      <w:r w:rsidR="00945157">
        <w:rPr>
          <w:rFonts w:cs="Arial"/>
        </w:rPr>
        <w:t xml:space="preserve">3 </w:t>
      </w:r>
      <w:r w:rsidRPr="00EC544F">
        <w:rPr>
          <w:rFonts w:cs="Arial"/>
        </w:rPr>
        <w:t>proposed offshore wind zones</w:t>
      </w:r>
    </w:p>
    <w:p w14:paraId="7BFE915F" w14:textId="3A134D97" w:rsidR="00A2504C" w:rsidRDefault="00945157" w:rsidP="00A4794B">
      <w:pPr>
        <w:pStyle w:val="ListParagraph"/>
        <w:numPr>
          <w:ilvl w:val="0"/>
          <w:numId w:val="8"/>
        </w:numPr>
        <w:autoSpaceDE w:val="0"/>
        <w:autoSpaceDN w:val="0"/>
        <w:adjustRightInd w:val="0"/>
        <w:spacing w:line="264" w:lineRule="auto"/>
        <w:rPr>
          <w:rFonts w:cs="Arial"/>
          <w:color w:val="000000"/>
          <w:lang w:eastAsia="en-AU"/>
        </w:rPr>
      </w:pPr>
      <w:r>
        <w:rPr>
          <w:rFonts w:cs="Arial"/>
          <w:color w:val="000000"/>
          <w:lang w:eastAsia="en-AU"/>
        </w:rPr>
        <w:t xml:space="preserve">8 </w:t>
      </w:r>
      <w:r w:rsidR="00A2504C" w:rsidRPr="00002675">
        <w:rPr>
          <w:rFonts w:cs="Arial"/>
          <w:color w:val="000000"/>
          <w:lang w:eastAsia="en-AU"/>
        </w:rPr>
        <w:t xml:space="preserve">cases </w:t>
      </w:r>
      <w:r w:rsidR="00A2504C">
        <w:rPr>
          <w:rFonts w:cs="Arial"/>
          <w:color w:val="000000"/>
          <w:lang w:eastAsia="en-AU"/>
        </w:rPr>
        <w:t>about</w:t>
      </w:r>
      <w:r w:rsidR="00A2504C" w:rsidRPr="00002675">
        <w:rPr>
          <w:rFonts w:cs="Arial"/>
          <w:color w:val="000000"/>
          <w:lang w:eastAsia="en-AU"/>
        </w:rPr>
        <w:t xml:space="preserve"> </w:t>
      </w:r>
      <w:r>
        <w:rPr>
          <w:rFonts w:cs="Arial"/>
          <w:color w:val="000000"/>
          <w:lang w:eastAsia="en-AU"/>
        </w:rPr>
        <w:t xml:space="preserve">3 </w:t>
      </w:r>
      <w:r w:rsidR="00A2504C" w:rsidRPr="00002675">
        <w:rPr>
          <w:rFonts w:cs="Arial"/>
          <w:color w:val="000000"/>
          <w:lang w:eastAsia="en-AU"/>
        </w:rPr>
        <w:t>proposed solar farms</w:t>
      </w:r>
    </w:p>
    <w:p w14:paraId="701BF374" w14:textId="404A4097" w:rsidR="00A2504C" w:rsidRPr="006A350E" w:rsidRDefault="00244B5B" w:rsidP="00A4794B">
      <w:pPr>
        <w:pStyle w:val="ListParagraph"/>
        <w:numPr>
          <w:ilvl w:val="0"/>
          <w:numId w:val="8"/>
        </w:numPr>
        <w:spacing w:line="264" w:lineRule="auto"/>
        <w:rPr>
          <w:rFonts w:cs="Arial"/>
        </w:rPr>
      </w:pPr>
      <w:r>
        <w:rPr>
          <w:rFonts w:cs="Arial"/>
          <w:color w:val="000000"/>
          <w:lang w:eastAsia="en-AU"/>
        </w:rPr>
        <w:t>6</w:t>
      </w:r>
      <w:r w:rsidR="00F015C0">
        <w:rPr>
          <w:rFonts w:cs="Arial"/>
          <w:color w:val="000000"/>
          <w:lang w:eastAsia="en-AU"/>
        </w:rPr>
        <w:t xml:space="preserve"> </w:t>
      </w:r>
      <w:r w:rsidR="00A2504C" w:rsidRPr="00002675">
        <w:rPr>
          <w:rFonts w:cs="Arial"/>
          <w:color w:val="000000"/>
          <w:lang w:eastAsia="en-AU"/>
        </w:rPr>
        <w:t xml:space="preserve">cases </w:t>
      </w:r>
      <w:r w:rsidR="00A2504C">
        <w:rPr>
          <w:rFonts w:cs="Arial"/>
          <w:color w:val="000000"/>
          <w:lang w:eastAsia="en-AU"/>
        </w:rPr>
        <w:t>about</w:t>
      </w:r>
      <w:r w:rsidR="00A2504C" w:rsidRPr="00002675">
        <w:rPr>
          <w:rFonts w:cs="Arial"/>
          <w:color w:val="000000"/>
          <w:lang w:eastAsia="en-AU"/>
        </w:rPr>
        <w:t xml:space="preserve"> </w:t>
      </w:r>
      <w:r w:rsidR="00F015C0">
        <w:rPr>
          <w:rFonts w:cs="Arial"/>
          <w:color w:val="000000"/>
          <w:lang w:eastAsia="en-AU"/>
        </w:rPr>
        <w:t xml:space="preserve">5 </w:t>
      </w:r>
      <w:r w:rsidR="00A2504C" w:rsidRPr="00002675">
        <w:rPr>
          <w:rFonts w:cs="Arial"/>
          <w:color w:val="000000"/>
          <w:lang w:eastAsia="en-AU"/>
        </w:rPr>
        <w:t>operating wind farms</w:t>
      </w:r>
      <w:r w:rsidR="00291941">
        <w:rPr>
          <w:rFonts w:cs="Arial"/>
          <w:color w:val="000000"/>
          <w:lang w:eastAsia="en-AU"/>
        </w:rPr>
        <w:t>.</w:t>
      </w:r>
    </w:p>
    <w:p w14:paraId="6B537A5F" w14:textId="544E730D" w:rsidR="00A2504C" w:rsidRDefault="00A2504C" w:rsidP="00A2504C">
      <w:pPr>
        <w:autoSpaceDE w:val="0"/>
        <w:autoSpaceDN w:val="0"/>
        <w:adjustRightInd w:val="0"/>
        <w:spacing w:line="264" w:lineRule="auto"/>
        <w:rPr>
          <w:rFonts w:cs="Arial"/>
          <w:color w:val="000000"/>
          <w:lang w:eastAsia="en-AU"/>
        </w:rPr>
      </w:pPr>
      <w:r w:rsidRPr="00F26EBE">
        <w:rPr>
          <w:rFonts w:cs="Arial"/>
          <w:color w:val="000000"/>
          <w:lang w:eastAsia="en-AU"/>
        </w:rPr>
        <w:t xml:space="preserve">Of the </w:t>
      </w:r>
      <w:r w:rsidR="00E519AB">
        <w:rPr>
          <w:rFonts w:cs="Arial"/>
        </w:rPr>
        <w:t>149</w:t>
      </w:r>
      <w:r w:rsidRPr="00F26EBE">
        <w:rPr>
          <w:rFonts w:cs="Arial"/>
          <w:color w:val="000000"/>
          <w:lang w:eastAsia="en-AU"/>
        </w:rPr>
        <w:t xml:space="preserve"> </w:t>
      </w:r>
      <w:r>
        <w:rPr>
          <w:rFonts w:cs="Arial"/>
          <w:color w:val="000000"/>
          <w:lang w:eastAsia="en-AU"/>
        </w:rPr>
        <w:t>cases</w:t>
      </w:r>
      <w:r w:rsidRPr="00F26EBE">
        <w:rPr>
          <w:rFonts w:cs="Arial"/>
          <w:color w:val="000000"/>
          <w:lang w:eastAsia="en-AU"/>
        </w:rPr>
        <w:t xml:space="preserve"> received by the Office </w:t>
      </w:r>
      <w:r>
        <w:rPr>
          <w:rFonts w:cs="Arial"/>
          <w:color w:val="000000"/>
          <w:lang w:eastAsia="en-AU"/>
        </w:rPr>
        <w:t>in</w:t>
      </w:r>
      <w:r w:rsidRPr="00F26EBE">
        <w:rPr>
          <w:rFonts w:cs="Arial"/>
          <w:color w:val="000000"/>
          <w:lang w:eastAsia="en-AU"/>
        </w:rPr>
        <w:t xml:space="preserve"> 202</w:t>
      </w:r>
      <w:r>
        <w:rPr>
          <w:rFonts w:cs="Arial"/>
          <w:color w:val="000000"/>
          <w:lang w:eastAsia="en-AU"/>
        </w:rPr>
        <w:t>3</w:t>
      </w:r>
      <w:r w:rsidRPr="00F26EBE">
        <w:rPr>
          <w:rFonts w:cs="Arial"/>
          <w:color w:val="000000"/>
          <w:lang w:eastAsia="en-AU"/>
        </w:rPr>
        <w:t xml:space="preserve">, </w:t>
      </w:r>
      <w:r>
        <w:rPr>
          <w:rFonts w:cs="Arial"/>
          <w:color w:val="000000"/>
          <w:lang w:eastAsia="en-AU"/>
        </w:rPr>
        <w:t>11</w:t>
      </w:r>
      <w:r w:rsidR="00777100">
        <w:rPr>
          <w:rFonts w:cs="Arial"/>
          <w:color w:val="000000"/>
          <w:lang w:eastAsia="en-AU"/>
        </w:rPr>
        <w:t>5</w:t>
      </w:r>
      <w:r w:rsidRPr="00F26EBE">
        <w:rPr>
          <w:rFonts w:cs="Arial"/>
          <w:color w:val="000000"/>
          <w:lang w:eastAsia="en-AU"/>
        </w:rPr>
        <w:t xml:space="preserve"> </w:t>
      </w:r>
      <w:r>
        <w:rPr>
          <w:rFonts w:cs="Arial"/>
          <w:color w:val="000000"/>
          <w:lang w:eastAsia="en-AU"/>
        </w:rPr>
        <w:t>cases</w:t>
      </w:r>
      <w:r w:rsidRPr="00F26EBE">
        <w:rPr>
          <w:rFonts w:cs="Arial"/>
          <w:color w:val="000000"/>
          <w:lang w:eastAsia="en-AU"/>
        </w:rPr>
        <w:t xml:space="preserve"> </w:t>
      </w:r>
      <w:r>
        <w:rPr>
          <w:rFonts w:cs="Arial"/>
          <w:color w:val="000000"/>
          <w:lang w:eastAsia="en-AU"/>
        </w:rPr>
        <w:t>were</w:t>
      </w:r>
      <w:r w:rsidRPr="00F26EBE">
        <w:rPr>
          <w:rFonts w:cs="Arial"/>
          <w:color w:val="000000"/>
          <w:lang w:eastAsia="en-AU"/>
        </w:rPr>
        <w:t xml:space="preserve"> closed</w:t>
      </w:r>
      <w:r>
        <w:rPr>
          <w:rFonts w:cs="Arial"/>
          <w:color w:val="000000"/>
          <w:lang w:eastAsia="en-AU"/>
        </w:rPr>
        <w:t xml:space="preserve"> as of 31 December 2023</w:t>
      </w:r>
      <w:r w:rsidRPr="00F26EBE">
        <w:rPr>
          <w:rFonts w:cs="Arial"/>
          <w:color w:val="000000"/>
          <w:lang w:eastAsia="en-AU"/>
        </w:rPr>
        <w:t xml:space="preserve">. The remaining </w:t>
      </w:r>
      <w:r>
        <w:rPr>
          <w:rFonts w:cs="Arial"/>
          <w:color w:val="000000"/>
          <w:lang w:eastAsia="en-AU"/>
        </w:rPr>
        <w:t>34</w:t>
      </w:r>
      <w:r w:rsidRPr="00F26EBE">
        <w:rPr>
          <w:rFonts w:cs="Arial"/>
          <w:color w:val="000000"/>
          <w:lang w:eastAsia="en-AU"/>
        </w:rPr>
        <w:t xml:space="preserve"> </w:t>
      </w:r>
      <w:r>
        <w:rPr>
          <w:rFonts w:cs="Arial"/>
          <w:color w:val="000000"/>
          <w:lang w:eastAsia="en-AU"/>
        </w:rPr>
        <w:t>cases</w:t>
      </w:r>
      <w:r w:rsidRPr="00F26EBE">
        <w:rPr>
          <w:rFonts w:cs="Arial"/>
          <w:color w:val="000000"/>
          <w:lang w:eastAsia="en-AU"/>
        </w:rPr>
        <w:t xml:space="preserve"> </w:t>
      </w:r>
      <w:r>
        <w:rPr>
          <w:rFonts w:cs="Arial"/>
          <w:color w:val="000000"/>
          <w:lang w:eastAsia="en-AU"/>
        </w:rPr>
        <w:t>were</w:t>
      </w:r>
      <w:r w:rsidRPr="00F26EBE">
        <w:rPr>
          <w:rFonts w:cs="Arial"/>
          <w:color w:val="000000"/>
          <w:lang w:eastAsia="en-AU"/>
        </w:rPr>
        <w:t xml:space="preserve"> at various stages of the complaint handling process.</w:t>
      </w:r>
    </w:p>
    <w:p w14:paraId="7C8A7B87" w14:textId="77777777" w:rsidR="00A2504C" w:rsidRPr="003329B0" w:rsidRDefault="00A2504C" w:rsidP="00A2504C">
      <w:pPr>
        <w:pStyle w:val="Heading3"/>
      </w:pPr>
      <w:bookmarkStart w:id="25" w:name="_Toc161672791"/>
      <w:r w:rsidRPr="003329B0">
        <w:lastRenderedPageBreak/>
        <w:t>Key observations on complaint data for 202</w:t>
      </w:r>
      <w:r>
        <w:t>3</w:t>
      </w:r>
      <w:bookmarkEnd w:id="25"/>
    </w:p>
    <w:p w14:paraId="67B1F555" w14:textId="77777777" w:rsidR="00A2504C" w:rsidRPr="002E4F1D" w:rsidRDefault="00A2504C" w:rsidP="00A2504C">
      <w:pPr>
        <w:pStyle w:val="NormalWeb"/>
        <w:spacing w:before="0" w:beforeAutospacing="0" w:after="200" w:afterAutospacing="0" w:line="264" w:lineRule="auto"/>
        <w:rPr>
          <w:rFonts w:ascii="Arial" w:eastAsia="Times New Roman" w:hAnsi="Arial" w:cs="Arial"/>
          <w:color w:val="0E101A"/>
          <w:sz w:val="22"/>
          <w:szCs w:val="22"/>
        </w:rPr>
      </w:pPr>
      <w:r w:rsidRPr="002E4F1D">
        <w:rPr>
          <w:rFonts w:ascii="Arial" w:hAnsi="Arial" w:cs="Arial"/>
          <w:color w:val="0E101A"/>
          <w:sz w:val="22"/>
          <w:szCs w:val="22"/>
        </w:rPr>
        <w:t>Some key observations on the 2023 complaint case data include:</w:t>
      </w:r>
    </w:p>
    <w:p w14:paraId="311DB17F" w14:textId="7C374881" w:rsidR="00A2504C" w:rsidRPr="007D3755" w:rsidRDefault="00A2504C" w:rsidP="00A4794B">
      <w:pPr>
        <w:pStyle w:val="ListParagraph"/>
        <w:numPr>
          <w:ilvl w:val="0"/>
          <w:numId w:val="10"/>
        </w:numPr>
        <w:autoSpaceDE w:val="0"/>
        <w:autoSpaceDN w:val="0"/>
        <w:spacing w:line="264" w:lineRule="auto"/>
        <w:rPr>
          <w:rFonts w:cs="Arial"/>
          <w:color w:val="000000"/>
        </w:rPr>
      </w:pPr>
      <w:r>
        <w:rPr>
          <w:rFonts w:cs="Arial"/>
          <w:color w:val="000000"/>
        </w:rPr>
        <w:t xml:space="preserve">In terms of annual complaint numbers, 2023 was the third busiest year since the inception of the Office in 2015, with 212 complaints received in 2021 </w:t>
      </w:r>
      <w:r w:rsidR="00C46E9C">
        <w:rPr>
          <w:rFonts w:cs="Arial"/>
          <w:color w:val="000000"/>
        </w:rPr>
        <w:t xml:space="preserve">(when </w:t>
      </w:r>
      <w:r w:rsidR="002E0C06">
        <w:rPr>
          <w:rFonts w:cs="Arial"/>
          <w:color w:val="000000"/>
        </w:rPr>
        <w:t xml:space="preserve">new high-voltage </w:t>
      </w:r>
      <w:r w:rsidR="00C46E9C">
        <w:rPr>
          <w:rFonts w:cs="Arial"/>
          <w:color w:val="000000"/>
        </w:rPr>
        <w:t xml:space="preserve">transmission was added to the Office’s remit) </w:t>
      </w:r>
      <w:r>
        <w:rPr>
          <w:rFonts w:cs="Arial"/>
          <w:color w:val="000000"/>
        </w:rPr>
        <w:t>and 164 complaints received in 2020.</w:t>
      </w:r>
    </w:p>
    <w:p w14:paraId="5B2F1307" w14:textId="184BA506" w:rsidR="00A2504C" w:rsidRDefault="00A2504C" w:rsidP="00A4794B">
      <w:pPr>
        <w:pStyle w:val="ListParagraph"/>
        <w:numPr>
          <w:ilvl w:val="0"/>
          <w:numId w:val="10"/>
        </w:numPr>
        <w:spacing w:line="264" w:lineRule="auto"/>
        <w:rPr>
          <w:rFonts w:cs="Arial"/>
          <w:color w:val="0E101A"/>
        </w:rPr>
      </w:pPr>
      <w:r w:rsidRPr="00AF4B89">
        <w:rPr>
          <w:rFonts w:cs="Arial"/>
        </w:rPr>
        <w:t>Case statistics indicate upward trends across some periods in recent years.</w:t>
      </w:r>
      <w:r>
        <w:rPr>
          <w:rFonts w:cs="Arial"/>
        </w:rPr>
        <w:t xml:space="preserve"> </w:t>
      </w:r>
      <w:r w:rsidRPr="002E4F1D">
        <w:rPr>
          <w:rFonts w:cs="Arial"/>
          <w:color w:val="0E101A"/>
        </w:rPr>
        <w:t xml:space="preserve">Overall, the number of cases lodged in 2023 increased significantly </w:t>
      </w:r>
      <w:r w:rsidR="00291941">
        <w:rPr>
          <w:rFonts w:cs="Arial"/>
          <w:color w:val="0E101A"/>
        </w:rPr>
        <w:t xml:space="preserve">(by </w:t>
      </w:r>
      <w:r w:rsidR="00DD1DBB">
        <w:rPr>
          <w:rFonts w:cs="Arial"/>
          <w:color w:val="0E101A"/>
        </w:rPr>
        <w:t xml:space="preserve">71 </w:t>
      </w:r>
      <w:r w:rsidR="00291941">
        <w:rPr>
          <w:rFonts w:cs="Arial"/>
          <w:color w:val="0E101A"/>
        </w:rPr>
        <w:t xml:space="preserve">per cent) </w:t>
      </w:r>
      <w:r w:rsidRPr="002E4F1D">
        <w:rPr>
          <w:rFonts w:cs="Arial"/>
          <w:color w:val="0E101A"/>
        </w:rPr>
        <w:t>compared with 202</w:t>
      </w:r>
      <w:r>
        <w:rPr>
          <w:rFonts w:cs="Arial"/>
          <w:color w:val="0E101A"/>
        </w:rPr>
        <w:t>2</w:t>
      </w:r>
      <w:r w:rsidR="00291941">
        <w:rPr>
          <w:rFonts w:cs="Arial"/>
          <w:color w:val="0E101A"/>
        </w:rPr>
        <w:t xml:space="preserve">, </w:t>
      </w:r>
      <w:r w:rsidR="00E519AB">
        <w:rPr>
          <w:rFonts w:cs="Arial"/>
          <w:color w:val="0E101A"/>
        </w:rPr>
        <w:br/>
      </w:r>
      <w:r w:rsidR="00291941">
        <w:rPr>
          <w:rFonts w:cs="Arial"/>
          <w:color w:val="0E101A"/>
        </w:rPr>
        <w:t xml:space="preserve">to </w:t>
      </w:r>
      <w:r w:rsidR="00E519AB">
        <w:rPr>
          <w:rFonts w:cs="Arial"/>
          <w:color w:val="0E101A"/>
        </w:rPr>
        <w:t xml:space="preserve">149 </w:t>
      </w:r>
      <w:r w:rsidRPr="002E4F1D">
        <w:rPr>
          <w:rFonts w:cs="Arial"/>
          <w:color w:val="0E101A"/>
        </w:rPr>
        <w:t>cases in 2023 compared with 87 cases in 2022.</w:t>
      </w:r>
    </w:p>
    <w:p w14:paraId="37F9CEBB" w14:textId="6AE8BEF5" w:rsidR="00A2504C" w:rsidRPr="00484B6C" w:rsidRDefault="00A2504C" w:rsidP="00A4794B">
      <w:pPr>
        <w:pStyle w:val="ListParagraph"/>
        <w:numPr>
          <w:ilvl w:val="0"/>
          <w:numId w:val="10"/>
        </w:numPr>
        <w:spacing w:line="264" w:lineRule="auto"/>
        <w:rPr>
          <w:rFonts w:cs="Arial"/>
          <w:color w:val="0E101A"/>
        </w:rPr>
      </w:pPr>
      <w:r w:rsidRPr="00484B6C">
        <w:t xml:space="preserve">Transmission cases </w:t>
      </w:r>
      <w:r w:rsidR="00291941">
        <w:t xml:space="preserve">continued to </w:t>
      </w:r>
      <w:r w:rsidR="00C46E9C">
        <w:t>gr</w:t>
      </w:r>
      <w:r w:rsidR="00291941">
        <w:t>o</w:t>
      </w:r>
      <w:r w:rsidR="00C46E9C">
        <w:t xml:space="preserve">w in actual numbers in 2023 (from 44 cases across 3 projects </w:t>
      </w:r>
      <w:r w:rsidR="00291941">
        <w:t xml:space="preserve">in 2022 </w:t>
      </w:r>
      <w:r w:rsidR="00C46E9C">
        <w:t>to 5</w:t>
      </w:r>
      <w:r w:rsidR="00291941">
        <w:t>7</w:t>
      </w:r>
      <w:r w:rsidR="00C46E9C">
        <w:t xml:space="preserve"> cases across </w:t>
      </w:r>
      <w:r w:rsidR="00291941">
        <w:t>9</w:t>
      </w:r>
      <w:r w:rsidR="00C46E9C">
        <w:t xml:space="preserve"> projects</w:t>
      </w:r>
      <w:r w:rsidR="00291941">
        <w:t xml:space="preserve"> in 2023</w:t>
      </w:r>
      <w:r w:rsidR="00C46E9C">
        <w:t xml:space="preserve">), despite representing a relatively smaller share of </w:t>
      </w:r>
      <w:r w:rsidRPr="00484B6C">
        <w:t xml:space="preserve">all cases </w:t>
      </w:r>
      <w:r w:rsidR="00C46E9C">
        <w:t xml:space="preserve">received (i.e. from </w:t>
      </w:r>
      <w:r w:rsidRPr="00484B6C">
        <w:t>approximately 50</w:t>
      </w:r>
      <w:r w:rsidR="00884DEA">
        <w:t xml:space="preserve"> per cent </w:t>
      </w:r>
      <w:r w:rsidRPr="00484B6C">
        <w:t xml:space="preserve">of </w:t>
      </w:r>
      <w:r w:rsidR="00C46E9C">
        <w:t xml:space="preserve">all </w:t>
      </w:r>
      <w:r w:rsidRPr="00484B6C">
        <w:t xml:space="preserve">cases in 2022 </w:t>
      </w:r>
      <w:r w:rsidR="00C46E9C">
        <w:t xml:space="preserve">down to </w:t>
      </w:r>
      <w:r w:rsidR="00B07C2D">
        <w:t xml:space="preserve">38 </w:t>
      </w:r>
      <w:r w:rsidR="00884DEA">
        <w:t>per cent</w:t>
      </w:r>
      <w:r w:rsidR="00C46E9C">
        <w:t xml:space="preserve"> in 2023).</w:t>
      </w:r>
    </w:p>
    <w:p w14:paraId="057CB7F3" w14:textId="77777777" w:rsidR="00A2504C" w:rsidRDefault="00A2504C" w:rsidP="00A4794B">
      <w:pPr>
        <w:pStyle w:val="ListParagraph"/>
        <w:numPr>
          <w:ilvl w:val="0"/>
          <w:numId w:val="10"/>
        </w:numPr>
        <w:spacing w:line="264" w:lineRule="auto"/>
        <w:rPr>
          <w:rFonts w:cs="Arial"/>
          <w:color w:val="0E101A"/>
        </w:rPr>
      </w:pPr>
      <w:r w:rsidRPr="00484B6C">
        <w:rPr>
          <w:rFonts w:cs="Arial"/>
          <w:color w:val="0E101A"/>
        </w:rPr>
        <w:t xml:space="preserve">By comparison, the next largest category of cases was proposed wind farms. In 2023, the Office </w:t>
      </w:r>
      <w:r>
        <w:rPr>
          <w:rFonts w:cs="Arial"/>
          <w:color w:val="0E101A"/>
        </w:rPr>
        <w:t xml:space="preserve">received </w:t>
      </w:r>
      <w:r w:rsidRPr="00484B6C">
        <w:rPr>
          <w:rFonts w:cs="Arial"/>
          <w:color w:val="0E101A"/>
        </w:rPr>
        <w:t>30 cases about 25 proposed wind farm projects. This compares to 2022, when there were 24 cases spread across 15 proposed wind farm projects.</w:t>
      </w:r>
    </w:p>
    <w:p w14:paraId="1CA99ADB" w14:textId="18801D3D" w:rsidR="00A2504C" w:rsidRPr="00C46E9C" w:rsidRDefault="00A2504C" w:rsidP="00A4794B">
      <w:pPr>
        <w:pStyle w:val="ListParagraph"/>
        <w:numPr>
          <w:ilvl w:val="0"/>
          <w:numId w:val="10"/>
        </w:numPr>
        <w:spacing w:line="264" w:lineRule="auto"/>
        <w:rPr>
          <w:rFonts w:cs="Arial"/>
          <w:color w:val="0E101A"/>
        </w:rPr>
      </w:pPr>
      <w:r>
        <w:rPr>
          <w:rFonts w:cs="Arial"/>
          <w:color w:val="0E101A"/>
        </w:rPr>
        <w:t xml:space="preserve">In </w:t>
      </w:r>
      <w:r w:rsidR="00B321BF">
        <w:rPr>
          <w:rFonts w:cs="Arial"/>
          <w:color w:val="0E101A"/>
        </w:rPr>
        <w:t xml:space="preserve">the last </w:t>
      </w:r>
      <w:r>
        <w:rPr>
          <w:rFonts w:cs="Arial"/>
          <w:color w:val="0E101A"/>
        </w:rPr>
        <w:t xml:space="preserve">two years, the Office has received a smaller number of complaints about a higher number of proposed wind farm projects compared with earlier years, where some complaints were concentrated on a smaller number of specific wind farm projects. For instance, </w:t>
      </w:r>
      <w:r w:rsidR="00697450">
        <w:rPr>
          <w:rFonts w:cs="Arial"/>
          <w:color w:val="0E101A"/>
        </w:rPr>
        <w:t>t</w:t>
      </w:r>
      <w:r>
        <w:rPr>
          <w:rFonts w:cs="Arial"/>
          <w:color w:val="0E101A"/>
        </w:rPr>
        <w:t>he Office received</w:t>
      </w:r>
      <w:r w:rsidRPr="00913EBE">
        <w:rPr>
          <w:rFonts w:cs="Arial"/>
          <w:color w:val="0E101A"/>
        </w:rPr>
        <w:t xml:space="preserve"> </w:t>
      </w:r>
      <w:r w:rsidR="00D23BA7">
        <w:rPr>
          <w:rFonts w:cs="Arial"/>
          <w:color w:val="0E101A"/>
        </w:rPr>
        <w:t>29</w:t>
      </w:r>
      <w:r w:rsidRPr="00484B6C">
        <w:rPr>
          <w:rFonts w:cs="Arial"/>
          <w:color w:val="0E101A"/>
        </w:rPr>
        <w:t xml:space="preserve"> cases about 25 proposed wind farm projects</w:t>
      </w:r>
      <w:r w:rsidR="00D23BA7">
        <w:rPr>
          <w:rFonts w:cs="Arial"/>
          <w:color w:val="0E101A"/>
        </w:rPr>
        <w:t xml:space="preserve"> in 2023</w:t>
      </w:r>
      <w:r>
        <w:rPr>
          <w:rFonts w:cs="Arial"/>
          <w:color w:val="0E101A"/>
        </w:rPr>
        <w:t>, compared with 2020 where the Office received 122 cases about 18 proposed wind farms. This may indicate that there is a higher level of prosp</w:t>
      </w:r>
      <w:r w:rsidRPr="00C46E9C">
        <w:rPr>
          <w:rFonts w:cs="Arial"/>
          <w:color w:val="0E101A"/>
        </w:rPr>
        <w:t>ecting for new wind farms sites in new regions.</w:t>
      </w:r>
    </w:p>
    <w:p w14:paraId="31A6722A" w14:textId="0902B945" w:rsidR="00A2504C" w:rsidRPr="00C46E9C" w:rsidRDefault="00A2504C" w:rsidP="00A4794B">
      <w:pPr>
        <w:pStyle w:val="ListParagraph"/>
        <w:numPr>
          <w:ilvl w:val="0"/>
          <w:numId w:val="10"/>
        </w:numPr>
        <w:spacing w:line="264" w:lineRule="auto"/>
        <w:rPr>
          <w:rStyle w:val="cf01"/>
          <w:rFonts w:ascii="Arial" w:hAnsi="Arial" w:cs="Arial"/>
          <w:color w:val="0E101A"/>
          <w:sz w:val="22"/>
          <w:szCs w:val="22"/>
        </w:rPr>
      </w:pPr>
      <w:r w:rsidRPr="00C46E9C">
        <w:rPr>
          <w:rStyle w:val="cf01"/>
          <w:rFonts w:ascii="Arial" w:hAnsi="Arial" w:cs="Arial"/>
          <w:sz w:val="22"/>
          <w:szCs w:val="22"/>
        </w:rPr>
        <w:t>The diversity and complexity of cases has increased in 2023, with continuing large numbers of cases about proposed transmission projects, as well increasing numbers of cases about offshore wind farms and new proposed pumped hydro projects.</w:t>
      </w:r>
    </w:p>
    <w:p w14:paraId="343FC50C" w14:textId="14CB7F84" w:rsidR="00A2504C" w:rsidRPr="00C46E9C" w:rsidRDefault="00A2504C" w:rsidP="00A4794B">
      <w:pPr>
        <w:pStyle w:val="ListParagraph"/>
        <w:numPr>
          <w:ilvl w:val="0"/>
          <w:numId w:val="10"/>
        </w:numPr>
        <w:autoSpaceDE w:val="0"/>
        <w:autoSpaceDN w:val="0"/>
        <w:spacing w:line="264" w:lineRule="auto"/>
        <w:rPr>
          <w:rFonts w:cs="Arial"/>
          <w:color w:val="000000"/>
        </w:rPr>
      </w:pPr>
      <w:r w:rsidRPr="00C46E9C">
        <w:rPr>
          <w:rFonts w:cs="Arial"/>
        </w:rPr>
        <w:t xml:space="preserve">Complaints about transmission lines have </w:t>
      </w:r>
      <w:r w:rsidR="006613DA">
        <w:rPr>
          <w:rFonts w:cs="Arial"/>
        </w:rPr>
        <w:t xml:space="preserve">also </w:t>
      </w:r>
      <w:r w:rsidRPr="00C46E9C">
        <w:rPr>
          <w:rFonts w:cs="Arial"/>
        </w:rPr>
        <w:t>generally involved complex matters, with several systemic issues identified such as transmission line route selection, land access arrangements, and communication about agricultural activities allowed under proposed transmission lines.</w:t>
      </w:r>
    </w:p>
    <w:p w14:paraId="105A1C21" w14:textId="77777777" w:rsidR="00653DAD" w:rsidRPr="00653DAD" w:rsidRDefault="00D15A96" w:rsidP="00A4794B">
      <w:pPr>
        <w:pStyle w:val="ListParagraph"/>
        <w:numPr>
          <w:ilvl w:val="0"/>
          <w:numId w:val="10"/>
        </w:numPr>
        <w:spacing w:line="264" w:lineRule="auto"/>
        <w:rPr>
          <w:rStyle w:val="cf01"/>
          <w:rFonts w:ascii="Arial" w:hAnsi="Arial" w:cs="Arial"/>
          <w:color w:val="0E101A"/>
          <w:sz w:val="22"/>
          <w:szCs w:val="22"/>
        </w:rPr>
      </w:pPr>
      <w:r>
        <w:rPr>
          <w:rStyle w:val="cf01"/>
          <w:rFonts w:ascii="Arial" w:hAnsi="Arial" w:cs="Arial"/>
          <w:sz w:val="22"/>
          <w:szCs w:val="22"/>
        </w:rPr>
        <w:t>The n</w:t>
      </w:r>
      <w:r w:rsidR="00A2504C" w:rsidRPr="00C46E9C">
        <w:rPr>
          <w:rStyle w:val="cf01"/>
          <w:rFonts w:ascii="Arial" w:hAnsi="Arial" w:cs="Arial"/>
          <w:sz w:val="22"/>
          <w:szCs w:val="22"/>
        </w:rPr>
        <w:t xml:space="preserve">umber of cases received about operating wind farms and other operating projects remain at very low levels, </w:t>
      </w:r>
      <w:r>
        <w:rPr>
          <w:rStyle w:val="cf01"/>
          <w:rFonts w:ascii="Arial" w:hAnsi="Arial" w:cs="Arial"/>
          <w:sz w:val="22"/>
          <w:szCs w:val="22"/>
        </w:rPr>
        <w:t xml:space="preserve">consistent with case </w:t>
      </w:r>
      <w:r w:rsidR="00A2504C" w:rsidRPr="00C46E9C">
        <w:rPr>
          <w:rStyle w:val="cf01"/>
          <w:rFonts w:ascii="Arial" w:hAnsi="Arial" w:cs="Arial"/>
          <w:sz w:val="22"/>
          <w:szCs w:val="22"/>
        </w:rPr>
        <w:t xml:space="preserve">data from previous years. </w:t>
      </w:r>
    </w:p>
    <w:p w14:paraId="31E96D10" w14:textId="010AB9F5" w:rsidR="00A2504C" w:rsidRPr="004404E1" w:rsidRDefault="00A2504C" w:rsidP="006A15C5">
      <w:pPr>
        <w:spacing w:line="264" w:lineRule="auto"/>
        <w:rPr>
          <w:rFonts w:cs="Arial"/>
          <w:color w:val="0E101A"/>
        </w:rPr>
      </w:pPr>
      <w:r w:rsidRPr="00653DAD">
        <w:rPr>
          <w:rStyle w:val="cf01"/>
          <w:rFonts w:ascii="Arial" w:hAnsi="Arial" w:cs="Arial"/>
          <w:sz w:val="22"/>
          <w:szCs w:val="22"/>
        </w:rPr>
        <w:t>The vast majority of complaints received by the Office are about new proposed projects.</w:t>
      </w:r>
      <w:r w:rsidR="006A15C5">
        <w:rPr>
          <w:rFonts w:cs="Arial"/>
          <w:color w:val="0E101A"/>
        </w:rPr>
        <w:t xml:space="preserve"> This suggests that </w:t>
      </w:r>
      <w:r w:rsidRPr="00C46E9C">
        <w:rPr>
          <w:rFonts w:cs="Arial"/>
          <w:color w:val="0E101A"/>
        </w:rPr>
        <w:t xml:space="preserve">once </w:t>
      </w:r>
      <w:r w:rsidR="006A15C5">
        <w:rPr>
          <w:rFonts w:cs="Arial"/>
          <w:color w:val="0E101A"/>
        </w:rPr>
        <w:t xml:space="preserve">an </w:t>
      </w:r>
      <w:r w:rsidRPr="00C46E9C">
        <w:rPr>
          <w:rFonts w:cs="Arial"/>
          <w:color w:val="0E101A"/>
        </w:rPr>
        <w:t xml:space="preserve">asset is built and operating, most of the concerns have either been addressed (as it may well have been a construction </w:t>
      </w:r>
      <w:r w:rsidRPr="004404E1">
        <w:rPr>
          <w:rFonts w:cs="Arial"/>
          <w:color w:val="0E101A"/>
        </w:rPr>
        <w:t>related matter</w:t>
      </w:r>
      <w:r w:rsidR="006A15C5">
        <w:rPr>
          <w:rFonts w:cs="Arial"/>
          <w:color w:val="0E101A"/>
        </w:rPr>
        <w:t>,</w:t>
      </w:r>
      <w:r w:rsidRPr="004404E1">
        <w:rPr>
          <w:rFonts w:cs="Arial"/>
          <w:color w:val="0E101A"/>
        </w:rPr>
        <w:t xml:space="preserve"> for example) or the concern was a</w:t>
      </w:r>
      <w:r w:rsidR="00392AC9">
        <w:rPr>
          <w:rFonts w:cs="Arial"/>
          <w:color w:val="0E101A"/>
        </w:rPr>
        <w:t>bout a</w:t>
      </w:r>
      <w:r w:rsidRPr="004404E1">
        <w:rPr>
          <w:rFonts w:cs="Arial"/>
          <w:color w:val="0E101A"/>
        </w:rPr>
        <w:t xml:space="preserve"> perceived </w:t>
      </w:r>
      <w:r w:rsidR="00392AC9">
        <w:rPr>
          <w:rFonts w:cs="Arial"/>
          <w:color w:val="0E101A"/>
        </w:rPr>
        <w:t>issue</w:t>
      </w:r>
      <w:r w:rsidR="00392AC9" w:rsidRPr="004404E1">
        <w:rPr>
          <w:rFonts w:cs="Arial"/>
          <w:color w:val="0E101A"/>
        </w:rPr>
        <w:t xml:space="preserve"> </w:t>
      </w:r>
      <w:r w:rsidRPr="004404E1">
        <w:rPr>
          <w:rFonts w:cs="Arial"/>
          <w:color w:val="0E101A"/>
        </w:rPr>
        <w:t xml:space="preserve">that did not materialise when the asset commenced operations.   </w:t>
      </w:r>
    </w:p>
    <w:p w14:paraId="49F9F75D" w14:textId="77777777" w:rsidR="006A15C5" w:rsidRDefault="006A15C5">
      <w:pPr>
        <w:rPr>
          <w:rFonts w:cs="Arial"/>
          <w:b/>
        </w:rPr>
      </w:pPr>
      <w:r>
        <w:rPr>
          <w:rFonts w:cs="Arial"/>
          <w:b/>
        </w:rPr>
        <w:br w:type="page"/>
      </w:r>
    </w:p>
    <w:p w14:paraId="09342E17" w14:textId="66B1B1AC" w:rsidR="00A2504C" w:rsidRDefault="00A2504C" w:rsidP="00A2504C">
      <w:pPr>
        <w:autoSpaceDE w:val="0"/>
        <w:autoSpaceDN w:val="0"/>
        <w:adjustRightInd w:val="0"/>
        <w:spacing w:line="264" w:lineRule="auto"/>
        <w:rPr>
          <w:rFonts w:cs="Arial"/>
          <w:b/>
        </w:rPr>
      </w:pPr>
      <w:r>
        <w:rPr>
          <w:rFonts w:cs="Arial"/>
          <w:b/>
        </w:rPr>
        <w:lastRenderedPageBreak/>
        <w:t>Case activity in 2023 – breakdown of data</w:t>
      </w:r>
    </w:p>
    <w:p w14:paraId="31D8D025" w14:textId="5E228819" w:rsidR="00A2504C" w:rsidRPr="002E4F1D" w:rsidRDefault="00A2504C" w:rsidP="00A2504C">
      <w:pPr>
        <w:autoSpaceDE w:val="0"/>
        <w:autoSpaceDN w:val="0"/>
        <w:adjustRightInd w:val="0"/>
        <w:spacing w:line="264" w:lineRule="auto"/>
        <w:rPr>
          <w:rFonts w:cs="Arial"/>
        </w:rPr>
      </w:pPr>
      <w:r w:rsidRPr="002E4F1D">
        <w:rPr>
          <w:rFonts w:cs="Arial"/>
          <w:b/>
        </w:rPr>
        <w:t>Figure 1</w:t>
      </w:r>
      <w:r w:rsidR="00B14CA8">
        <w:rPr>
          <w:rFonts w:cs="Arial"/>
          <w:b/>
        </w:rPr>
        <w:t>A</w:t>
      </w:r>
      <w:r w:rsidRPr="002E4F1D">
        <w:rPr>
          <w:rFonts w:cs="Arial"/>
        </w:rPr>
        <w:t xml:space="preserve"> shows the number of cases the Office received between 1 January 2023 and 31 December 2023. </w:t>
      </w:r>
      <w:r w:rsidR="009F3A55">
        <w:rPr>
          <w:rFonts w:cs="Arial"/>
        </w:rPr>
        <w:t>“</w:t>
      </w:r>
      <w:r w:rsidRPr="002E4F1D">
        <w:rPr>
          <w:rFonts w:cs="Arial"/>
        </w:rPr>
        <w:t xml:space="preserve">Proposed </w:t>
      </w:r>
      <w:r w:rsidR="003B5591">
        <w:rPr>
          <w:rFonts w:cs="Arial"/>
        </w:rPr>
        <w:t>p</w:t>
      </w:r>
      <w:r w:rsidRPr="002E4F1D">
        <w:rPr>
          <w:rFonts w:cs="Arial"/>
        </w:rPr>
        <w:t>rojects</w:t>
      </w:r>
      <w:r w:rsidR="009F3A55">
        <w:rPr>
          <w:rFonts w:cs="Arial"/>
        </w:rPr>
        <w:t>”</w:t>
      </w:r>
      <w:r w:rsidRPr="002E4F1D">
        <w:rPr>
          <w:rFonts w:cs="Arial"/>
        </w:rPr>
        <w:t xml:space="preserve"> are those which were at the development stage and were not fully commissioned at the time the case was received. </w:t>
      </w:r>
      <w:r w:rsidR="00BD59EE">
        <w:rPr>
          <w:rFonts w:cs="Arial"/>
        </w:rPr>
        <w:t>“</w:t>
      </w:r>
      <w:r w:rsidRPr="002E4F1D">
        <w:rPr>
          <w:rFonts w:cs="Arial"/>
        </w:rPr>
        <w:t xml:space="preserve">General </w:t>
      </w:r>
      <w:r w:rsidR="009F69BB">
        <w:rPr>
          <w:rFonts w:cs="Arial"/>
        </w:rPr>
        <w:t>e</w:t>
      </w:r>
      <w:r w:rsidRPr="002E4F1D">
        <w:rPr>
          <w:rFonts w:cs="Arial"/>
        </w:rPr>
        <w:t>nquiries</w:t>
      </w:r>
      <w:r w:rsidR="00BD59EE">
        <w:rPr>
          <w:rFonts w:cs="Arial"/>
        </w:rPr>
        <w:t>”</w:t>
      </w:r>
      <w:r w:rsidRPr="002E4F1D">
        <w:rPr>
          <w:rFonts w:cs="Arial"/>
        </w:rPr>
        <w:t xml:space="preserve"> are cases that do not specify a particular project and are typically community members seeking more general information to address their concern. </w:t>
      </w:r>
    </w:p>
    <w:p w14:paraId="0BD29241" w14:textId="3A89B18C" w:rsidR="00C517EB" w:rsidRDefault="00E730BC" w:rsidP="00C517EB">
      <w:pPr>
        <w:jc w:val="center"/>
      </w:pPr>
      <w:r>
        <w:rPr>
          <w:noProof/>
        </w:rPr>
        <w:drawing>
          <wp:inline distT="0" distB="0" distL="0" distR="0" wp14:anchorId="7D81B902" wp14:editId="6F7CE4D2">
            <wp:extent cx="5499100" cy="3213100"/>
            <wp:effectExtent l="0" t="0" r="6350" b="6350"/>
            <wp:docPr id="2112787489" name="Picture 1" descr="Figure 1A shows the total number of cases received in 2023 was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87489" name="Picture 1" descr="Figure 1A shows the total number of cases received in 2023 was 1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3361EA86" w14:textId="7E96C1AB" w:rsidR="00B14CA8" w:rsidRDefault="00B14CA8" w:rsidP="00B14CA8">
      <w:pPr>
        <w:rPr>
          <w:rFonts w:cs="Arial"/>
        </w:rPr>
      </w:pPr>
      <w:r w:rsidRPr="00C515C0">
        <w:rPr>
          <w:rFonts w:cs="Arial"/>
          <w:b/>
        </w:rPr>
        <w:t>Figure 1</w:t>
      </w:r>
      <w:r>
        <w:rPr>
          <w:rFonts w:cs="Arial"/>
          <w:b/>
        </w:rPr>
        <w:t>B</w:t>
      </w:r>
      <w:r>
        <w:rPr>
          <w:rFonts w:cs="Arial"/>
        </w:rPr>
        <w:t xml:space="preserve"> shows the number of times a complaint issue</w:t>
      </w:r>
      <w:r w:rsidR="00AB50BC">
        <w:rPr>
          <w:rFonts w:cs="Arial"/>
        </w:rPr>
        <w:t xml:space="preserve"> was </w:t>
      </w:r>
      <w:r>
        <w:rPr>
          <w:rFonts w:cs="Arial"/>
        </w:rPr>
        <w:t xml:space="preserve">raised across all cases received by the Office during 2023. </w:t>
      </w:r>
      <w:r w:rsidRPr="00187DE8">
        <w:rPr>
          <w:rFonts w:cs="Arial"/>
          <w:b/>
          <w:bCs/>
        </w:rPr>
        <w:t>Note</w:t>
      </w:r>
      <w:r w:rsidRPr="00EE2DBF">
        <w:rPr>
          <w:rFonts w:cs="Arial"/>
        </w:rPr>
        <w:t>: a</w:t>
      </w:r>
      <w:r w:rsidR="00000D14">
        <w:rPr>
          <w:rFonts w:cs="Arial"/>
        </w:rPr>
        <w:t>n individual</w:t>
      </w:r>
      <w:r w:rsidRPr="00EE2DBF">
        <w:rPr>
          <w:rFonts w:cs="Arial"/>
        </w:rPr>
        <w:t xml:space="preserve"> case may include </w:t>
      </w:r>
      <w:r>
        <w:rPr>
          <w:rFonts w:cs="Arial"/>
        </w:rPr>
        <w:t xml:space="preserve">one or </w:t>
      </w:r>
      <w:r w:rsidRPr="00EE2DBF">
        <w:rPr>
          <w:rFonts w:cs="Arial"/>
        </w:rPr>
        <w:t xml:space="preserve">more </w:t>
      </w:r>
      <w:r>
        <w:rPr>
          <w:rFonts w:cs="Arial"/>
        </w:rPr>
        <w:t xml:space="preserve">complaint </w:t>
      </w:r>
      <w:r w:rsidRPr="00EE2DBF">
        <w:rPr>
          <w:rFonts w:cs="Arial"/>
        </w:rPr>
        <w:t>is</w:t>
      </w:r>
      <w:r>
        <w:rPr>
          <w:rFonts w:cs="Arial"/>
        </w:rPr>
        <w:t>sue</w:t>
      </w:r>
      <w:r w:rsidR="00032DE2">
        <w:rPr>
          <w:rFonts w:cs="Arial"/>
        </w:rPr>
        <w:t>s</w:t>
      </w:r>
      <w:r>
        <w:rPr>
          <w:rFonts w:cs="Arial"/>
        </w:rPr>
        <w:t>.</w:t>
      </w:r>
    </w:p>
    <w:p w14:paraId="31F8DDCE" w14:textId="0E6F3456" w:rsidR="00B14CA8" w:rsidRDefault="00E730BC" w:rsidP="00A83618">
      <w:pPr>
        <w:jc w:val="center"/>
      </w:pPr>
      <w:r>
        <w:rPr>
          <w:noProof/>
        </w:rPr>
        <w:drawing>
          <wp:inline distT="0" distB="0" distL="0" distR="0" wp14:anchorId="3FAD48CF" wp14:editId="2DB9E31A">
            <wp:extent cx="5675630" cy="4364990"/>
            <wp:effectExtent l="0" t="0" r="1270" b="0"/>
            <wp:docPr id="1554669410" name="Picture 2" descr="Figure 1B shows the number of times different complaint issues were raised across all cases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69410" name="Picture 2" descr="Figure 1B shows the number of times different complaint issues were raised across all cases in 20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75630" cy="4364990"/>
                    </a:xfrm>
                    <a:prstGeom prst="rect">
                      <a:avLst/>
                    </a:prstGeom>
                    <a:noFill/>
                  </pic:spPr>
                </pic:pic>
              </a:graphicData>
            </a:graphic>
          </wp:inline>
        </w:drawing>
      </w:r>
    </w:p>
    <w:p w14:paraId="0D67E12C" w14:textId="5EABFD76" w:rsidR="00A2504C" w:rsidRPr="004077CD" w:rsidRDefault="00A2504C" w:rsidP="00B14CA8">
      <w:pPr>
        <w:pStyle w:val="Heading3"/>
        <w:keepNext w:val="0"/>
      </w:pPr>
      <w:bookmarkStart w:id="26" w:name="_Toc161672792"/>
      <w:r>
        <w:lastRenderedPageBreak/>
        <w:t>Proposed and operating w</w:t>
      </w:r>
      <w:r w:rsidRPr="00EB3D5A">
        <w:t>ind farms</w:t>
      </w:r>
      <w:r>
        <w:t>, and proposed offshore zones</w:t>
      </w:r>
      <w:r w:rsidRPr="00EB3D5A">
        <w:t xml:space="preserve"> in </w:t>
      </w:r>
      <w:proofErr w:type="gramStart"/>
      <w:r w:rsidRPr="00EB3D5A">
        <w:t>202</w:t>
      </w:r>
      <w:r>
        <w:t>3</w:t>
      </w:r>
      <w:bookmarkEnd w:id="26"/>
      <w:proofErr w:type="gramEnd"/>
    </w:p>
    <w:p w14:paraId="65360F20" w14:textId="14224128" w:rsidR="00A2504C" w:rsidRDefault="00A2504C" w:rsidP="00B14CA8">
      <w:pPr>
        <w:spacing w:line="264" w:lineRule="auto"/>
        <w:rPr>
          <w:rFonts w:cs="Arial"/>
        </w:rPr>
      </w:pPr>
      <w:r w:rsidRPr="003414CB">
        <w:rPr>
          <w:rFonts w:cs="Arial"/>
        </w:rPr>
        <w:t>Between 1 January 202</w:t>
      </w:r>
      <w:r>
        <w:rPr>
          <w:rFonts w:cs="Arial"/>
        </w:rPr>
        <w:t>3</w:t>
      </w:r>
      <w:r w:rsidRPr="003414CB">
        <w:rPr>
          <w:rFonts w:cs="Arial"/>
        </w:rPr>
        <w:t xml:space="preserve"> and 31 December 202</w:t>
      </w:r>
      <w:r>
        <w:rPr>
          <w:rFonts w:cs="Arial"/>
        </w:rPr>
        <w:t>3</w:t>
      </w:r>
      <w:r w:rsidRPr="003414CB">
        <w:rPr>
          <w:rFonts w:cs="Arial"/>
        </w:rPr>
        <w:t xml:space="preserve">, the Office received </w:t>
      </w:r>
      <w:r w:rsidR="00E519AB">
        <w:rPr>
          <w:rFonts w:cs="Arial"/>
        </w:rPr>
        <w:t>29</w:t>
      </w:r>
      <w:r w:rsidRPr="003414CB">
        <w:rPr>
          <w:rFonts w:cs="Arial"/>
        </w:rPr>
        <w:t xml:space="preserve"> cases about </w:t>
      </w:r>
      <w:r>
        <w:rPr>
          <w:rFonts w:cs="Arial"/>
        </w:rPr>
        <w:t>2</w:t>
      </w:r>
      <w:r w:rsidRPr="003414CB">
        <w:rPr>
          <w:rFonts w:cs="Arial"/>
        </w:rPr>
        <w:t xml:space="preserve">5 proposed wind farms, compared to </w:t>
      </w:r>
      <w:r>
        <w:rPr>
          <w:rFonts w:cs="Arial"/>
        </w:rPr>
        <w:t>24</w:t>
      </w:r>
      <w:r w:rsidRPr="003414CB">
        <w:rPr>
          <w:rFonts w:cs="Arial"/>
        </w:rPr>
        <w:t xml:space="preserve"> cases concerning </w:t>
      </w:r>
      <w:r>
        <w:rPr>
          <w:rFonts w:cs="Arial"/>
        </w:rPr>
        <w:t>15</w:t>
      </w:r>
      <w:r w:rsidRPr="003414CB">
        <w:rPr>
          <w:rFonts w:cs="Arial"/>
        </w:rPr>
        <w:t xml:space="preserve"> proposed wind farms in 202</w:t>
      </w:r>
      <w:r>
        <w:rPr>
          <w:rFonts w:cs="Arial"/>
        </w:rPr>
        <w:t>2. 15 </w:t>
      </w:r>
      <w:r w:rsidRPr="003414CB">
        <w:rPr>
          <w:rFonts w:cs="Arial"/>
        </w:rPr>
        <w:t>of the cases received in 202</w:t>
      </w:r>
      <w:r>
        <w:rPr>
          <w:rFonts w:cs="Arial"/>
        </w:rPr>
        <w:t>3</w:t>
      </w:r>
      <w:r w:rsidRPr="003414CB">
        <w:rPr>
          <w:rFonts w:cs="Arial"/>
        </w:rPr>
        <w:t xml:space="preserve"> related to </w:t>
      </w:r>
      <w:r>
        <w:rPr>
          <w:rFonts w:cs="Arial"/>
        </w:rPr>
        <w:t>12</w:t>
      </w:r>
      <w:r w:rsidRPr="003414CB">
        <w:rPr>
          <w:rFonts w:cs="Arial"/>
        </w:rPr>
        <w:t xml:space="preserve"> proposed wind farms in Victoria, </w:t>
      </w:r>
      <w:r w:rsidR="00A77C51">
        <w:rPr>
          <w:rFonts w:cs="Arial"/>
        </w:rPr>
        <w:t>6</w:t>
      </w:r>
      <w:r w:rsidRPr="003414CB">
        <w:rPr>
          <w:rFonts w:cs="Arial"/>
        </w:rPr>
        <w:t xml:space="preserve"> cases related to </w:t>
      </w:r>
      <w:r w:rsidR="00A77C51">
        <w:rPr>
          <w:rFonts w:cs="Arial"/>
        </w:rPr>
        <w:t>5</w:t>
      </w:r>
      <w:r w:rsidRPr="003414CB">
        <w:rPr>
          <w:rFonts w:cs="Arial"/>
        </w:rPr>
        <w:t xml:space="preserve"> proposed wind farms in Queensland</w:t>
      </w:r>
      <w:r>
        <w:rPr>
          <w:rFonts w:cs="Arial"/>
        </w:rPr>
        <w:t>,</w:t>
      </w:r>
      <w:r w:rsidRPr="003414CB">
        <w:rPr>
          <w:rFonts w:cs="Arial"/>
        </w:rPr>
        <w:t xml:space="preserve"> </w:t>
      </w:r>
      <w:r w:rsidR="00A77C51">
        <w:rPr>
          <w:rFonts w:cs="Arial"/>
        </w:rPr>
        <w:br/>
        <w:t>5</w:t>
      </w:r>
      <w:r w:rsidRPr="003414CB">
        <w:rPr>
          <w:rFonts w:cs="Arial"/>
        </w:rPr>
        <w:t xml:space="preserve"> cases related to </w:t>
      </w:r>
      <w:r w:rsidR="00A77C51">
        <w:rPr>
          <w:rFonts w:cs="Arial"/>
        </w:rPr>
        <w:t>5</w:t>
      </w:r>
      <w:r w:rsidRPr="003414CB">
        <w:rPr>
          <w:rFonts w:cs="Arial"/>
        </w:rPr>
        <w:t xml:space="preserve"> proposed wind farms in</w:t>
      </w:r>
      <w:r>
        <w:rPr>
          <w:rFonts w:cs="Arial"/>
        </w:rPr>
        <w:t xml:space="preserve"> New South Wales</w:t>
      </w:r>
      <w:r w:rsidRPr="003414CB">
        <w:rPr>
          <w:rFonts w:cs="Arial"/>
        </w:rPr>
        <w:t xml:space="preserve"> and the remaining </w:t>
      </w:r>
      <w:r w:rsidR="00A77C51">
        <w:rPr>
          <w:rFonts w:cs="Arial"/>
        </w:rPr>
        <w:t>3</w:t>
      </w:r>
      <w:r w:rsidRPr="003414CB">
        <w:rPr>
          <w:rFonts w:cs="Arial"/>
        </w:rPr>
        <w:t xml:space="preserve"> cases </w:t>
      </w:r>
      <w:r w:rsidR="00A77C51">
        <w:rPr>
          <w:rFonts w:cs="Arial"/>
        </w:rPr>
        <w:t xml:space="preserve">related </w:t>
      </w:r>
      <w:r w:rsidR="00A77C51">
        <w:rPr>
          <w:rFonts w:cs="Arial"/>
        </w:rPr>
        <w:br/>
      </w:r>
      <w:r w:rsidRPr="003414CB">
        <w:rPr>
          <w:rFonts w:cs="Arial"/>
        </w:rPr>
        <w:t xml:space="preserve">to </w:t>
      </w:r>
      <w:r w:rsidR="00A77C51">
        <w:rPr>
          <w:rFonts w:cs="Arial"/>
        </w:rPr>
        <w:t>3</w:t>
      </w:r>
      <w:r w:rsidRPr="003414CB">
        <w:rPr>
          <w:rFonts w:cs="Arial"/>
        </w:rPr>
        <w:t xml:space="preserve"> proposed wind farms in </w:t>
      </w:r>
      <w:r>
        <w:rPr>
          <w:rFonts w:cs="Arial"/>
        </w:rPr>
        <w:t>other states</w:t>
      </w:r>
      <w:r w:rsidRPr="003414CB">
        <w:rPr>
          <w:rFonts w:cs="Arial"/>
        </w:rPr>
        <w:t>. As of 31 December 202</w:t>
      </w:r>
      <w:r>
        <w:rPr>
          <w:rFonts w:cs="Arial"/>
        </w:rPr>
        <w:t>3</w:t>
      </w:r>
      <w:r w:rsidRPr="003414CB">
        <w:rPr>
          <w:rFonts w:cs="Arial"/>
        </w:rPr>
        <w:t xml:space="preserve">, 21 of these cases had been closed, and the remaining </w:t>
      </w:r>
      <w:r w:rsidR="00A77C51">
        <w:rPr>
          <w:rFonts w:cs="Arial"/>
        </w:rPr>
        <w:t>9</w:t>
      </w:r>
      <w:r w:rsidRPr="003414CB">
        <w:rPr>
          <w:rFonts w:cs="Arial"/>
        </w:rPr>
        <w:t xml:space="preserve"> cases were at various stages of the complaint handling process. </w:t>
      </w:r>
    </w:p>
    <w:p w14:paraId="65EF3D07" w14:textId="1162EB4E" w:rsidR="00A2504C" w:rsidRDefault="00A77C51" w:rsidP="00A2504C">
      <w:pPr>
        <w:rPr>
          <w:rFonts w:cs="Arial"/>
          <w:color w:val="000000"/>
          <w:lang w:eastAsia="en-AU"/>
        </w:rPr>
      </w:pPr>
      <w:r>
        <w:rPr>
          <w:rFonts w:cs="Arial"/>
        </w:rPr>
        <w:t>In this period</w:t>
      </w:r>
      <w:r w:rsidR="00A2504C" w:rsidRPr="00EB3D5A">
        <w:rPr>
          <w:rFonts w:cs="Arial"/>
        </w:rPr>
        <w:t xml:space="preserve">, the Office received </w:t>
      </w:r>
      <w:r w:rsidR="00BB7C2B">
        <w:rPr>
          <w:rFonts w:cs="Arial"/>
        </w:rPr>
        <w:t>6</w:t>
      </w:r>
      <w:r w:rsidR="00A2504C" w:rsidRPr="00EB3D5A">
        <w:rPr>
          <w:rFonts w:cs="Arial"/>
        </w:rPr>
        <w:t xml:space="preserve"> </w:t>
      </w:r>
      <w:r w:rsidR="00A2504C">
        <w:rPr>
          <w:rFonts w:cs="Arial"/>
          <w:color w:val="000000"/>
          <w:lang w:eastAsia="en-AU"/>
        </w:rPr>
        <w:t>cases</w:t>
      </w:r>
      <w:r w:rsidR="00A2504C" w:rsidRPr="00EB3D5A">
        <w:rPr>
          <w:rFonts w:cs="Arial"/>
        </w:rPr>
        <w:t xml:space="preserve"> </w:t>
      </w:r>
      <w:r w:rsidR="00A2504C">
        <w:rPr>
          <w:rFonts w:cs="Arial"/>
        </w:rPr>
        <w:t>about</w:t>
      </w:r>
      <w:r w:rsidR="00A2504C" w:rsidRPr="00EB3D5A">
        <w:rPr>
          <w:rFonts w:cs="Arial"/>
        </w:rPr>
        <w:t xml:space="preserve"> </w:t>
      </w:r>
      <w:r w:rsidR="00BB7C2B">
        <w:rPr>
          <w:rFonts w:cs="Arial"/>
        </w:rPr>
        <w:t>5</w:t>
      </w:r>
      <w:r w:rsidR="00A2504C" w:rsidRPr="00EB3D5A">
        <w:rPr>
          <w:rFonts w:cs="Arial"/>
        </w:rPr>
        <w:t xml:space="preserve"> operating wind farms</w:t>
      </w:r>
      <w:r w:rsidR="00A2504C">
        <w:rPr>
          <w:rFonts w:cs="Arial"/>
        </w:rPr>
        <w:t xml:space="preserve">, compared with </w:t>
      </w:r>
      <w:r w:rsidR="00BB7C2B">
        <w:rPr>
          <w:rFonts w:cs="Arial"/>
        </w:rPr>
        <w:t>5</w:t>
      </w:r>
      <w:r w:rsidR="00A2504C">
        <w:rPr>
          <w:rFonts w:cs="Arial"/>
        </w:rPr>
        <w:t xml:space="preserve"> cases received about</w:t>
      </w:r>
      <w:r w:rsidR="00A2504C" w:rsidRPr="00EB3D5A">
        <w:rPr>
          <w:rFonts w:cs="Arial"/>
        </w:rPr>
        <w:t xml:space="preserve"> </w:t>
      </w:r>
      <w:r w:rsidR="00BB7C2B">
        <w:rPr>
          <w:rFonts w:cs="Arial"/>
        </w:rPr>
        <w:t>4</w:t>
      </w:r>
      <w:r w:rsidR="00A2504C" w:rsidRPr="00EB3D5A">
        <w:rPr>
          <w:rFonts w:cs="Arial"/>
        </w:rPr>
        <w:t xml:space="preserve"> operating wind farms</w:t>
      </w:r>
      <w:r w:rsidR="00A2504C">
        <w:rPr>
          <w:rFonts w:cs="Arial"/>
        </w:rPr>
        <w:t xml:space="preserve"> during 2022. As of</w:t>
      </w:r>
      <w:r w:rsidR="00A2504C" w:rsidRPr="00EB3D5A">
        <w:rPr>
          <w:rFonts w:cs="Arial"/>
        </w:rPr>
        <w:t xml:space="preserve"> </w:t>
      </w:r>
      <w:r w:rsidR="00A2504C" w:rsidRPr="001E4F30">
        <w:rPr>
          <w:rFonts w:cs="Arial"/>
        </w:rPr>
        <w:t>31 December 202</w:t>
      </w:r>
      <w:r w:rsidR="00A2504C">
        <w:rPr>
          <w:rFonts w:cs="Arial"/>
        </w:rPr>
        <w:t>3</w:t>
      </w:r>
      <w:r w:rsidR="00A2504C" w:rsidRPr="001E4F30">
        <w:rPr>
          <w:rFonts w:cs="Arial"/>
        </w:rPr>
        <w:t>,</w:t>
      </w:r>
      <w:r w:rsidR="00A2504C" w:rsidRPr="00A569BD">
        <w:rPr>
          <w:rFonts w:cs="Arial"/>
        </w:rPr>
        <w:t xml:space="preserve"> </w:t>
      </w:r>
      <w:r w:rsidR="00BB7C2B">
        <w:rPr>
          <w:rFonts w:cs="Arial"/>
        </w:rPr>
        <w:t>4</w:t>
      </w:r>
      <w:r w:rsidR="00A2504C" w:rsidRPr="00A569BD">
        <w:rPr>
          <w:rFonts w:cs="Arial"/>
        </w:rPr>
        <w:t xml:space="preserve"> of </w:t>
      </w:r>
      <w:r w:rsidR="00A2504C">
        <w:rPr>
          <w:rFonts w:cs="Arial"/>
        </w:rPr>
        <w:t>these cases</w:t>
      </w:r>
      <w:r w:rsidR="00A2504C" w:rsidRPr="00A569BD">
        <w:rPr>
          <w:rFonts w:cs="Arial"/>
        </w:rPr>
        <w:t xml:space="preserve"> </w:t>
      </w:r>
      <w:r w:rsidR="00A2504C">
        <w:rPr>
          <w:rFonts w:cs="Arial"/>
        </w:rPr>
        <w:t>had been</w:t>
      </w:r>
      <w:r w:rsidR="00A2504C" w:rsidRPr="00A569BD">
        <w:rPr>
          <w:rFonts w:cs="Arial"/>
        </w:rPr>
        <w:t xml:space="preserve"> closed</w:t>
      </w:r>
      <w:r w:rsidR="00A2504C" w:rsidRPr="00A569BD">
        <w:rPr>
          <w:rFonts w:cs="Arial"/>
          <w:color w:val="000000"/>
          <w:lang w:eastAsia="en-AU"/>
        </w:rPr>
        <w:t xml:space="preserve"> and</w:t>
      </w:r>
      <w:r w:rsidR="00A2504C">
        <w:rPr>
          <w:rFonts w:cs="Arial"/>
          <w:color w:val="000000"/>
          <w:lang w:eastAsia="en-AU"/>
        </w:rPr>
        <w:t xml:space="preserve"> </w:t>
      </w:r>
      <w:r w:rsidR="00BB7C2B">
        <w:rPr>
          <w:rFonts w:cs="Arial"/>
          <w:color w:val="000000"/>
          <w:lang w:eastAsia="en-AU"/>
        </w:rPr>
        <w:t>3</w:t>
      </w:r>
      <w:r w:rsidR="00A2504C">
        <w:rPr>
          <w:rFonts w:cs="Arial"/>
          <w:color w:val="000000"/>
          <w:lang w:eastAsia="en-AU"/>
        </w:rPr>
        <w:t xml:space="preserve"> case</w:t>
      </w:r>
      <w:r w:rsidR="00BB7C2B">
        <w:rPr>
          <w:rFonts w:cs="Arial"/>
          <w:color w:val="000000"/>
          <w:lang w:eastAsia="en-AU"/>
        </w:rPr>
        <w:t>s</w:t>
      </w:r>
      <w:r w:rsidR="00A2504C">
        <w:rPr>
          <w:rFonts w:cs="Arial"/>
          <w:color w:val="000000"/>
          <w:lang w:eastAsia="en-AU"/>
        </w:rPr>
        <w:t xml:space="preserve"> remain</w:t>
      </w:r>
      <w:r w:rsidR="00E519AB">
        <w:rPr>
          <w:rFonts w:cs="Arial"/>
          <w:color w:val="000000"/>
          <w:lang w:eastAsia="en-AU"/>
        </w:rPr>
        <w:t>ed</w:t>
      </w:r>
      <w:r w:rsidR="00A2504C">
        <w:rPr>
          <w:rFonts w:cs="Arial"/>
          <w:color w:val="000000"/>
          <w:lang w:eastAsia="en-AU"/>
        </w:rPr>
        <w:t xml:space="preserve"> open.</w:t>
      </w:r>
    </w:p>
    <w:p w14:paraId="26051FCB" w14:textId="66196412" w:rsidR="00A2504C" w:rsidRDefault="00A2504C" w:rsidP="00A2504C">
      <w:pPr>
        <w:rPr>
          <w:rFonts w:cs="Arial"/>
          <w:color w:val="000000"/>
          <w:lang w:eastAsia="en-AU"/>
        </w:rPr>
      </w:pPr>
      <w:r>
        <w:rPr>
          <w:rFonts w:cs="Arial"/>
        </w:rPr>
        <w:t>Between</w:t>
      </w:r>
      <w:r w:rsidRPr="00EB3D5A">
        <w:rPr>
          <w:rFonts w:cs="Arial"/>
        </w:rPr>
        <w:t xml:space="preserve"> 1 January 202</w:t>
      </w:r>
      <w:r>
        <w:rPr>
          <w:rFonts w:cs="Arial"/>
        </w:rPr>
        <w:t>3</w:t>
      </w:r>
      <w:r w:rsidRPr="00EB3D5A">
        <w:rPr>
          <w:rFonts w:cs="Arial"/>
        </w:rPr>
        <w:t xml:space="preserve"> </w:t>
      </w:r>
      <w:r>
        <w:rPr>
          <w:rFonts w:cs="Arial"/>
        </w:rPr>
        <w:t>and</w:t>
      </w:r>
      <w:r w:rsidRPr="00EB3D5A">
        <w:rPr>
          <w:rFonts w:cs="Arial"/>
        </w:rPr>
        <w:t xml:space="preserve"> 31 December 202</w:t>
      </w:r>
      <w:r>
        <w:rPr>
          <w:rFonts w:cs="Arial"/>
        </w:rPr>
        <w:t>3</w:t>
      </w:r>
      <w:r w:rsidRPr="00EB3D5A">
        <w:rPr>
          <w:rFonts w:cs="Arial"/>
        </w:rPr>
        <w:t xml:space="preserve">, the Office received </w:t>
      </w:r>
      <w:r>
        <w:rPr>
          <w:rFonts w:cs="Arial"/>
        </w:rPr>
        <w:t>13</w:t>
      </w:r>
      <w:r w:rsidRPr="00EB3D5A">
        <w:rPr>
          <w:rFonts w:cs="Arial"/>
        </w:rPr>
        <w:t xml:space="preserve"> </w:t>
      </w:r>
      <w:r>
        <w:rPr>
          <w:rFonts w:cs="Arial"/>
          <w:color w:val="000000"/>
          <w:lang w:eastAsia="en-AU"/>
        </w:rPr>
        <w:t>cases</w:t>
      </w:r>
      <w:r w:rsidRPr="00EB3D5A">
        <w:rPr>
          <w:rFonts w:cs="Arial"/>
        </w:rPr>
        <w:t xml:space="preserve"> </w:t>
      </w:r>
      <w:r>
        <w:rPr>
          <w:rFonts w:cs="Arial"/>
        </w:rPr>
        <w:t>about</w:t>
      </w:r>
      <w:r w:rsidRPr="00EB3D5A">
        <w:rPr>
          <w:rFonts w:cs="Arial"/>
        </w:rPr>
        <w:t xml:space="preserve"> </w:t>
      </w:r>
      <w:r w:rsidR="00BB7C2B">
        <w:rPr>
          <w:rFonts w:cs="Arial"/>
        </w:rPr>
        <w:t>3</w:t>
      </w:r>
      <w:r w:rsidRPr="00EB3D5A">
        <w:rPr>
          <w:rFonts w:cs="Arial"/>
        </w:rPr>
        <w:t xml:space="preserve"> </w:t>
      </w:r>
      <w:r>
        <w:rPr>
          <w:rFonts w:cs="Arial"/>
        </w:rPr>
        <w:t xml:space="preserve">proposed offshore </w:t>
      </w:r>
      <w:r w:rsidRPr="00EB3D5A">
        <w:rPr>
          <w:rFonts w:cs="Arial"/>
        </w:rPr>
        <w:t xml:space="preserve">wind </w:t>
      </w:r>
      <w:r>
        <w:rPr>
          <w:rFonts w:cs="Arial"/>
        </w:rPr>
        <w:t>zones. As of</w:t>
      </w:r>
      <w:r w:rsidRPr="00EB3D5A">
        <w:rPr>
          <w:rFonts w:cs="Arial"/>
        </w:rPr>
        <w:t xml:space="preserve"> </w:t>
      </w:r>
      <w:r w:rsidRPr="001E4F30">
        <w:rPr>
          <w:rFonts w:cs="Arial"/>
        </w:rPr>
        <w:t>31 December 202</w:t>
      </w:r>
      <w:r>
        <w:rPr>
          <w:rFonts w:cs="Arial"/>
        </w:rPr>
        <w:t>3</w:t>
      </w:r>
      <w:r w:rsidRPr="001E4F30">
        <w:rPr>
          <w:rFonts w:cs="Arial"/>
        </w:rPr>
        <w:t>,</w:t>
      </w:r>
      <w:r w:rsidRPr="00A569BD">
        <w:rPr>
          <w:rFonts w:cs="Arial"/>
        </w:rPr>
        <w:t xml:space="preserve"> </w:t>
      </w:r>
      <w:r>
        <w:rPr>
          <w:rFonts w:cs="Arial"/>
        </w:rPr>
        <w:t>all these cases</w:t>
      </w:r>
      <w:r w:rsidRPr="00A569BD">
        <w:rPr>
          <w:rFonts w:cs="Arial"/>
        </w:rPr>
        <w:t xml:space="preserve"> </w:t>
      </w:r>
      <w:r w:rsidR="00804F14">
        <w:rPr>
          <w:rFonts w:cs="Arial"/>
        </w:rPr>
        <w:t>were</w:t>
      </w:r>
      <w:r w:rsidRPr="00A569BD">
        <w:rPr>
          <w:rFonts w:cs="Arial"/>
        </w:rPr>
        <w:t xml:space="preserve"> closed</w:t>
      </w:r>
      <w:r>
        <w:rPr>
          <w:rFonts w:cs="Arial"/>
          <w:color w:val="000000"/>
          <w:lang w:eastAsia="en-AU"/>
        </w:rPr>
        <w:t>.</w:t>
      </w:r>
    </w:p>
    <w:p w14:paraId="2DA177F4" w14:textId="55F31425" w:rsidR="00A2504C" w:rsidRDefault="00A2504C" w:rsidP="00A2504C">
      <w:pPr>
        <w:rPr>
          <w:rFonts w:cs="Arial"/>
        </w:rPr>
      </w:pPr>
      <w:r w:rsidRPr="0046524D">
        <w:rPr>
          <w:rFonts w:cs="Arial"/>
          <w:b/>
        </w:rPr>
        <w:t>Figure </w:t>
      </w:r>
      <w:r>
        <w:rPr>
          <w:rFonts w:cs="Arial"/>
          <w:b/>
        </w:rPr>
        <w:t>2</w:t>
      </w:r>
      <w:r>
        <w:rPr>
          <w:rFonts w:cs="Arial"/>
        </w:rPr>
        <w:t xml:space="preserve"> shows</w:t>
      </w:r>
      <w:r w:rsidRPr="00F47E6D">
        <w:rPr>
          <w:rFonts w:cs="Arial"/>
        </w:rPr>
        <w:t xml:space="preserve"> </w:t>
      </w:r>
      <w:r>
        <w:rPr>
          <w:rFonts w:cs="Arial"/>
        </w:rPr>
        <w:t xml:space="preserve">the number of </w:t>
      </w:r>
      <w:r w:rsidRPr="00987AD5">
        <w:rPr>
          <w:rFonts w:cs="Arial"/>
          <w:color w:val="000000"/>
          <w:u w:val="single"/>
          <w:lang w:eastAsia="en-AU"/>
        </w:rPr>
        <w:t>cases</w:t>
      </w:r>
      <w:r w:rsidRPr="007824CD">
        <w:rPr>
          <w:rFonts w:cs="Arial"/>
        </w:rPr>
        <w:t xml:space="preserve"> the Office received </w:t>
      </w:r>
      <w:r>
        <w:rPr>
          <w:rFonts w:cs="Arial"/>
        </w:rPr>
        <w:t>about proposed wind farms, operating wind farms, and offshore wind farms per state, between 1 January 2023 and 31 </w:t>
      </w:r>
      <w:r w:rsidRPr="00F47E6D">
        <w:rPr>
          <w:rFonts w:cs="Arial"/>
        </w:rPr>
        <w:t>December 20</w:t>
      </w:r>
      <w:r>
        <w:rPr>
          <w:rFonts w:cs="Arial"/>
        </w:rPr>
        <w:t xml:space="preserve">23. </w:t>
      </w:r>
    </w:p>
    <w:p w14:paraId="268390E0" w14:textId="2D2D6EF4" w:rsidR="00A2504C" w:rsidRDefault="00E730BC" w:rsidP="00285439">
      <w:pPr>
        <w:spacing w:line="264" w:lineRule="auto"/>
        <w:jc w:val="center"/>
        <w:rPr>
          <w:rFonts w:cs="Arial"/>
          <w:b/>
        </w:rPr>
      </w:pPr>
      <w:r>
        <w:rPr>
          <w:rFonts w:cs="Arial"/>
          <w:b/>
          <w:noProof/>
        </w:rPr>
        <w:drawing>
          <wp:inline distT="0" distB="0" distL="0" distR="0" wp14:anchorId="06158AD9" wp14:editId="65CDE00D">
            <wp:extent cx="5499100" cy="3213100"/>
            <wp:effectExtent l="0" t="0" r="6350" b="6350"/>
            <wp:docPr id="490295017" name="Picture 3" descr="Figure 2 shows the number of cases the Office received about proposed wind farms, operating wind farms, and offshore wind farms per state,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95017" name="Picture 3" descr="Figure 2 shows the number of cases the Office received about proposed wind farms, operating wind farms, and offshore wind farms per state, in 20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66397AFF" w14:textId="77777777" w:rsidR="00B14CA8" w:rsidRDefault="00B14CA8">
      <w:pPr>
        <w:rPr>
          <w:rFonts w:cs="Arial"/>
          <w:b/>
        </w:rPr>
      </w:pPr>
      <w:r>
        <w:rPr>
          <w:rFonts w:cs="Arial"/>
          <w:b/>
        </w:rPr>
        <w:br w:type="page"/>
      </w:r>
    </w:p>
    <w:p w14:paraId="2059B4EC" w14:textId="3E9F5FE6" w:rsidR="00A2504C" w:rsidRDefault="00A2504C" w:rsidP="00A2504C">
      <w:pPr>
        <w:spacing w:line="264" w:lineRule="auto"/>
        <w:rPr>
          <w:rFonts w:cs="Arial"/>
        </w:rPr>
      </w:pPr>
      <w:r w:rsidRPr="007B0053">
        <w:rPr>
          <w:rFonts w:cs="Arial"/>
          <w:b/>
        </w:rPr>
        <w:lastRenderedPageBreak/>
        <w:t xml:space="preserve">Figure </w:t>
      </w:r>
      <w:r>
        <w:rPr>
          <w:rFonts w:cs="Arial"/>
          <w:b/>
        </w:rPr>
        <w:t>3</w:t>
      </w:r>
      <w:r w:rsidRPr="007B0053">
        <w:rPr>
          <w:rFonts w:cs="Arial"/>
          <w:b/>
        </w:rPr>
        <w:t xml:space="preserve"> </w:t>
      </w:r>
      <w:r w:rsidRPr="00ED25A6">
        <w:rPr>
          <w:rFonts w:cs="Arial"/>
        </w:rPr>
        <w:t>shows the number of proposed and operating wind</w:t>
      </w:r>
      <w:r>
        <w:rPr>
          <w:rFonts w:cs="Arial"/>
        </w:rPr>
        <w:t xml:space="preserve"> </w:t>
      </w:r>
      <w:r w:rsidRPr="00ED25A6">
        <w:rPr>
          <w:rFonts w:cs="Arial"/>
        </w:rPr>
        <w:t xml:space="preserve">farm </w:t>
      </w:r>
      <w:r w:rsidRPr="00987AD5">
        <w:rPr>
          <w:rFonts w:cs="Arial"/>
          <w:u w:val="single"/>
        </w:rPr>
        <w:t>projects</w:t>
      </w:r>
      <w:r w:rsidRPr="00ED25A6">
        <w:rPr>
          <w:rFonts w:cs="Arial"/>
        </w:rPr>
        <w:t xml:space="preserve"> per state </w:t>
      </w:r>
      <w:r>
        <w:rPr>
          <w:rFonts w:cs="Arial"/>
        </w:rPr>
        <w:t>about</w:t>
      </w:r>
      <w:r w:rsidRPr="00ED25A6">
        <w:rPr>
          <w:rFonts w:cs="Arial"/>
        </w:rPr>
        <w:t xml:space="preserve"> which </w:t>
      </w:r>
      <w:r w:rsidR="004B77F7">
        <w:rPr>
          <w:rFonts w:cs="Arial"/>
        </w:rPr>
        <w:t>the O</w:t>
      </w:r>
      <w:r w:rsidRPr="00ED25A6">
        <w:rPr>
          <w:rFonts w:cs="Arial"/>
        </w:rPr>
        <w:t>ffice received cases for the period 1 January 202</w:t>
      </w:r>
      <w:r>
        <w:rPr>
          <w:rFonts w:cs="Arial"/>
        </w:rPr>
        <w:t>3</w:t>
      </w:r>
      <w:r w:rsidRPr="00ED25A6">
        <w:rPr>
          <w:rFonts w:cs="Arial"/>
        </w:rPr>
        <w:t xml:space="preserve"> to 31 December 202</w:t>
      </w:r>
      <w:r>
        <w:rPr>
          <w:rFonts w:cs="Arial"/>
        </w:rPr>
        <w:t>3</w:t>
      </w:r>
      <w:r w:rsidRPr="00ED25A6">
        <w:rPr>
          <w:rFonts w:cs="Arial"/>
        </w:rPr>
        <w:t>.</w:t>
      </w:r>
    </w:p>
    <w:p w14:paraId="2C7E8984" w14:textId="15F5201C" w:rsidR="00A2504C" w:rsidRDefault="00E730BC" w:rsidP="00341BA2">
      <w:pPr>
        <w:jc w:val="center"/>
        <w:rPr>
          <w:rFonts w:cs="Arial"/>
        </w:rPr>
      </w:pPr>
      <w:r>
        <w:rPr>
          <w:rFonts w:cs="Arial"/>
          <w:noProof/>
        </w:rPr>
        <w:drawing>
          <wp:inline distT="0" distB="0" distL="0" distR="0" wp14:anchorId="01DB593E" wp14:editId="7071A18C">
            <wp:extent cx="5499100" cy="3213100"/>
            <wp:effectExtent l="0" t="0" r="6350" b="6350"/>
            <wp:docPr id="1445031832" name="Picture 4" descr="Figure 3 shows the number of proposed and operating wind farm projects per state about which the Office received cases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31832" name="Picture 4" descr="Figure 3 shows the number of proposed and operating wind farm projects per state about which the Office received cases in 20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0D6E673F" w14:textId="77777777" w:rsidR="00A2504C" w:rsidRDefault="00A2504C" w:rsidP="00A2504C">
      <w:pPr>
        <w:pStyle w:val="Heading3"/>
      </w:pPr>
      <w:bookmarkStart w:id="27" w:name="_Toc161672793"/>
      <w:r>
        <w:t xml:space="preserve">Solar farms, pumped hydro and energy storage in </w:t>
      </w:r>
      <w:proofErr w:type="gramStart"/>
      <w:r>
        <w:t>2023</w:t>
      </w:r>
      <w:bookmarkEnd w:id="27"/>
      <w:proofErr w:type="gramEnd"/>
    </w:p>
    <w:p w14:paraId="5F7B8AA4" w14:textId="2586E9AC" w:rsidR="00A2504C" w:rsidRDefault="00A2504C" w:rsidP="00A2504C">
      <w:r>
        <w:rPr>
          <w:rFonts w:cs="Arial"/>
        </w:rPr>
        <w:t>Between 1 </w:t>
      </w:r>
      <w:r w:rsidRPr="00EB3D5A">
        <w:rPr>
          <w:rFonts w:cs="Arial"/>
        </w:rPr>
        <w:t>January 20</w:t>
      </w:r>
      <w:r>
        <w:rPr>
          <w:rFonts w:cs="Arial"/>
        </w:rPr>
        <w:t>23</w:t>
      </w:r>
      <w:r w:rsidRPr="00EB3D5A">
        <w:rPr>
          <w:rFonts w:cs="Arial"/>
        </w:rPr>
        <w:t xml:space="preserve"> </w:t>
      </w:r>
      <w:r>
        <w:rPr>
          <w:rFonts w:cs="Arial"/>
        </w:rPr>
        <w:t>and</w:t>
      </w:r>
      <w:r w:rsidRPr="00EB3D5A">
        <w:rPr>
          <w:rFonts w:cs="Arial"/>
        </w:rPr>
        <w:t xml:space="preserve"> 31 December 202</w:t>
      </w:r>
      <w:r>
        <w:rPr>
          <w:rFonts w:cs="Arial"/>
        </w:rPr>
        <w:t>3</w:t>
      </w:r>
      <w:r w:rsidRPr="00EB3D5A">
        <w:rPr>
          <w:rFonts w:cs="Arial"/>
        </w:rPr>
        <w:t xml:space="preserve">, the Office received </w:t>
      </w:r>
      <w:r>
        <w:rPr>
          <w:rFonts w:cs="Arial"/>
        </w:rPr>
        <w:t xml:space="preserve">18 </w:t>
      </w:r>
      <w:r>
        <w:rPr>
          <w:rFonts w:cs="Arial"/>
          <w:color w:val="000000"/>
          <w:lang w:eastAsia="en-AU"/>
        </w:rPr>
        <w:t>cases</w:t>
      </w:r>
      <w:r w:rsidRPr="00EB3D5A">
        <w:rPr>
          <w:rFonts w:cs="Arial"/>
        </w:rPr>
        <w:t xml:space="preserve"> </w:t>
      </w:r>
      <w:r>
        <w:rPr>
          <w:rFonts w:cs="Arial"/>
        </w:rPr>
        <w:t xml:space="preserve">about </w:t>
      </w:r>
      <w:r w:rsidR="00820A9F">
        <w:rPr>
          <w:rFonts w:cs="Arial"/>
        </w:rPr>
        <w:t>4</w:t>
      </w:r>
      <w:r>
        <w:rPr>
          <w:rFonts w:cs="Arial"/>
        </w:rPr>
        <w:t xml:space="preserve"> proposed pumped hydro storage facilities, compared to </w:t>
      </w:r>
      <w:r w:rsidR="00820A9F">
        <w:rPr>
          <w:rFonts w:cs="Arial"/>
        </w:rPr>
        <w:t>2</w:t>
      </w:r>
      <w:r>
        <w:rPr>
          <w:rFonts w:cs="Arial"/>
        </w:rPr>
        <w:t xml:space="preserve"> </w:t>
      </w:r>
      <w:r>
        <w:rPr>
          <w:rFonts w:cs="Arial"/>
          <w:color w:val="000000"/>
          <w:lang w:eastAsia="en-AU"/>
        </w:rPr>
        <w:t>cases</w:t>
      </w:r>
      <w:r w:rsidRPr="00EB3D5A">
        <w:rPr>
          <w:rFonts w:cs="Arial"/>
        </w:rPr>
        <w:t xml:space="preserve"> </w:t>
      </w:r>
      <w:r>
        <w:rPr>
          <w:rFonts w:cs="Arial"/>
        </w:rPr>
        <w:t>about one</w:t>
      </w:r>
      <w:r w:rsidRPr="00EB3D5A">
        <w:rPr>
          <w:rFonts w:cs="Arial"/>
        </w:rPr>
        <w:t xml:space="preserve"> </w:t>
      </w:r>
      <w:r>
        <w:rPr>
          <w:rFonts w:cs="Arial"/>
        </w:rPr>
        <w:t xml:space="preserve">proposed pumped hydro storage facility </w:t>
      </w:r>
      <w:r w:rsidRPr="00EB3D5A">
        <w:rPr>
          <w:rFonts w:cs="Arial"/>
        </w:rPr>
        <w:t>i</w:t>
      </w:r>
      <w:r>
        <w:rPr>
          <w:rFonts w:cs="Arial"/>
        </w:rPr>
        <w:t>n 2022</w:t>
      </w:r>
      <w:r>
        <w:t xml:space="preserve">. </w:t>
      </w:r>
      <w:r>
        <w:rPr>
          <w:rFonts w:cs="Arial"/>
        </w:rPr>
        <w:t>16 </w:t>
      </w:r>
      <w:r w:rsidRPr="003414CB">
        <w:rPr>
          <w:rFonts w:cs="Arial"/>
        </w:rPr>
        <w:t>of the cases received in 202</w:t>
      </w:r>
      <w:r>
        <w:rPr>
          <w:rFonts w:cs="Arial"/>
        </w:rPr>
        <w:t>3</w:t>
      </w:r>
      <w:r w:rsidRPr="003414CB">
        <w:rPr>
          <w:rFonts w:cs="Arial"/>
        </w:rPr>
        <w:t xml:space="preserve"> related to </w:t>
      </w:r>
      <w:r>
        <w:rPr>
          <w:rFonts w:cs="Arial"/>
        </w:rPr>
        <w:t>three</w:t>
      </w:r>
      <w:r w:rsidRPr="003414CB">
        <w:rPr>
          <w:rFonts w:cs="Arial"/>
        </w:rPr>
        <w:t xml:space="preserve"> proposed</w:t>
      </w:r>
      <w:r>
        <w:rPr>
          <w:rFonts w:cs="Arial"/>
        </w:rPr>
        <w:t xml:space="preserve"> pumped hydro storage facilities in Queensland, the other </w:t>
      </w:r>
      <w:r w:rsidR="00CC490A">
        <w:rPr>
          <w:rFonts w:cs="Arial"/>
        </w:rPr>
        <w:t>2</w:t>
      </w:r>
      <w:r w:rsidR="00CC490A" w:rsidRPr="003414CB">
        <w:rPr>
          <w:rFonts w:cs="Arial"/>
        </w:rPr>
        <w:t xml:space="preserve"> </w:t>
      </w:r>
      <w:r>
        <w:rPr>
          <w:rFonts w:cs="Arial"/>
        </w:rPr>
        <w:t xml:space="preserve">cases </w:t>
      </w:r>
      <w:r w:rsidRPr="003414CB">
        <w:rPr>
          <w:rFonts w:cs="Arial"/>
        </w:rPr>
        <w:t>related to</w:t>
      </w:r>
      <w:r>
        <w:rPr>
          <w:rFonts w:cs="Arial"/>
        </w:rPr>
        <w:t xml:space="preserve"> </w:t>
      </w:r>
      <w:r w:rsidR="00CC490A">
        <w:rPr>
          <w:rFonts w:cs="Arial"/>
        </w:rPr>
        <w:t xml:space="preserve">1 </w:t>
      </w:r>
      <w:r w:rsidRPr="003414CB">
        <w:rPr>
          <w:rFonts w:cs="Arial"/>
        </w:rPr>
        <w:t xml:space="preserve">proposed </w:t>
      </w:r>
      <w:r>
        <w:rPr>
          <w:rFonts w:cs="Arial"/>
        </w:rPr>
        <w:t xml:space="preserve">pumped hydro storage facility </w:t>
      </w:r>
      <w:r w:rsidRPr="003414CB">
        <w:rPr>
          <w:rFonts w:cs="Arial"/>
        </w:rPr>
        <w:t>in</w:t>
      </w:r>
      <w:r>
        <w:rPr>
          <w:rFonts w:cs="Arial"/>
        </w:rPr>
        <w:t xml:space="preserve"> New South Wales.</w:t>
      </w:r>
      <w:r w:rsidRPr="003414CB">
        <w:rPr>
          <w:rFonts w:cs="Arial"/>
        </w:rPr>
        <w:t xml:space="preserve"> </w:t>
      </w:r>
      <w:r>
        <w:t>As of</w:t>
      </w:r>
      <w:r w:rsidRPr="00F47E6D">
        <w:t xml:space="preserve"> </w:t>
      </w:r>
      <w:r>
        <w:t>31 </w:t>
      </w:r>
      <w:r w:rsidRPr="00F47E6D">
        <w:t>December 20</w:t>
      </w:r>
      <w:r>
        <w:t xml:space="preserve">23, </w:t>
      </w:r>
      <w:r w:rsidR="00820A9F">
        <w:t>4</w:t>
      </w:r>
      <w:r>
        <w:t xml:space="preserve"> of these </w:t>
      </w:r>
      <w:r>
        <w:rPr>
          <w:rFonts w:cs="Arial"/>
          <w:color w:val="000000"/>
          <w:lang w:eastAsia="en-AU"/>
        </w:rPr>
        <w:t>cases</w:t>
      </w:r>
      <w:r>
        <w:t xml:space="preserve"> remained open.</w:t>
      </w:r>
    </w:p>
    <w:p w14:paraId="21829C9B" w14:textId="594B921B" w:rsidR="00A2504C" w:rsidRDefault="00840A06" w:rsidP="00A2504C">
      <w:r>
        <w:rPr>
          <w:rFonts w:cs="Arial"/>
          <w:b/>
          <w:bCs/>
        </w:rPr>
        <w:t xml:space="preserve">Figure </w:t>
      </w:r>
      <w:r w:rsidRPr="00840A06">
        <w:rPr>
          <w:rFonts w:cs="Arial"/>
        </w:rPr>
        <w:t>4</w:t>
      </w:r>
      <w:r>
        <w:rPr>
          <w:rFonts w:cs="Arial"/>
        </w:rPr>
        <w:t xml:space="preserve"> shows that, b</w:t>
      </w:r>
      <w:r w:rsidR="00A2504C" w:rsidRPr="00840A06">
        <w:rPr>
          <w:rFonts w:cs="Arial"/>
        </w:rPr>
        <w:t>etween</w:t>
      </w:r>
      <w:r w:rsidR="00A2504C">
        <w:rPr>
          <w:rFonts w:cs="Arial"/>
        </w:rPr>
        <w:t xml:space="preserve"> 1 </w:t>
      </w:r>
      <w:r w:rsidR="00A2504C" w:rsidRPr="00EB3D5A">
        <w:rPr>
          <w:rFonts w:cs="Arial"/>
        </w:rPr>
        <w:t>January 20</w:t>
      </w:r>
      <w:r w:rsidR="00A2504C">
        <w:rPr>
          <w:rFonts w:cs="Arial"/>
        </w:rPr>
        <w:t>23</w:t>
      </w:r>
      <w:r w:rsidR="00A2504C" w:rsidRPr="00EB3D5A">
        <w:rPr>
          <w:rFonts w:cs="Arial"/>
        </w:rPr>
        <w:t xml:space="preserve"> </w:t>
      </w:r>
      <w:r w:rsidR="00A2504C">
        <w:rPr>
          <w:rFonts w:cs="Arial"/>
        </w:rPr>
        <w:t>and</w:t>
      </w:r>
      <w:r w:rsidR="00A2504C" w:rsidRPr="00EB3D5A">
        <w:rPr>
          <w:rFonts w:cs="Arial"/>
        </w:rPr>
        <w:t xml:space="preserve"> 31 December 202</w:t>
      </w:r>
      <w:r w:rsidR="00A2504C">
        <w:rPr>
          <w:rFonts w:cs="Arial"/>
        </w:rPr>
        <w:t>3</w:t>
      </w:r>
      <w:r w:rsidR="00A2504C" w:rsidRPr="00EB3D5A">
        <w:rPr>
          <w:rFonts w:cs="Arial"/>
        </w:rPr>
        <w:t xml:space="preserve">, the Office received </w:t>
      </w:r>
      <w:r w:rsidR="00CC490A">
        <w:rPr>
          <w:rFonts w:cs="Arial"/>
        </w:rPr>
        <w:t xml:space="preserve">8 </w:t>
      </w:r>
      <w:r w:rsidR="00A2504C">
        <w:rPr>
          <w:rFonts w:cs="Arial"/>
          <w:color w:val="000000"/>
          <w:lang w:eastAsia="en-AU"/>
        </w:rPr>
        <w:t>cases</w:t>
      </w:r>
      <w:r w:rsidR="00A2504C" w:rsidRPr="00EB3D5A">
        <w:rPr>
          <w:rFonts w:cs="Arial"/>
        </w:rPr>
        <w:t xml:space="preserve"> </w:t>
      </w:r>
      <w:r w:rsidR="00A2504C">
        <w:rPr>
          <w:rFonts w:cs="Arial"/>
        </w:rPr>
        <w:t xml:space="preserve">about </w:t>
      </w:r>
      <w:r w:rsidR="00CC490A">
        <w:rPr>
          <w:rFonts w:cs="Arial"/>
        </w:rPr>
        <w:t>3</w:t>
      </w:r>
      <w:r w:rsidR="00CC490A" w:rsidRPr="00EB3D5A">
        <w:rPr>
          <w:rFonts w:cs="Arial"/>
        </w:rPr>
        <w:t xml:space="preserve"> </w:t>
      </w:r>
      <w:r w:rsidR="00A2504C">
        <w:rPr>
          <w:rFonts w:cs="Arial"/>
        </w:rPr>
        <w:t xml:space="preserve">proposed solar farms, compared to </w:t>
      </w:r>
      <w:r w:rsidR="00CC490A">
        <w:rPr>
          <w:rFonts w:cs="Arial"/>
        </w:rPr>
        <w:t xml:space="preserve">2 </w:t>
      </w:r>
      <w:r w:rsidR="00A2504C">
        <w:rPr>
          <w:rFonts w:cs="Arial"/>
          <w:color w:val="000000"/>
          <w:lang w:eastAsia="en-AU"/>
        </w:rPr>
        <w:t>cases</w:t>
      </w:r>
      <w:r w:rsidR="00A2504C" w:rsidRPr="00EB3D5A">
        <w:rPr>
          <w:rFonts w:cs="Arial"/>
        </w:rPr>
        <w:t xml:space="preserve"> </w:t>
      </w:r>
      <w:r w:rsidR="00A2504C">
        <w:rPr>
          <w:rFonts w:cs="Arial"/>
        </w:rPr>
        <w:t xml:space="preserve">received about </w:t>
      </w:r>
      <w:r w:rsidR="00CC490A">
        <w:rPr>
          <w:rFonts w:cs="Arial"/>
        </w:rPr>
        <w:t>2</w:t>
      </w:r>
      <w:r w:rsidR="00CC490A" w:rsidRPr="00EB3D5A">
        <w:rPr>
          <w:rFonts w:cs="Arial"/>
        </w:rPr>
        <w:t xml:space="preserve"> </w:t>
      </w:r>
      <w:r w:rsidR="00A2504C">
        <w:rPr>
          <w:rFonts w:cs="Arial"/>
        </w:rPr>
        <w:t>proposed solar farms during 2022</w:t>
      </w:r>
      <w:r w:rsidR="00A2504C" w:rsidRPr="00EB3D5A">
        <w:rPr>
          <w:rFonts w:cs="Arial"/>
        </w:rPr>
        <w:t xml:space="preserve">. </w:t>
      </w:r>
      <w:r w:rsidR="00A2504C">
        <w:rPr>
          <w:rFonts w:cs="Arial"/>
        </w:rPr>
        <w:t>All cases received in 202</w:t>
      </w:r>
      <w:r w:rsidR="000B6DA1">
        <w:rPr>
          <w:rFonts w:cs="Arial"/>
        </w:rPr>
        <w:t>3</w:t>
      </w:r>
      <w:r w:rsidR="00A2504C">
        <w:rPr>
          <w:rFonts w:cs="Arial"/>
        </w:rPr>
        <w:t xml:space="preserve"> related to proposed solar farms in Victoria</w:t>
      </w:r>
      <w:r w:rsidR="00A2504C" w:rsidRPr="00EB3D5A">
        <w:rPr>
          <w:rFonts w:cs="Arial"/>
        </w:rPr>
        <w:t>.</w:t>
      </w:r>
      <w:r w:rsidR="00A2504C">
        <w:rPr>
          <w:rFonts w:cs="Arial"/>
        </w:rPr>
        <w:t xml:space="preserve"> </w:t>
      </w:r>
      <w:r w:rsidR="00A2504C">
        <w:t>As of</w:t>
      </w:r>
      <w:r w:rsidR="00A2504C" w:rsidRPr="00F47E6D">
        <w:t xml:space="preserve"> </w:t>
      </w:r>
      <w:r w:rsidR="00A2504C">
        <w:t>31 </w:t>
      </w:r>
      <w:r w:rsidR="00A2504C" w:rsidRPr="00F47E6D">
        <w:t>December 20</w:t>
      </w:r>
      <w:r w:rsidR="00A2504C">
        <w:t xml:space="preserve">23, </w:t>
      </w:r>
      <w:r w:rsidR="00CC490A">
        <w:t xml:space="preserve">1 </w:t>
      </w:r>
      <w:r w:rsidR="00A2504C">
        <w:t xml:space="preserve">of these </w:t>
      </w:r>
      <w:r w:rsidR="00A2504C">
        <w:rPr>
          <w:rFonts w:cs="Arial"/>
          <w:color w:val="000000"/>
          <w:lang w:eastAsia="en-AU"/>
        </w:rPr>
        <w:t>cases</w:t>
      </w:r>
      <w:r w:rsidR="00A2504C">
        <w:t xml:space="preserve"> remained open.</w:t>
      </w:r>
    </w:p>
    <w:p w14:paraId="2ABEB6C9" w14:textId="515CD285" w:rsidR="00A2504C" w:rsidRDefault="00E730BC" w:rsidP="00B14CA8">
      <w:pPr>
        <w:jc w:val="center"/>
      </w:pPr>
      <w:r>
        <w:rPr>
          <w:noProof/>
        </w:rPr>
        <w:drawing>
          <wp:inline distT="0" distB="0" distL="0" distR="0" wp14:anchorId="76B2CEF9" wp14:editId="0AF41035">
            <wp:extent cx="5499100" cy="3213100"/>
            <wp:effectExtent l="0" t="0" r="6350" b="6350"/>
            <wp:docPr id="747457012" name="Picture 5" descr="Figure 4 shows the number of cases about solar farm and pumped hydro projects received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57012" name="Picture 5" descr="Figure 4 shows the number of cases about solar farm and pumped hydro projects received in 20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7176F3A4" w14:textId="7EF84A33" w:rsidR="00A2504C" w:rsidRDefault="003A52B2" w:rsidP="00A2504C">
      <w:pPr>
        <w:pStyle w:val="Heading3"/>
      </w:pPr>
      <w:bookmarkStart w:id="28" w:name="_Toc161672794"/>
      <w:r>
        <w:lastRenderedPageBreak/>
        <w:t>Tran</w:t>
      </w:r>
      <w:r w:rsidR="00A2504C">
        <w:t>smission</w:t>
      </w:r>
      <w:r>
        <w:t xml:space="preserve">-related cases </w:t>
      </w:r>
      <w:r w:rsidR="00A2504C" w:rsidRPr="00EB3D5A">
        <w:t>in 202</w:t>
      </w:r>
      <w:r w:rsidR="00A2504C">
        <w:t>3</w:t>
      </w:r>
      <w:bookmarkEnd w:id="28"/>
    </w:p>
    <w:p w14:paraId="7B6DC460" w14:textId="4DD0CC1E" w:rsidR="00A2504C" w:rsidRDefault="00A2504C" w:rsidP="00A2504C">
      <w:pPr>
        <w:spacing w:line="264" w:lineRule="auto"/>
        <w:rPr>
          <w:rFonts w:cs="Arial"/>
        </w:rPr>
      </w:pPr>
      <w:r>
        <w:rPr>
          <w:rFonts w:cs="Arial"/>
        </w:rPr>
        <w:t>Between</w:t>
      </w:r>
      <w:r w:rsidRPr="00EB3D5A">
        <w:rPr>
          <w:rFonts w:cs="Arial"/>
        </w:rPr>
        <w:t xml:space="preserve"> 1 January 20</w:t>
      </w:r>
      <w:r>
        <w:rPr>
          <w:rFonts w:cs="Arial"/>
        </w:rPr>
        <w:t>23</w:t>
      </w:r>
      <w:r w:rsidRPr="00EB3D5A">
        <w:rPr>
          <w:rFonts w:cs="Arial"/>
        </w:rPr>
        <w:t xml:space="preserve"> </w:t>
      </w:r>
      <w:r>
        <w:rPr>
          <w:rFonts w:cs="Arial"/>
        </w:rPr>
        <w:t>and</w:t>
      </w:r>
      <w:r w:rsidRPr="00EB3D5A">
        <w:rPr>
          <w:rFonts w:cs="Arial"/>
        </w:rPr>
        <w:t xml:space="preserve"> 31 December 202</w:t>
      </w:r>
      <w:r>
        <w:rPr>
          <w:rFonts w:cs="Arial"/>
        </w:rPr>
        <w:t>3</w:t>
      </w:r>
      <w:r w:rsidRPr="00EB3D5A">
        <w:rPr>
          <w:rFonts w:cs="Arial"/>
        </w:rPr>
        <w:t xml:space="preserve">, the Office received </w:t>
      </w:r>
      <w:r>
        <w:rPr>
          <w:rFonts w:cs="Arial"/>
        </w:rPr>
        <w:t>5</w:t>
      </w:r>
      <w:r w:rsidR="003A52B2">
        <w:rPr>
          <w:rFonts w:cs="Arial"/>
        </w:rPr>
        <w:t>7</w:t>
      </w:r>
      <w:r w:rsidRPr="00EB3D5A">
        <w:rPr>
          <w:rFonts w:cs="Arial"/>
        </w:rPr>
        <w:t xml:space="preserve"> </w:t>
      </w:r>
      <w:r>
        <w:rPr>
          <w:rFonts w:cs="Arial"/>
          <w:color w:val="000000"/>
          <w:lang w:eastAsia="en-AU"/>
        </w:rPr>
        <w:t>cases</w:t>
      </w:r>
      <w:r w:rsidRPr="00EB3D5A">
        <w:rPr>
          <w:rFonts w:cs="Arial"/>
        </w:rPr>
        <w:t xml:space="preserve"> </w:t>
      </w:r>
      <w:r>
        <w:rPr>
          <w:rFonts w:cs="Arial"/>
        </w:rPr>
        <w:t>about</w:t>
      </w:r>
      <w:r w:rsidRPr="00EB3D5A">
        <w:rPr>
          <w:rFonts w:cs="Arial"/>
        </w:rPr>
        <w:t xml:space="preserve"> </w:t>
      </w:r>
      <w:r w:rsidR="00A82E35">
        <w:rPr>
          <w:rFonts w:cs="Arial"/>
        </w:rPr>
        <w:t>9</w:t>
      </w:r>
      <w:r>
        <w:rPr>
          <w:rFonts w:cs="Arial"/>
        </w:rPr>
        <w:t xml:space="preserve"> large-scale transmission projects, compared to 44 cases received about </w:t>
      </w:r>
      <w:r w:rsidR="00CC490A">
        <w:rPr>
          <w:rFonts w:cs="Arial"/>
        </w:rPr>
        <w:t xml:space="preserve">4 </w:t>
      </w:r>
      <w:r>
        <w:rPr>
          <w:rFonts w:cs="Arial"/>
        </w:rPr>
        <w:t>transmission projects in 2022</w:t>
      </w:r>
      <w:r w:rsidRPr="00EB3D5A">
        <w:rPr>
          <w:rFonts w:cs="Arial"/>
        </w:rPr>
        <w:t xml:space="preserve">. </w:t>
      </w:r>
      <w:r>
        <w:rPr>
          <w:rFonts w:cs="Arial"/>
        </w:rPr>
        <w:t xml:space="preserve">Of the cases received in 2023, 31 cases </w:t>
      </w:r>
      <w:r w:rsidRPr="00EB3D5A">
        <w:rPr>
          <w:rFonts w:cs="Arial"/>
        </w:rPr>
        <w:t xml:space="preserve">related to </w:t>
      </w:r>
      <w:r w:rsidR="003A52B2">
        <w:rPr>
          <w:rFonts w:cs="Arial"/>
        </w:rPr>
        <w:t>3</w:t>
      </w:r>
      <w:r w:rsidRPr="00EB3D5A">
        <w:rPr>
          <w:rFonts w:cs="Arial"/>
        </w:rPr>
        <w:t xml:space="preserve"> </w:t>
      </w:r>
      <w:r>
        <w:rPr>
          <w:rFonts w:cs="Arial"/>
        </w:rPr>
        <w:t>transmission projects</w:t>
      </w:r>
      <w:r w:rsidRPr="00EB3D5A">
        <w:rPr>
          <w:rFonts w:cs="Arial"/>
        </w:rPr>
        <w:t xml:space="preserve"> in Victoria</w:t>
      </w:r>
      <w:r>
        <w:rPr>
          <w:rFonts w:cs="Arial"/>
        </w:rPr>
        <w:t>, 2</w:t>
      </w:r>
      <w:r w:rsidR="003A52B2">
        <w:rPr>
          <w:rFonts w:cs="Arial"/>
        </w:rPr>
        <w:t>3</w:t>
      </w:r>
      <w:r>
        <w:rPr>
          <w:rFonts w:cs="Arial"/>
        </w:rPr>
        <w:t xml:space="preserve"> </w:t>
      </w:r>
      <w:r>
        <w:rPr>
          <w:rFonts w:cs="Arial"/>
          <w:color w:val="000000"/>
          <w:lang w:eastAsia="en-AU"/>
        </w:rPr>
        <w:t>cases</w:t>
      </w:r>
      <w:r w:rsidRPr="00EB3D5A">
        <w:rPr>
          <w:rFonts w:cs="Arial"/>
        </w:rPr>
        <w:t xml:space="preserve"> </w:t>
      </w:r>
      <w:r>
        <w:rPr>
          <w:rFonts w:cs="Arial"/>
        </w:rPr>
        <w:t>related</w:t>
      </w:r>
      <w:r w:rsidRPr="00EB3D5A">
        <w:rPr>
          <w:rFonts w:cs="Arial"/>
        </w:rPr>
        <w:t xml:space="preserve"> to </w:t>
      </w:r>
      <w:r w:rsidR="00A82E35">
        <w:rPr>
          <w:rFonts w:cs="Arial"/>
        </w:rPr>
        <w:br/>
        <w:t>5</w:t>
      </w:r>
      <w:r w:rsidRPr="00EB3D5A">
        <w:rPr>
          <w:rFonts w:cs="Arial"/>
        </w:rPr>
        <w:t xml:space="preserve"> </w:t>
      </w:r>
      <w:r>
        <w:rPr>
          <w:rFonts w:cs="Arial"/>
        </w:rPr>
        <w:t>proposed</w:t>
      </w:r>
      <w:r w:rsidRPr="00EB3D5A">
        <w:rPr>
          <w:rFonts w:cs="Arial"/>
        </w:rPr>
        <w:t xml:space="preserve"> </w:t>
      </w:r>
      <w:r>
        <w:rPr>
          <w:rFonts w:cs="Arial"/>
        </w:rPr>
        <w:t>transmission project</w:t>
      </w:r>
      <w:r w:rsidR="00A82E35">
        <w:rPr>
          <w:rFonts w:cs="Arial"/>
        </w:rPr>
        <w:t>s</w:t>
      </w:r>
      <w:r w:rsidRPr="00EB3D5A">
        <w:rPr>
          <w:rFonts w:cs="Arial"/>
        </w:rPr>
        <w:t xml:space="preserve"> in </w:t>
      </w:r>
      <w:r>
        <w:rPr>
          <w:rFonts w:cs="Arial"/>
        </w:rPr>
        <w:t xml:space="preserve">New South Wales, </w:t>
      </w:r>
      <w:r w:rsidR="003A52B2">
        <w:rPr>
          <w:rFonts w:cs="Arial"/>
        </w:rPr>
        <w:t>2</w:t>
      </w:r>
      <w:r>
        <w:rPr>
          <w:rFonts w:cs="Arial"/>
        </w:rPr>
        <w:t xml:space="preserve"> cases related to </w:t>
      </w:r>
      <w:r w:rsidR="00CC490A">
        <w:rPr>
          <w:rFonts w:cs="Arial"/>
        </w:rPr>
        <w:t xml:space="preserve">1 </w:t>
      </w:r>
      <w:r>
        <w:rPr>
          <w:rFonts w:cs="Arial"/>
        </w:rPr>
        <w:t>transmission project</w:t>
      </w:r>
      <w:r w:rsidRPr="00EB3D5A">
        <w:rPr>
          <w:rFonts w:cs="Arial"/>
        </w:rPr>
        <w:t xml:space="preserve"> in </w:t>
      </w:r>
      <w:r>
        <w:rPr>
          <w:rFonts w:cs="Arial"/>
        </w:rPr>
        <w:t xml:space="preserve">Tasmania and </w:t>
      </w:r>
      <w:r w:rsidR="00CC490A">
        <w:rPr>
          <w:rFonts w:cs="Arial"/>
        </w:rPr>
        <w:t xml:space="preserve">1 </w:t>
      </w:r>
      <w:r>
        <w:rPr>
          <w:rFonts w:cs="Arial"/>
        </w:rPr>
        <w:t xml:space="preserve">case related to </w:t>
      </w:r>
      <w:r w:rsidR="00CC490A">
        <w:rPr>
          <w:rFonts w:cs="Arial"/>
        </w:rPr>
        <w:t xml:space="preserve">1 </w:t>
      </w:r>
      <w:r>
        <w:rPr>
          <w:rFonts w:cs="Arial"/>
        </w:rPr>
        <w:t>project</w:t>
      </w:r>
      <w:r w:rsidRPr="00EB3D5A">
        <w:rPr>
          <w:rFonts w:cs="Arial"/>
        </w:rPr>
        <w:t xml:space="preserve"> in </w:t>
      </w:r>
      <w:r>
        <w:rPr>
          <w:rFonts w:cs="Arial"/>
        </w:rPr>
        <w:t>the Australian Capital Territory</w:t>
      </w:r>
      <w:r w:rsidRPr="00EB3D5A">
        <w:rPr>
          <w:rFonts w:cs="Arial"/>
        </w:rPr>
        <w:t>.</w:t>
      </w:r>
      <w:r>
        <w:rPr>
          <w:rFonts w:cs="Arial"/>
        </w:rPr>
        <w:t xml:space="preserve"> </w:t>
      </w:r>
    </w:p>
    <w:p w14:paraId="30954EAC" w14:textId="0A79C282" w:rsidR="00A2504C" w:rsidRDefault="00A2504C" w:rsidP="00A2504C">
      <w:pPr>
        <w:spacing w:line="264" w:lineRule="auto"/>
        <w:rPr>
          <w:rFonts w:cs="Arial"/>
        </w:rPr>
      </w:pPr>
      <w:r w:rsidRPr="00EB3D5A">
        <w:rPr>
          <w:rFonts w:cs="Arial"/>
          <w:b/>
        </w:rPr>
        <w:t>Figure</w:t>
      </w:r>
      <w:r>
        <w:rPr>
          <w:rFonts w:cs="Arial"/>
          <w:b/>
        </w:rPr>
        <w:t xml:space="preserve"> </w:t>
      </w:r>
      <w:r w:rsidR="00E519AB">
        <w:rPr>
          <w:rFonts w:cs="Arial"/>
          <w:b/>
        </w:rPr>
        <w:t>5</w:t>
      </w:r>
      <w:r w:rsidRPr="00EB3D5A">
        <w:rPr>
          <w:rFonts w:cs="Arial"/>
        </w:rPr>
        <w:t xml:space="preserve"> </w:t>
      </w:r>
      <w:r>
        <w:rPr>
          <w:rFonts w:cs="Arial"/>
        </w:rPr>
        <w:t>shows</w:t>
      </w:r>
      <w:r w:rsidRPr="00EB3D5A">
        <w:rPr>
          <w:rFonts w:cs="Arial"/>
        </w:rPr>
        <w:t xml:space="preserve"> the number </w:t>
      </w:r>
      <w:r w:rsidRPr="007824CD">
        <w:rPr>
          <w:rFonts w:cs="Arial"/>
        </w:rPr>
        <w:t xml:space="preserve">of </w:t>
      </w:r>
      <w:r w:rsidRPr="007824CD">
        <w:rPr>
          <w:rFonts w:cs="Arial"/>
          <w:color w:val="000000"/>
          <w:lang w:eastAsia="en-AU"/>
        </w:rPr>
        <w:t>cases</w:t>
      </w:r>
      <w:r w:rsidRPr="007824CD">
        <w:rPr>
          <w:rFonts w:cs="Arial"/>
        </w:rPr>
        <w:t xml:space="preserve"> received about proposed</w:t>
      </w:r>
      <w:r w:rsidRPr="00EB3D5A">
        <w:rPr>
          <w:rFonts w:cs="Arial"/>
        </w:rPr>
        <w:t xml:space="preserve"> </w:t>
      </w:r>
      <w:r>
        <w:rPr>
          <w:rFonts w:cs="Arial"/>
        </w:rPr>
        <w:t>large-scale transmission projects</w:t>
      </w:r>
      <w:r w:rsidRPr="00EB3D5A">
        <w:rPr>
          <w:rFonts w:cs="Arial"/>
        </w:rPr>
        <w:t xml:space="preserve">, </w:t>
      </w:r>
      <w:r>
        <w:rPr>
          <w:rFonts w:cs="Arial"/>
        </w:rPr>
        <w:t>per</w:t>
      </w:r>
      <w:r w:rsidRPr="00EB3D5A">
        <w:rPr>
          <w:rFonts w:cs="Arial"/>
        </w:rPr>
        <w:t xml:space="preserve"> state, </w:t>
      </w:r>
      <w:r>
        <w:rPr>
          <w:rFonts w:cs="Arial"/>
        </w:rPr>
        <w:t>between 1 January</w:t>
      </w:r>
      <w:r w:rsidRPr="00CB7184">
        <w:rPr>
          <w:rFonts w:cs="Arial"/>
        </w:rPr>
        <w:t xml:space="preserve"> 20</w:t>
      </w:r>
      <w:r>
        <w:rPr>
          <w:rFonts w:cs="Arial"/>
        </w:rPr>
        <w:t>23 and</w:t>
      </w:r>
      <w:r w:rsidRPr="00EB3D5A">
        <w:rPr>
          <w:rFonts w:cs="Arial"/>
        </w:rPr>
        <w:t xml:space="preserve"> 31 December 202</w:t>
      </w:r>
      <w:r>
        <w:rPr>
          <w:rFonts w:cs="Arial"/>
        </w:rPr>
        <w:t>3.</w:t>
      </w:r>
    </w:p>
    <w:p w14:paraId="47300D91" w14:textId="384ABAD8" w:rsidR="00C46E9C" w:rsidRDefault="00840A06" w:rsidP="00B14CA8">
      <w:pPr>
        <w:jc w:val="center"/>
      </w:pPr>
      <w:r>
        <w:rPr>
          <w:noProof/>
        </w:rPr>
        <w:drawing>
          <wp:inline distT="0" distB="0" distL="0" distR="0" wp14:anchorId="0730922C" wp14:editId="6D7BE690">
            <wp:extent cx="5499100" cy="3213100"/>
            <wp:effectExtent l="0" t="0" r="6350" b="6350"/>
            <wp:docPr id="986094676" name="Picture 6" descr="Figure 5 shows the number of cases received about proposed large-scale transmission projects, per state,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94676" name="Picture 6" descr="Figure 5 shows the number of cases received about proposed large-scale transmission projects, per state, in 20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4575428A" w14:textId="0B9C64C4" w:rsidR="00A2504C" w:rsidRPr="002D7001" w:rsidRDefault="00A2504C" w:rsidP="00A2504C">
      <w:pPr>
        <w:pStyle w:val="Heading2"/>
      </w:pPr>
      <w:bookmarkStart w:id="29" w:name="_Toc161672795"/>
      <w:r w:rsidRPr="002D7001">
        <w:t>Case activity since inception</w:t>
      </w:r>
      <w:bookmarkEnd w:id="29"/>
    </w:p>
    <w:p w14:paraId="3E868B6A" w14:textId="77777777" w:rsidR="00A2504C" w:rsidRPr="00080CEC" w:rsidRDefault="00A2504C" w:rsidP="00A2504C">
      <w:pPr>
        <w:spacing w:line="264" w:lineRule="auto"/>
        <w:rPr>
          <w:rFonts w:cs="Arial"/>
        </w:rPr>
      </w:pPr>
      <w:r w:rsidRPr="00080CEC">
        <w:rPr>
          <w:rFonts w:cs="Arial"/>
        </w:rPr>
        <w:t xml:space="preserve">From the Office’s inception </w:t>
      </w:r>
      <w:r>
        <w:rPr>
          <w:rFonts w:cs="Arial"/>
        </w:rPr>
        <w:t xml:space="preserve">on 1 November 2015 </w:t>
      </w:r>
      <w:r w:rsidRPr="00080CEC">
        <w:rPr>
          <w:rFonts w:cs="Arial"/>
        </w:rPr>
        <w:t>to 31 December 20</w:t>
      </w:r>
      <w:r>
        <w:rPr>
          <w:rFonts w:cs="Arial"/>
        </w:rPr>
        <w:t>23</w:t>
      </w:r>
      <w:r w:rsidRPr="00080CEC">
        <w:rPr>
          <w:rFonts w:cs="Arial"/>
        </w:rPr>
        <w:t>, the Office</w:t>
      </w:r>
      <w:r>
        <w:rPr>
          <w:rFonts w:cs="Arial"/>
        </w:rPr>
        <w:t xml:space="preserve"> has</w:t>
      </w:r>
      <w:r w:rsidRPr="00080CEC">
        <w:rPr>
          <w:rFonts w:cs="Arial"/>
        </w:rPr>
        <w:t xml:space="preserve"> </w:t>
      </w:r>
      <w:r>
        <w:rPr>
          <w:rFonts w:cs="Arial"/>
        </w:rPr>
        <w:t>received a total of 975</w:t>
      </w:r>
      <w:r w:rsidRPr="00957219">
        <w:rPr>
          <w:rFonts w:cs="Arial"/>
        </w:rPr>
        <w:t xml:space="preserve"> </w:t>
      </w:r>
      <w:r>
        <w:rPr>
          <w:rFonts w:cs="Arial"/>
          <w:color w:val="000000"/>
          <w:lang w:eastAsia="en-AU"/>
        </w:rPr>
        <w:t>cases</w:t>
      </w:r>
      <w:r>
        <w:rPr>
          <w:rFonts w:cs="Arial"/>
        </w:rPr>
        <w:t>, comprising:</w:t>
      </w:r>
    </w:p>
    <w:p w14:paraId="4A9F2ED5" w14:textId="77777777" w:rsidR="00A2504C" w:rsidRPr="001D6743" w:rsidRDefault="00A2504C" w:rsidP="00A4794B">
      <w:pPr>
        <w:pStyle w:val="ListParagraph"/>
        <w:numPr>
          <w:ilvl w:val="0"/>
          <w:numId w:val="8"/>
        </w:numPr>
        <w:autoSpaceDE w:val="0"/>
        <w:autoSpaceDN w:val="0"/>
        <w:adjustRightInd w:val="0"/>
        <w:spacing w:line="264" w:lineRule="auto"/>
        <w:rPr>
          <w:rFonts w:cs="Arial"/>
          <w:color w:val="000000"/>
          <w:lang w:eastAsia="en-AU"/>
        </w:rPr>
      </w:pPr>
      <w:r w:rsidRPr="001D6743">
        <w:rPr>
          <w:rFonts w:cs="Arial"/>
          <w:color w:val="000000"/>
          <w:lang w:eastAsia="en-AU"/>
        </w:rPr>
        <w:t>4</w:t>
      </w:r>
      <w:r>
        <w:rPr>
          <w:rFonts w:cs="Arial"/>
          <w:color w:val="000000"/>
          <w:lang w:eastAsia="en-AU"/>
        </w:rPr>
        <w:t>6</w:t>
      </w:r>
      <w:r w:rsidRPr="001D6743">
        <w:rPr>
          <w:rFonts w:cs="Arial"/>
          <w:color w:val="000000"/>
          <w:lang w:eastAsia="en-AU"/>
        </w:rPr>
        <w:t xml:space="preserve">0 </w:t>
      </w:r>
      <w:r w:rsidRPr="001D6743">
        <w:rPr>
          <w:rFonts w:cs="Arial"/>
        </w:rPr>
        <w:t>cases</w:t>
      </w:r>
      <w:r w:rsidRPr="001D6743">
        <w:rPr>
          <w:rFonts w:cs="Arial"/>
          <w:color w:val="000000"/>
          <w:lang w:eastAsia="en-AU"/>
        </w:rPr>
        <w:t xml:space="preserve"> </w:t>
      </w:r>
      <w:r>
        <w:rPr>
          <w:rFonts w:cs="Arial"/>
          <w:color w:val="000000"/>
          <w:lang w:eastAsia="en-AU"/>
        </w:rPr>
        <w:t>about</w:t>
      </w:r>
      <w:r w:rsidRPr="001D6743">
        <w:rPr>
          <w:rFonts w:cs="Arial"/>
          <w:color w:val="000000"/>
          <w:lang w:eastAsia="en-AU"/>
        </w:rPr>
        <w:t xml:space="preserve"> </w:t>
      </w:r>
      <w:r>
        <w:rPr>
          <w:rFonts w:cs="Arial"/>
          <w:color w:val="000000"/>
          <w:lang w:eastAsia="en-AU"/>
        </w:rPr>
        <w:t>91</w:t>
      </w:r>
      <w:r w:rsidRPr="001D6743">
        <w:rPr>
          <w:rFonts w:cs="Arial"/>
          <w:color w:val="000000"/>
          <w:lang w:eastAsia="en-AU"/>
        </w:rPr>
        <w:t xml:space="preserve"> proposed wind farms</w:t>
      </w:r>
    </w:p>
    <w:p w14:paraId="57D48C9A" w14:textId="2F9675D2" w:rsidR="00A2504C" w:rsidRPr="001D6743" w:rsidRDefault="00A2504C" w:rsidP="00A4794B">
      <w:pPr>
        <w:pStyle w:val="ListParagraph"/>
        <w:numPr>
          <w:ilvl w:val="0"/>
          <w:numId w:val="8"/>
        </w:numPr>
        <w:spacing w:line="264" w:lineRule="auto"/>
        <w:rPr>
          <w:rFonts w:cs="Arial"/>
        </w:rPr>
      </w:pPr>
      <w:r>
        <w:rPr>
          <w:rFonts w:cs="Arial"/>
        </w:rPr>
        <w:t>21</w:t>
      </w:r>
      <w:r w:rsidR="00A82E35">
        <w:rPr>
          <w:rFonts w:cs="Arial"/>
        </w:rPr>
        <w:t>2</w:t>
      </w:r>
      <w:r w:rsidRPr="001D6743">
        <w:rPr>
          <w:rFonts w:cs="Arial"/>
        </w:rPr>
        <w:t xml:space="preserve"> cases </w:t>
      </w:r>
      <w:r>
        <w:rPr>
          <w:rFonts w:cs="Arial"/>
        </w:rPr>
        <w:t>about</w:t>
      </w:r>
      <w:r w:rsidRPr="001D6743">
        <w:rPr>
          <w:rFonts w:cs="Arial"/>
        </w:rPr>
        <w:t xml:space="preserve"> </w:t>
      </w:r>
      <w:r w:rsidR="00A82E35">
        <w:rPr>
          <w:rFonts w:cs="Arial"/>
        </w:rPr>
        <w:t>11</w:t>
      </w:r>
      <w:r w:rsidRPr="001D6743">
        <w:rPr>
          <w:rFonts w:cs="Arial"/>
        </w:rPr>
        <w:t xml:space="preserve"> </w:t>
      </w:r>
      <w:bookmarkStart w:id="30" w:name="_Hlk124935927"/>
      <w:r w:rsidRPr="001D6743">
        <w:rPr>
          <w:rFonts w:cs="Arial"/>
        </w:rPr>
        <w:t>proposed large-scale transmission projects</w:t>
      </w:r>
      <w:bookmarkEnd w:id="30"/>
    </w:p>
    <w:p w14:paraId="1022C704" w14:textId="77777777" w:rsidR="00A2504C" w:rsidRPr="001D6743" w:rsidRDefault="00A2504C" w:rsidP="00A4794B">
      <w:pPr>
        <w:pStyle w:val="ListParagraph"/>
        <w:numPr>
          <w:ilvl w:val="0"/>
          <w:numId w:val="8"/>
        </w:numPr>
        <w:autoSpaceDE w:val="0"/>
        <w:autoSpaceDN w:val="0"/>
        <w:adjustRightInd w:val="0"/>
        <w:spacing w:line="264" w:lineRule="auto"/>
        <w:rPr>
          <w:rFonts w:cs="Arial"/>
          <w:color w:val="000000"/>
          <w:lang w:eastAsia="en-AU"/>
        </w:rPr>
      </w:pPr>
      <w:r w:rsidRPr="001D6743">
        <w:rPr>
          <w:rFonts w:cs="Arial"/>
          <w:color w:val="000000"/>
          <w:lang w:eastAsia="en-AU"/>
        </w:rPr>
        <w:t>1</w:t>
      </w:r>
      <w:r>
        <w:rPr>
          <w:rFonts w:cs="Arial"/>
          <w:color w:val="000000"/>
          <w:lang w:eastAsia="en-AU"/>
        </w:rPr>
        <w:t>41</w:t>
      </w:r>
      <w:r w:rsidRPr="001D6743">
        <w:rPr>
          <w:rFonts w:cs="Arial"/>
          <w:color w:val="000000"/>
          <w:lang w:eastAsia="en-AU"/>
        </w:rPr>
        <w:t xml:space="preserve"> </w:t>
      </w:r>
      <w:r w:rsidRPr="001D6743">
        <w:rPr>
          <w:rFonts w:cs="Arial"/>
        </w:rPr>
        <w:t>cases</w:t>
      </w:r>
      <w:r w:rsidRPr="001D6743">
        <w:rPr>
          <w:rFonts w:cs="Arial"/>
          <w:color w:val="000000"/>
          <w:lang w:eastAsia="en-AU"/>
        </w:rPr>
        <w:t xml:space="preserve"> that did not specify a particular project or development</w:t>
      </w:r>
    </w:p>
    <w:p w14:paraId="21399A7B" w14:textId="77777777" w:rsidR="00A2504C" w:rsidRPr="001D6743" w:rsidRDefault="00A2504C" w:rsidP="00A4794B">
      <w:pPr>
        <w:pStyle w:val="ListParagraph"/>
        <w:numPr>
          <w:ilvl w:val="0"/>
          <w:numId w:val="8"/>
        </w:numPr>
        <w:spacing w:line="264" w:lineRule="auto"/>
        <w:rPr>
          <w:rFonts w:cs="Arial"/>
        </w:rPr>
      </w:pPr>
      <w:r>
        <w:rPr>
          <w:rFonts w:cs="Arial"/>
          <w:color w:val="000000"/>
          <w:lang w:eastAsia="en-AU"/>
        </w:rPr>
        <w:t>103</w:t>
      </w:r>
      <w:r w:rsidRPr="001D6743">
        <w:rPr>
          <w:rFonts w:cs="Arial"/>
          <w:color w:val="000000"/>
          <w:lang w:eastAsia="en-AU"/>
        </w:rPr>
        <w:t xml:space="preserve"> </w:t>
      </w:r>
      <w:r w:rsidRPr="001D6743">
        <w:rPr>
          <w:rFonts w:cs="Arial"/>
        </w:rPr>
        <w:t>cases</w:t>
      </w:r>
      <w:r w:rsidRPr="001D6743">
        <w:rPr>
          <w:rFonts w:cs="Arial"/>
          <w:color w:val="000000"/>
          <w:lang w:eastAsia="en-AU"/>
        </w:rPr>
        <w:t xml:space="preserve"> </w:t>
      </w:r>
      <w:r>
        <w:rPr>
          <w:rFonts w:cs="Arial"/>
          <w:color w:val="000000"/>
          <w:lang w:eastAsia="en-AU"/>
        </w:rPr>
        <w:t>about</w:t>
      </w:r>
      <w:r w:rsidRPr="001D6743">
        <w:rPr>
          <w:rFonts w:cs="Arial"/>
          <w:color w:val="000000"/>
          <w:lang w:eastAsia="en-AU"/>
        </w:rPr>
        <w:t xml:space="preserve"> 2</w:t>
      </w:r>
      <w:r>
        <w:rPr>
          <w:rFonts w:cs="Arial"/>
          <w:color w:val="000000"/>
          <w:lang w:eastAsia="en-AU"/>
        </w:rPr>
        <w:t>8</w:t>
      </w:r>
      <w:r w:rsidRPr="001D6743">
        <w:rPr>
          <w:rFonts w:cs="Arial"/>
          <w:color w:val="000000"/>
          <w:lang w:eastAsia="en-AU"/>
        </w:rPr>
        <w:t xml:space="preserve"> operating wind farms</w:t>
      </w:r>
    </w:p>
    <w:p w14:paraId="39E812BD" w14:textId="77777777" w:rsidR="00A2504C" w:rsidRPr="001D6743" w:rsidRDefault="00A2504C" w:rsidP="00A4794B">
      <w:pPr>
        <w:pStyle w:val="ListParagraph"/>
        <w:numPr>
          <w:ilvl w:val="0"/>
          <w:numId w:val="8"/>
        </w:numPr>
        <w:autoSpaceDE w:val="0"/>
        <w:autoSpaceDN w:val="0"/>
        <w:adjustRightInd w:val="0"/>
        <w:spacing w:line="264" w:lineRule="auto"/>
        <w:rPr>
          <w:rFonts w:cs="Arial"/>
          <w:color w:val="000000"/>
          <w:lang w:eastAsia="en-AU"/>
        </w:rPr>
      </w:pPr>
      <w:r>
        <w:rPr>
          <w:rFonts w:cs="Arial"/>
          <w:color w:val="000000"/>
          <w:lang w:eastAsia="en-AU"/>
        </w:rPr>
        <w:t>25</w:t>
      </w:r>
      <w:r w:rsidRPr="001D6743">
        <w:rPr>
          <w:rFonts w:cs="Arial"/>
          <w:color w:val="000000"/>
          <w:lang w:eastAsia="en-AU"/>
        </w:rPr>
        <w:t xml:space="preserve"> </w:t>
      </w:r>
      <w:r w:rsidRPr="001D6743">
        <w:rPr>
          <w:rFonts w:cs="Arial"/>
        </w:rPr>
        <w:t>cases</w:t>
      </w:r>
      <w:r w:rsidRPr="001D6743">
        <w:rPr>
          <w:rFonts w:cs="Arial"/>
          <w:color w:val="000000"/>
          <w:lang w:eastAsia="en-AU"/>
        </w:rPr>
        <w:t xml:space="preserve"> </w:t>
      </w:r>
      <w:r>
        <w:rPr>
          <w:rFonts w:cs="Arial"/>
          <w:color w:val="000000"/>
          <w:lang w:eastAsia="en-AU"/>
        </w:rPr>
        <w:t>about</w:t>
      </w:r>
      <w:r w:rsidRPr="001D6743">
        <w:rPr>
          <w:rFonts w:cs="Arial"/>
          <w:color w:val="000000"/>
          <w:lang w:eastAsia="en-AU"/>
        </w:rPr>
        <w:t xml:space="preserve"> </w:t>
      </w:r>
      <w:r w:rsidRPr="00F84929">
        <w:rPr>
          <w:rFonts w:cs="Arial"/>
          <w:color w:val="000000"/>
          <w:lang w:eastAsia="en-AU"/>
        </w:rPr>
        <w:t>1</w:t>
      </w:r>
      <w:r>
        <w:rPr>
          <w:rFonts w:cs="Arial"/>
          <w:color w:val="000000"/>
          <w:lang w:eastAsia="en-AU"/>
        </w:rPr>
        <w:t>5</w:t>
      </w:r>
      <w:r w:rsidRPr="001D6743">
        <w:rPr>
          <w:rFonts w:cs="Arial"/>
          <w:color w:val="000000"/>
          <w:lang w:eastAsia="en-AU"/>
        </w:rPr>
        <w:t xml:space="preserve"> proposed solar farms</w:t>
      </w:r>
    </w:p>
    <w:p w14:paraId="17239D07" w14:textId="46513657" w:rsidR="00A2504C" w:rsidRDefault="00A2504C" w:rsidP="00A4794B">
      <w:pPr>
        <w:pStyle w:val="ListParagraph"/>
        <w:numPr>
          <w:ilvl w:val="0"/>
          <w:numId w:val="8"/>
        </w:numPr>
        <w:autoSpaceDE w:val="0"/>
        <w:autoSpaceDN w:val="0"/>
        <w:adjustRightInd w:val="0"/>
        <w:spacing w:line="264" w:lineRule="auto"/>
        <w:rPr>
          <w:rFonts w:cs="Arial"/>
          <w:color w:val="000000"/>
          <w:lang w:eastAsia="en-AU"/>
        </w:rPr>
      </w:pPr>
      <w:r>
        <w:rPr>
          <w:rFonts w:cs="Arial"/>
          <w:color w:val="000000"/>
          <w:lang w:eastAsia="en-AU"/>
        </w:rPr>
        <w:t>20</w:t>
      </w:r>
      <w:r w:rsidRPr="001D6743">
        <w:rPr>
          <w:rFonts w:cs="Arial"/>
          <w:color w:val="000000"/>
          <w:lang w:eastAsia="en-AU"/>
        </w:rPr>
        <w:t xml:space="preserve"> </w:t>
      </w:r>
      <w:r w:rsidRPr="001D6743">
        <w:rPr>
          <w:rFonts w:cs="Arial"/>
        </w:rPr>
        <w:t>cases</w:t>
      </w:r>
      <w:r w:rsidRPr="001D6743">
        <w:rPr>
          <w:rFonts w:cs="Arial"/>
          <w:color w:val="000000"/>
          <w:lang w:eastAsia="en-AU"/>
        </w:rPr>
        <w:t xml:space="preserve"> </w:t>
      </w:r>
      <w:r>
        <w:rPr>
          <w:rFonts w:cs="Arial"/>
          <w:color w:val="000000"/>
          <w:lang w:eastAsia="en-AU"/>
        </w:rPr>
        <w:t>about</w:t>
      </w:r>
      <w:r w:rsidRPr="001D6743">
        <w:rPr>
          <w:rFonts w:cs="Arial"/>
          <w:color w:val="000000"/>
          <w:lang w:eastAsia="en-AU"/>
        </w:rPr>
        <w:t xml:space="preserve"> </w:t>
      </w:r>
      <w:r w:rsidR="006F5BAC">
        <w:rPr>
          <w:rFonts w:cs="Arial"/>
          <w:color w:val="000000"/>
          <w:lang w:eastAsia="en-AU"/>
        </w:rPr>
        <w:t>5</w:t>
      </w:r>
      <w:r w:rsidRPr="001D6743">
        <w:rPr>
          <w:rFonts w:cs="Arial"/>
          <w:color w:val="000000"/>
          <w:lang w:eastAsia="en-AU"/>
        </w:rPr>
        <w:t xml:space="preserve"> proposed pumped hydro storage facilit</w:t>
      </w:r>
      <w:r>
        <w:rPr>
          <w:rFonts w:cs="Arial"/>
          <w:color w:val="000000"/>
          <w:lang w:eastAsia="en-AU"/>
        </w:rPr>
        <w:t>ies</w:t>
      </w:r>
    </w:p>
    <w:p w14:paraId="4C4BCA24" w14:textId="3A32C8F0" w:rsidR="00A2504C" w:rsidRPr="00865017" w:rsidRDefault="00A2504C" w:rsidP="00A4794B">
      <w:pPr>
        <w:pStyle w:val="ListParagraph"/>
        <w:numPr>
          <w:ilvl w:val="0"/>
          <w:numId w:val="8"/>
        </w:numPr>
        <w:autoSpaceDE w:val="0"/>
        <w:autoSpaceDN w:val="0"/>
        <w:adjustRightInd w:val="0"/>
        <w:spacing w:line="264" w:lineRule="auto"/>
        <w:rPr>
          <w:rFonts w:cs="Arial"/>
          <w:color w:val="000000"/>
          <w:lang w:eastAsia="en-AU"/>
        </w:rPr>
      </w:pPr>
      <w:r>
        <w:rPr>
          <w:rFonts w:cs="Arial"/>
          <w:color w:val="000000"/>
          <w:lang w:eastAsia="en-AU"/>
        </w:rPr>
        <w:t>14 cases</w:t>
      </w:r>
      <w:r w:rsidRPr="00516FA6">
        <w:rPr>
          <w:rFonts w:cs="Arial"/>
        </w:rPr>
        <w:t xml:space="preserve"> </w:t>
      </w:r>
      <w:r w:rsidRPr="00955E7F">
        <w:rPr>
          <w:rFonts w:cs="Arial"/>
        </w:rPr>
        <w:t xml:space="preserve">about </w:t>
      </w:r>
      <w:r w:rsidR="006F5BAC">
        <w:rPr>
          <w:rFonts w:cs="Arial"/>
        </w:rPr>
        <w:t>4</w:t>
      </w:r>
      <w:r w:rsidRPr="00516FA6">
        <w:rPr>
          <w:rFonts w:cs="Arial"/>
        </w:rPr>
        <w:t xml:space="preserve"> proposed offshore wind zones</w:t>
      </w:r>
      <w:r w:rsidR="00A82E35">
        <w:rPr>
          <w:rFonts w:cs="Arial"/>
        </w:rPr>
        <w:t>.</w:t>
      </w:r>
    </w:p>
    <w:p w14:paraId="3A994729" w14:textId="44E56C7C" w:rsidR="00A2504C" w:rsidRPr="001D6743" w:rsidRDefault="00A2504C" w:rsidP="00A2504C">
      <w:pPr>
        <w:autoSpaceDE w:val="0"/>
        <w:autoSpaceDN w:val="0"/>
        <w:adjustRightInd w:val="0"/>
        <w:spacing w:line="264" w:lineRule="auto"/>
        <w:rPr>
          <w:rFonts w:cs="Arial"/>
          <w:color w:val="000000"/>
          <w:lang w:eastAsia="en-AU"/>
        </w:rPr>
      </w:pPr>
      <w:r w:rsidRPr="001D6743">
        <w:rPr>
          <w:rFonts w:cs="Arial"/>
          <w:color w:val="000000"/>
          <w:lang w:eastAsia="en-AU"/>
        </w:rPr>
        <w:t xml:space="preserve">Of </w:t>
      </w:r>
      <w:r>
        <w:rPr>
          <w:rFonts w:cs="Arial"/>
          <w:color w:val="000000"/>
          <w:lang w:eastAsia="en-AU"/>
        </w:rPr>
        <w:t>the</w:t>
      </w:r>
      <w:r w:rsidRPr="001D6743">
        <w:rPr>
          <w:rFonts w:cs="Arial"/>
          <w:color w:val="000000"/>
          <w:lang w:eastAsia="en-AU"/>
        </w:rPr>
        <w:t xml:space="preserve"> </w:t>
      </w:r>
      <w:r w:rsidR="002421BF">
        <w:rPr>
          <w:rFonts w:cs="Arial"/>
          <w:color w:val="000000"/>
          <w:lang w:eastAsia="en-AU"/>
        </w:rPr>
        <w:t xml:space="preserve">total </w:t>
      </w:r>
      <w:r>
        <w:rPr>
          <w:rFonts w:cs="Arial"/>
        </w:rPr>
        <w:t>975</w:t>
      </w:r>
      <w:r w:rsidRPr="001D6743">
        <w:rPr>
          <w:rFonts w:cs="Arial"/>
          <w:color w:val="000000"/>
          <w:lang w:eastAsia="en-AU"/>
        </w:rPr>
        <w:t xml:space="preserve"> cases</w:t>
      </w:r>
      <w:r w:rsidR="002421BF">
        <w:rPr>
          <w:rFonts w:cs="Arial"/>
          <w:color w:val="000000"/>
          <w:lang w:eastAsia="en-AU"/>
        </w:rPr>
        <w:t xml:space="preserve"> that the Office received</w:t>
      </w:r>
      <w:r w:rsidRPr="001D6743">
        <w:rPr>
          <w:rFonts w:cs="Arial"/>
          <w:color w:val="000000"/>
          <w:lang w:eastAsia="en-AU"/>
        </w:rPr>
        <w:t xml:space="preserve">, </w:t>
      </w:r>
      <w:r>
        <w:rPr>
          <w:rFonts w:cs="Arial"/>
          <w:color w:val="000000"/>
          <w:lang w:eastAsia="en-AU"/>
        </w:rPr>
        <w:t xml:space="preserve">938 </w:t>
      </w:r>
      <w:r w:rsidRPr="001D6743">
        <w:rPr>
          <w:rFonts w:cs="Arial"/>
          <w:color w:val="000000"/>
          <w:lang w:eastAsia="en-AU"/>
        </w:rPr>
        <w:t>cases had been closed</w:t>
      </w:r>
      <w:r>
        <w:rPr>
          <w:rFonts w:cs="Arial"/>
          <w:color w:val="000000"/>
          <w:lang w:eastAsia="en-AU"/>
        </w:rPr>
        <w:t xml:space="preserve"> as </w:t>
      </w:r>
      <w:r w:rsidRPr="001D6743">
        <w:rPr>
          <w:rFonts w:cs="Arial"/>
          <w:color w:val="000000"/>
          <w:lang w:eastAsia="en-AU"/>
        </w:rPr>
        <w:t>of 31 December 202</w:t>
      </w:r>
      <w:r>
        <w:rPr>
          <w:rFonts w:cs="Arial"/>
          <w:color w:val="000000"/>
          <w:lang w:eastAsia="en-AU"/>
        </w:rPr>
        <w:t>3</w:t>
      </w:r>
      <w:r w:rsidRPr="001D6743">
        <w:rPr>
          <w:rFonts w:cs="Arial"/>
          <w:color w:val="000000"/>
          <w:lang w:eastAsia="en-AU"/>
        </w:rPr>
        <w:t>. The remaining</w:t>
      </w:r>
      <w:r>
        <w:rPr>
          <w:rFonts w:cs="Arial"/>
          <w:color w:val="000000"/>
          <w:lang w:eastAsia="en-AU"/>
        </w:rPr>
        <w:t xml:space="preserve"> 37 </w:t>
      </w:r>
      <w:r w:rsidRPr="001D6743">
        <w:rPr>
          <w:rFonts w:cs="Arial"/>
          <w:color w:val="000000"/>
          <w:lang w:eastAsia="en-AU"/>
        </w:rPr>
        <w:t>cases were at various stages of the complaint handling process.</w:t>
      </w:r>
    </w:p>
    <w:p w14:paraId="22D26DA8" w14:textId="77777777" w:rsidR="00A82E35" w:rsidRDefault="00A82E35">
      <w:pPr>
        <w:rPr>
          <w:rFonts w:cs="Arial"/>
          <w:b/>
        </w:rPr>
      </w:pPr>
      <w:r>
        <w:rPr>
          <w:rFonts w:cs="Arial"/>
          <w:b/>
        </w:rPr>
        <w:br w:type="page"/>
      </w:r>
    </w:p>
    <w:p w14:paraId="254BC3BE" w14:textId="49537C40" w:rsidR="00A2504C" w:rsidRDefault="00A2504C" w:rsidP="00A2504C">
      <w:pPr>
        <w:spacing w:line="264" w:lineRule="auto"/>
        <w:rPr>
          <w:rFonts w:cs="Arial"/>
        </w:rPr>
      </w:pPr>
      <w:r w:rsidRPr="001D6743">
        <w:rPr>
          <w:rFonts w:cs="Arial"/>
          <w:b/>
        </w:rPr>
        <w:lastRenderedPageBreak/>
        <w:t xml:space="preserve">Figure </w:t>
      </w:r>
      <w:r>
        <w:rPr>
          <w:rFonts w:cs="Arial"/>
          <w:b/>
        </w:rPr>
        <w:t>6</w:t>
      </w:r>
      <w:r w:rsidRPr="001D6743">
        <w:rPr>
          <w:rFonts w:cs="Arial"/>
          <w:b/>
        </w:rPr>
        <w:t xml:space="preserve"> </w:t>
      </w:r>
      <w:r w:rsidRPr="001D6743">
        <w:rPr>
          <w:rFonts w:cs="Arial"/>
          <w:color w:val="000000"/>
        </w:rPr>
        <w:t xml:space="preserve">shows the </w:t>
      </w:r>
      <w:r w:rsidRPr="001D6743">
        <w:rPr>
          <w:rFonts w:cs="Arial"/>
        </w:rPr>
        <w:t xml:space="preserve">number of cases the Office has received </w:t>
      </w:r>
      <w:r>
        <w:rPr>
          <w:rFonts w:cs="Arial"/>
        </w:rPr>
        <w:t xml:space="preserve">and the number of cases the Office has closed </w:t>
      </w:r>
      <w:r w:rsidRPr="001D6743">
        <w:rPr>
          <w:rFonts w:cs="Arial"/>
        </w:rPr>
        <w:t>each calendar year since the commencement of the Commissioner’s role in November 2015.</w:t>
      </w:r>
    </w:p>
    <w:p w14:paraId="66A10D50" w14:textId="715ACA1B" w:rsidR="00A2504C" w:rsidRDefault="00840A06" w:rsidP="00A2504C">
      <w:pPr>
        <w:spacing w:line="264" w:lineRule="auto"/>
        <w:jc w:val="center"/>
        <w:rPr>
          <w:noProof/>
        </w:rPr>
      </w:pPr>
      <w:r>
        <w:rPr>
          <w:noProof/>
        </w:rPr>
        <w:drawing>
          <wp:inline distT="0" distB="0" distL="0" distR="0" wp14:anchorId="444CE2A9" wp14:editId="25E44A24">
            <wp:extent cx="4864735" cy="3462655"/>
            <wp:effectExtent l="0" t="0" r="0" b="4445"/>
            <wp:docPr id="764013058" name="Picture 7" descr="Figure 6 shows the number of cases the Office has received and the number of cases the Office has closed each calendar year since the commencement of the Commissioner’s role in Nov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13058" name="Picture 7" descr="Figure 6 shows the number of cases the Office has received and the number of cases the Office has closed each calendar year since the commencement of the Commissioner’s role in November 20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64735" cy="3462655"/>
                    </a:xfrm>
                    <a:prstGeom prst="rect">
                      <a:avLst/>
                    </a:prstGeom>
                    <a:noFill/>
                  </pic:spPr>
                </pic:pic>
              </a:graphicData>
            </a:graphic>
          </wp:inline>
        </w:drawing>
      </w:r>
    </w:p>
    <w:p w14:paraId="4B88A63B" w14:textId="77777777" w:rsidR="00A2504C" w:rsidRDefault="00A2504C" w:rsidP="00A2504C">
      <w:pPr>
        <w:spacing w:line="264" w:lineRule="auto"/>
        <w:jc w:val="right"/>
        <w:rPr>
          <w:rFonts w:cs="Arial"/>
          <w:b/>
        </w:rPr>
      </w:pPr>
      <w:r w:rsidRPr="00EB3D5A">
        <w:rPr>
          <w:rFonts w:cs="Arial"/>
          <w:i/>
          <w:sz w:val="16"/>
          <w:szCs w:val="16"/>
        </w:rPr>
        <w:t xml:space="preserve">*2015-16 – refers to </w:t>
      </w:r>
      <w:r>
        <w:rPr>
          <w:rFonts w:cs="Arial"/>
          <w:i/>
          <w:sz w:val="16"/>
          <w:szCs w:val="16"/>
        </w:rPr>
        <w:t>case volumes from</w:t>
      </w:r>
      <w:r w:rsidRPr="00EB3D5A">
        <w:rPr>
          <w:rFonts w:cs="Arial"/>
          <w:i/>
          <w:sz w:val="16"/>
          <w:szCs w:val="16"/>
        </w:rPr>
        <w:t xml:space="preserve"> inception of the Office on 1 November 2015 </w:t>
      </w:r>
      <w:r>
        <w:rPr>
          <w:rFonts w:cs="Arial"/>
          <w:i/>
          <w:sz w:val="16"/>
          <w:szCs w:val="16"/>
        </w:rPr>
        <w:t>through</w:t>
      </w:r>
      <w:r w:rsidRPr="00EB3D5A">
        <w:rPr>
          <w:rFonts w:cs="Arial"/>
          <w:i/>
          <w:sz w:val="16"/>
          <w:szCs w:val="16"/>
        </w:rPr>
        <w:t xml:space="preserve"> 31 December 2016</w:t>
      </w:r>
    </w:p>
    <w:p w14:paraId="41D524C8" w14:textId="77777777" w:rsidR="00840A06" w:rsidRDefault="009F007A" w:rsidP="00840A06">
      <w:r w:rsidRPr="009E19A7">
        <w:rPr>
          <w:b/>
          <w:bCs/>
        </w:rPr>
        <w:t xml:space="preserve">Figure 7 </w:t>
      </w:r>
      <w:r>
        <w:t>shows the total cases received by project type and stage. It illustrates the ongoing trend of case numbers for proposed projects being far greater than for operating projects.</w:t>
      </w:r>
    </w:p>
    <w:p w14:paraId="589FCCCA" w14:textId="5082B7E1" w:rsidR="009F007A" w:rsidRDefault="00840A06" w:rsidP="00840A06">
      <w:r>
        <w:br/>
      </w:r>
      <w:r>
        <w:rPr>
          <w:noProof/>
        </w:rPr>
        <w:drawing>
          <wp:inline distT="0" distB="0" distL="0" distR="0" wp14:anchorId="3D54AF33" wp14:editId="3E73B4CD">
            <wp:extent cx="6669405" cy="3877310"/>
            <wp:effectExtent l="0" t="0" r="0" b="8890"/>
            <wp:docPr id="395980194" name="Picture 8" descr="Figure 7 shows the total cases received by project type and s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80194" name="Picture 8" descr="Figure 7 shows the total cases received by project type and stage.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9405" cy="3877310"/>
                    </a:xfrm>
                    <a:prstGeom prst="rect">
                      <a:avLst/>
                    </a:prstGeom>
                    <a:noFill/>
                  </pic:spPr>
                </pic:pic>
              </a:graphicData>
            </a:graphic>
          </wp:inline>
        </w:drawing>
      </w:r>
    </w:p>
    <w:p w14:paraId="63D89211" w14:textId="22F93F97" w:rsidR="008901CF" w:rsidRPr="008901CF" w:rsidRDefault="008901CF" w:rsidP="008901CF">
      <w:pPr>
        <w:spacing w:line="264" w:lineRule="auto"/>
        <w:jc w:val="right"/>
      </w:pPr>
      <w:r w:rsidRPr="008901CF">
        <w:rPr>
          <w:rFonts w:cs="Arial"/>
          <w:i/>
          <w:sz w:val="16"/>
          <w:szCs w:val="16"/>
        </w:rPr>
        <w:t>*2015-16 – refers to case volumes from inception of the Office on 1 November 2015 through 31 December 2016</w:t>
      </w:r>
      <w:r w:rsidR="002421BF">
        <w:rPr>
          <w:rFonts w:cs="Arial"/>
          <w:i/>
          <w:sz w:val="16"/>
          <w:szCs w:val="16"/>
        </w:rPr>
        <w:t>.</w:t>
      </w:r>
    </w:p>
    <w:p w14:paraId="650FFFA5" w14:textId="77777777" w:rsidR="00840A06" w:rsidRDefault="009F007A" w:rsidP="009F007A">
      <w:r w:rsidRPr="008901CF">
        <w:rPr>
          <w:b/>
          <w:bCs/>
        </w:rPr>
        <w:lastRenderedPageBreak/>
        <w:t>Figure 8</w:t>
      </w:r>
      <w:r>
        <w:t xml:space="preserve"> shows the total cases received from each state per year since the inception of the Office in November 2015.</w:t>
      </w:r>
    </w:p>
    <w:p w14:paraId="254FB5A7" w14:textId="2DB71E3E" w:rsidR="009F007A" w:rsidRDefault="00840A06" w:rsidP="00840A06">
      <w:pPr>
        <w:jc w:val="center"/>
      </w:pPr>
      <w:r>
        <w:rPr>
          <w:noProof/>
        </w:rPr>
        <w:drawing>
          <wp:inline distT="0" distB="0" distL="0" distR="0" wp14:anchorId="3BE58AE8" wp14:editId="14DFE1EF">
            <wp:extent cx="6071870" cy="4194175"/>
            <wp:effectExtent l="0" t="0" r="5080" b="0"/>
            <wp:docPr id="1805856187" name="Picture 9" descr="Figure 8 shows the total cases received from each state per year since the inception of the Office in Nov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56187" name="Picture 9" descr="Figure 8 shows the total cases received from each state per year since the inception of the Office in November 20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71870" cy="4194175"/>
                    </a:xfrm>
                    <a:prstGeom prst="rect">
                      <a:avLst/>
                    </a:prstGeom>
                    <a:noFill/>
                  </pic:spPr>
                </pic:pic>
              </a:graphicData>
            </a:graphic>
          </wp:inline>
        </w:drawing>
      </w:r>
    </w:p>
    <w:p w14:paraId="2783381D" w14:textId="77777777" w:rsidR="00D71FD2" w:rsidRPr="008901CF" w:rsidRDefault="00D71FD2" w:rsidP="00D71FD2">
      <w:pPr>
        <w:spacing w:line="264" w:lineRule="auto"/>
        <w:jc w:val="right"/>
      </w:pPr>
      <w:r w:rsidRPr="008901CF">
        <w:rPr>
          <w:rFonts w:cs="Arial"/>
          <w:i/>
          <w:sz w:val="16"/>
          <w:szCs w:val="16"/>
        </w:rPr>
        <w:t>*2015-16 – refers to case volumes from inception of the Office on 1 November 2015 through 31 December 2016</w:t>
      </w:r>
    </w:p>
    <w:p w14:paraId="7D4128DD" w14:textId="77777777" w:rsidR="00E6619F" w:rsidRDefault="00E6619F">
      <w:pPr>
        <w:rPr>
          <w:rFonts w:cs="Arial"/>
          <w:b/>
          <w:i/>
        </w:rPr>
      </w:pPr>
      <w:bookmarkStart w:id="31" w:name="_Toc161672796"/>
      <w:r>
        <w:br w:type="page"/>
      </w:r>
    </w:p>
    <w:p w14:paraId="545DFC0D" w14:textId="3849AB66" w:rsidR="00A2504C" w:rsidRPr="003329B0" w:rsidRDefault="00A2504C" w:rsidP="00A2504C">
      <w:pPr>
        <w:pStyle w:val="Heading3"/>
      </w:pPr>
      <w:r w:rsidRPr="003329B0">
        <w:lastRenderedPageBreak/>
        <w:t>Wind farms – overview 2015-202</w:t>
      </w:r>
      <w:r>
        <w:t>3</w:t>
      </w:r>
      <w:bookmarkEnd w:id="31"/>
    </w:p>
    <w:p w14:paraId="349B57AA" w14:textId="3A4E584E" w:rsidR="00A2504C" w:rsidRPr="00EB3D5A" w:rsidRDefault="00A2504C" w:rsidP="00A2504C">
      <w:pPr>
        <w:rPr>
          <w:rFonts w:cs="Arial"/>
        </w:rPr>
      </w:pPr>
      <w:r w:rsidRPr="00EB3D5A">
        <w:rPr>
          <w:rFonts w:cs="Arial"/>
          <w:b/>
        </w:rPr>
        <w:t xml:space="preserve">Figure </w:t>
      </w:r>
      <w:r w:rsidR="00D71FD2">
        <w:rPr>
          <w:rFonts w:cs="Arial"/>
          <w:b/>
        </w:rPr>
        <w:t>9</w:t>
      </w:r>
      <w:r w:rsidRPr="00EB3D5A">
        <w:rPr>
          <w:rFonts w:cs="Arial"/>
        </w:rPr>
        <w:t xml:space="preserve"> </w:t>
      </w:r>
      <w:r>
        <w:rPr>
          <w:rFonts w:cs="Arial"/>
        </w:rPr>
        <w:t xml:space="preserve">shows </w:t>
      </w:r>
      <w:r w:rsidRPr="00EB3D5A">
        <w:rPr>
          <w:rFonts w:cs="Arial"/>
        </w:rPr>
        <w:t xml:space="preserve">the </w:t>
      </w:r>
      <w:r>
        <w:rPr>
          <w:rFonts w:cs="Arial"/>
        </w:rPr>
        <w:t>total number</w:t>
      </w:r>
      <w:r w:rsidRPr="00EB3D5A">
        <w:rPr>
          <w:rFonts w:cs="Arial"/>
        </w:rPr>
        <w:t xml:space="preserve"> of </w:t>
      </w:r>
      <w:r>
        <w:rPr>
          <w:rFonts w:cs="Arial"/>
          <w:color w:val="000000"/>
          <w:lang w:eastAsia="en-AU"/>
        </w:rPr>
        <w:t>cases</w:t>
      </w:r>
      <w:r w:rsidRPr="00EB3D5A">
        <w:rPr>
          <w:rFonts w:cs="Arial"/>
        </w:rPr>
        <w:t xml:space="preserve"> </w:t>
      </w:r>
      <w:r>
        <w:rPr>
          <w:rFonts w:cs="Arial"/>
        </w:rPr>
        <w:t>about</w:t>
      </w:r>
      <w:r w:rsidRPr="00EB3D5A">
        <w:rPr>
          <w:rFonts w:cs="Arial"/>
        </w:rPr>
        <w:t xml:space="preserve"> </w:t>
      </w:r>
      <w:r>
        <w:rPr>
          <w:rFonts w:cs="Arial"/>
        </w:rPr>
        <w:t xml:space="preserve">proposed wind farms compared to the total number of cases about operating </w:t>
      </w:r>
      <w:r w:rsidRPr="00EB3D5A">
        <w:rPr>
          <w:rFonts w:cs="Arial"/>
        </w:rPr>
        <w:t xml:space="preserve">wind farms </w:t>
      </w:r>
      <w:r>
        <w:rPr>
          <w:rFonts w:cs="Arial"/>
        </w:rPr>
        <w:t>per</w:t>
      </w:r>
      <w:r w:rsidRPr="00EB3D5A">
        <w:rPr>
          <w:rFonts w:cs="Arial"/>
        </w:rPr>
        <w:t xml:space="preserve"> </w:t>
      </w:r>
      <w:r>
        <w:rPr>
          <w:rFonts w:cs="Arial"/>
        </w:rPr>
        <w:t>s</w:t>
      </w:r>
      <w:r w:rsidRPr="00EB3D5A">
        <w:rPr>
          <w:rFonts w:cs="Arial"/>
        </w:rPr>
        <w:t>tate, from November 2015 to 31 December 202</w:t>
      </w:r>
      <w:r w:rsidR="00A85D31">
        <w:rPr>
          <w:rFonts w:cs="Arial"/>
        </w:rPr>
        <w:t>3</w:t>
      </w:r>
      <w:r w:rsidRPr="00EB3D5A">
        <w:rPr>
          <w:rFonts w:cs="Arial"/>
        </w:rPr>
        <w:t>.</w:t>
      </w:r>
      <w:r w:rsidRPr="007144A8">
        <w:rPr>
          <w:rFonts w:eastAsia="Times New Roman" w:cs="Arial"/>
        </w:rPr>
        <w:t xml:space="preserve"> </w:t>
      </w:r>
      <w:r>
        <w:rPr>
          <w:rFonts w:eastAsia="Times New Roman" w:cs="Arial"/>
        </w:rPr>
        <w:t xml:space="preserve">It also includes the number of cases received about offshore wind farms. This data illustrates </w:t>
      </w:r>
      <w:r w:rsidRPr="009225EA">
        <w:rPr>
          <w:rFonts w:eastAsia="Times New Roman" w:cs="Arial"/>
        </w:rPr>
        <w:t xml:space="preserve">the </w:t>
      </w:r>
      <w:r>
        <w:rPr>
          <w:rFonts w:eastAsia="Times New Roman" w:cs="Arial"/>
        </w:rPr>
        <w:t xml:space="preserve">ongoing </w:t>
      </w:r>
      <w:r w:rsidRPr="009225EA">
        <w:rPr>
          <w:rFonts w:eastAsia="Times New Roman" w:cs="Arial"/>
        </w:rPr>
        <w:t xml:space="preserve">trend </w:t>
      </w:r>
      <w:r w:rsidRPr="009225EA">
        <w:rPr>
          <w:rFonts w:cs="Arial"/>
        </w:rPr>
        <w:t xml:space="preserve">of </w:t>
      </w:r>
      <w:r>
        <w:rPr>
          <w:rFonts w:cs="Arial"/>
        </w:rPr>
        <w:t>case numbers for proposed projects being far greater than for operating projects.</w:t>
      </w:r>
    </w:p>
    <w:p w14:paraId="467EDF89" w14:textId="12AABCC9" w:rsidR="00A2504C" w:rsidRDefault="00840A06" w:rsidP="00A2504C">
      <w:pPr>
        <w:spacing w:before="240" w:after="0" w:line="264" w:lineRule="auto"/>
        <w:jc w:val="center"/>
        <w:rPr>
          <w:rFonts w:eastAsia="Times New Roman" w:cs="Arial"/>
          <w:b/>
        </w:rPr>
      </w:pPr>
      <w:r>
        <w:rPr>
          <w:rFonts w:eastAsia="Times New Roman" w:cs="Arial"/>
          <w:b/>
          <w:noProof/>
        </w:rPr>
        <w:drawing>
          <wp:inline distT="0" distB="0" distL="0" distR="0" wp14:anchorId="4E824676" wp14:editId="1702A913">
            <wp:extent cx="5499100" cy="3420110"/>
            <wp:effectExtent l="0" t="0" r="6350" b="8890"/>
            <wp:docPr id="812850691" name="Picture 10" descr="Figure 9 shows the total number of cases about proposed wind farms compared to the total number of cases about operating wind farms per state, from November 2015 to 31 Dec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0691" name="Picture 10" descr="Figure 9 shows the total number of cases about proposed wind farms compared to the total number of cases about operating wind farms per state, from November 2015 to 31 December 20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99100" cy="3420110"/>
                    </a:xfrm>
                    <a:prstGeom prst="rect">
                      <a:avLst/>
                    </a:prstGeom>
                    <a:noFill/>
                  </pic:spPr>
                </pic:pic>
              </a:graphicData>
            </a:graphic>
          </wp:inline>
        </w:drawing>
      </w:r>
    </w:p>
    <w:p w14:paraId="0C526F40" w14:textId="77777777" w:rsidR="00A2504C" w:rsidRDefault="00A2504C" w:rsidP="00DA1A3E">
      <w:pPr>
        <w:spacing w:before="240" w:after="0" w:line="264" w:lineRule="auto"/>
        <w:jc w:val="right"/>
        <w:rPr>
          <w:rFonts w:cs="Arial"/>
          <w:i/>
          <w:sz w:val="16"/>
          <w:szCs w:val="16"/>
        </w:rPr>
      </w:pPr>
      <w:r>
        <w:rPr>
          <w:rFonts w:cs="Arial"/>
          <w:i/>
          <w:sz w:val="16"/>
          <w:szCs w:val="16"/>
        </w:rPr>
        <w:t>*</w:t>
      </w:r>
      <w:r w:rsidRPr="00EB3D5A">
        <w:rPr>
          <w:rFonts w:cs="Arial"/>
          <w:i/>
          <w:sz w:val="16"/>
          <w:szCs w:val="16"/>
        </w:rPr>
        <w:t xml:space="preserve">2015-16 – refers to </w:t>
      </w:r>
      <w:r>
        <w:rPr>
          <w:rFonts w:cs="Arial"/>
          <w:i/>
          <w:sz w:val="16"/>
          <w:szCs w:val="16"/>
        </w:rPr>
        <w:t>case volumes from</w:t>
      </w:r>
      <w:r w:rsidRPr="00EB3D5A">
        <w:rPr>
          <w:rFonts w:cs="Arial"/>
          <w:i/>
          <w:sz w:val="16"/>
          <w:szCs w:val="16"/>
        </w:rPr>
        <w:t xml:space="preserve"> inception of the Office on 1 November 2015 </w:t>
      </w:r>
      <w:r>
        <w:rPr>
          <w:rFonts w:cs="Arial"/>
          <w:i/>
          <w:sz w:val="16"/>
          <w:szCs w:val="16"/>
        </w:rPr>
        <w:t>through</w:t>
      </w:r>
      <w:r w:rsidRPr="00EB3D5A">
        <w:rPr>
          <w:rFonts w:cs="Arial"/>
          <w:i/>
          <w:sz w:val="16"/>
          <w:szCs w:val="16"/>
        </w:rPr>
        <w:t xml:space="preserve"> 31 December 2016</w:t>
      </w:r>
    </w:p>
    <w:p w14:paraId="0A404A93" w14:textId="32EDA700" w:rsidR="00EF1CE7" w:rsidRPr="0046277A" w:rsidRDefault="00EF1CE7" w:rsidP="00EF1CE7">
      <w:pPr>
        <w:spacing w:before="240" w:line="264" w:lineRule="auto"/>
        <w:rPr>
          <w:noProof/>
        </w:rPr>
      </w:pPr>
      <w:r w:rsidRPr="00775346">
        <w:rPr>
          <w:rFonts w:eastAsia="Times New Roman" w:cs="Arial"/>
          <w:b/>
        </w:rPr>
        <w:t>Figure</w:t>
      </w:r>
      <w:r>
        <w:rPr>
          <w:rFonts w:eastAsia="Times New Roman" w:cs="Arial"/>
          <w:b/>
        </w:rPr>
        <w:t xml:space="preserve"> </w:t>
      </w:r>
      <w:r w:rsidR="00733D49">
        <w:rPr>
          <w:rFonts w:eastAsia="Times New Roman" w:cs="Arial"/>
          <w:b/>
        </w:rPr>
        <w:t>10</w:t>
      </w:r>
      <w:r w:rsidRPr="00775346">
        <w:rPr>
          <w:rFonts w:eastAsia="Times New Roman" w:cs="Arial"/>
        </w:rPr>
        <w:t xml:space="preserve"> </w:t>
      </w:r>
      <w:r>
        <w:rPr>
          <w:rFonts w:eastAsia="Times New Roman" w:cs="Arial"/>
        </w:rPr>
        <w:t xml:space="preserve">below </w:t>
      </w:r>
      <w:r w:rsidRPr="00775346">
        <w:rPr>
          <w:rFonts w:eastAsia="Times New Roman" w:cs="Arial"/>
        </w:rPr>
        <w:t>shows the total cases received from each state since the inception of the Office in November 2015</w:t>
      </w:r>
      <w:r>
        <w:rPr>
          <w:rFonts w:eastAsia="Times New Roman" w:cs="Arial"/>
        </w:rPr>
        <w:t xml:space="preserve"> for proposed and operating wind farms and offshore wind energy projects</w:t>
      </w:r>
      <w:r w:rsidRPr="00775346">
        <w:rPr>
          <w:rFonts w:eastAsia="Times New Roman" w:cs="Arial"/>
        </w:rPr>
        <w:t>.</w:t>
      </w:r>
    </w:p>
    <w:p w14:paraId="1E3F73D6" w14:textId="6E0730FF" w:rsidR="00A2504C" w:rsidRDefault="00840A06" w:rsidP="00C318EC">
      <w:pPr>
        <w:spacing w:before="240" w:after="0" w:line="264" w:lineRule="auto"/>
        <w:jc w:val="center"/>
        <w:rPr>
          <w:noProof/>
        </w:rPr>
      </w:pPr>
      <w:r>
        <w:rPr>
          <w:noProof/>
        </w:rPr>
        <w:drawing>
          <wp:inline distT="0" distB="0" distL="0" distR="0" wp14:anchorId="0D278125" wp14:editId="07B6DC60">
            <wp:extent cx="5499100" cy="3542030"/>
            <wp:effectExtent l="0" t="0" r="6350" b="1270"/>
            <wp:docPr id="116338774" name="Picture 11" descr="Figure 10 below shows the total cases received from each state since the inception of the Office in November 2015 for proposed and operating wind farms and offshore wind energy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8774" name="Picture 11" descr="Figure 10 below shows the total cases received from each state since the inception of the Office in November 2015 for proposed and operating wind farms and offshore wind energy project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99100" cy="3542030"/>
                    </a:xfrm>
                    <a:prstGeom prst="rect">
                      <a:avLst/>
                    </a:prstGeom>
                    <a:noFill/>
                  </pic:spPr>
                </pic:pic>
              </a:graphicData>
            </a:graphic>
          </wp:inline>
        </w:drawing>
      </w:r>
    </w:p>
    <w:p w14:paraId="034B8F72" w14:textId="77777777" w:rsidR="00A2504C" w:rsidRDefault="00A2504C" w:rsidP="00A2504C">
      <w:pPr>
        <w:spacing w:before="240" w:after="0" w:line="264" w:lineRule="auto"/>
        <w:rPr>
          <w:noProof/>
        </w:rPr>
      </w:pPr>
    </w:p>
    <w:p w14:paraId="04CAAC75" w14:textId="377F0BAA" w:rsidR="00A2504C" w:rsidRPr="003329B0" w:rsidRDefault="00A2504C" w:rsidP="00A2504C">
      <w:pPr>
        <w:pStyle w:val="Heading3"/>
      </w:pPr>
      <w:bookmarkStart w:id="32" w:name="_Toc161672797"/>
      <w:r w:rsidRPr="003329B0">
        <w:lastRenderedPageBreak/>
        <w:t>Solar farms and energy storage – overview 2018-202</w:t>
      </w:r>
      <w:r>
        <w:t>3</w:t>
      </w:r>
      <w:bookmarkEnd w:id="32"/>
    </w:p>
    <w:p w14:paraId="6E46C624" w14:textId="77777777" w:rsidR="00A2504C" w:rsidRDefault="00A2504C" w:rsidP="00A2504C">
      <w:r>
        <w:t>Since the Commissioner’s role was expanded to include solar farms and energy storage in October 2018, the Office has received:</w:t>
      </w:r>
    </w:p>
    <w:p w14:paraId="2C2C4868" w14:textId="77777777" w:rsidR="00A2504C" w:rsidRDefault="00A2504C" w:rsidP="00A4794B">
      <w:pPr>
        <w:pStyle w:val="ListParagraph"/>
        <w:numPr>
          <w:ilvl w:val="0"/>
          <w:numId w:val="11"/>
        </w:numPr>
      </w:pPr>
      <w:r>
        <w:t xml:space="preserve">25 </w:t>
      </w:r>
      <w:r w:rsidRPr="00B4422D">
        <w:rPr>
          <w:rFonts w:cs="Arial"/>
          <w:color w:val="000000"/>
          <w:lang w:eastAsia="en-AU"/>
        </w:rPr>
        <w:t>cases</w:t>
      </w:r>
      <w:r>
        <w:t xml:space="preserve"> about </w:t>
      </w:r>
      <w:r w:rsidRPr="009C6A72">
        <w:t>1</w:t>
      </w:r>
      <w:r>
        <w:t>5 proposed solar farms</w:t>
      </w:r>
    </w:p>
    <w:p w14:paraId="39E299B8" w14:textId="02333B2A" w:rsidR="00A2504C" w:rsidRDefault="00A2504C" w:rsidP="00A4794B">
      <w:pPr>
        <w:pStyle w:val="ListParagraph"/>
        <w:numPr>
          <w:ilvl w:val="0"/>
          <w:numId w:val="11"/>
        </w:numPr>
      </w:pPr>
      <w:r>
        <w:t xml:space="preserve">20 </w:t>
      </w:r>
      <w:r w:rsidRPr="00B4422D">
        <w:rPr>
          <w:rFonts w:cs="Arial"/>
          <w:color w:val="000000"/>
          <w:lang w:eastAsia="en-AU"/>
        </w:rPr>
        <w:t>cases</w:t>
      </w:r>
      <w:r>
        <w:t xml:space="preserve"> about </w:t>
      </w:r>
      <w:r w:rsidR="00C318EC">
        <w:t>5</w:t>
      </w:r>
      <w:r>
        <w:t xml:space="preserve"> proposed </w:t>
      </w:r>
      <w:r w:rsidRPr="00E87216">
        <w:t>pumped hydro</w:t>
      </w:r>
      <w:r>
        <w:t xml:space="preserve"> storage facilities.</w:t>
      </w:r>
    </w:p>
    <w:p w14:paraId="5D0290A7" w14:textId="2B725872" w:rsidR="00A2504C" w:rsidRPr="00B14CA8" w:rsidRDefault="00A2504C" w:rsidP="00B14CA8">
      <w:pPr>
        <w:rPr>
          <w:rFonts w:cs="Arial"/>
        </w:rPr>
      </w:pPr>
      <w:r w:rsidRPr="00EB3D5A">
        <w:rPr>
          <w:rFonts w:cs="Arial"/>
          <w:b/>
        </w:rPr>
        <w:t xml:space="preserve">Figure </w:t>
      </w:r>
      <w:r w:rsidR="00C318EC">
        <w:rPr>
          <w:rFonts w:cs="Arial"/>
          <w:b/>
        </w:rPr>
        <w:t>11</w:t>
      </w:r>
      <w:r w:rsidRPr="00EB3D5A">
        <w:rPr>
          <w:rFonts w:cs="Arial"/>
        </w:rPr>
        <w:t xml:space="preserve"> </w:t>
      </w:r>
      <w:r>
        <w:rPr>
          <w:rFonts w:cs="Arial"/>
        </w:rPr>
        <w:t>shows</w:t>
      </w:r>
      <w:r w:rsidRPr="00EB3D5A">
        <w:rPr>
          <w:rFonts w:cs="Arial"/>
        </w:rPr>
        <w:t xml:space="preserve"> </w:t>
      </w:r>
      <w:r>
        <w:rPr>
          <w:rFonts w:cs="Arial"/>
        </w:rPr>
        <w:t>cases about</w:t>
      </w:r>
      <w:r w:rsidRPr="00EB3D5A">
        <w:rPr>
          <w:rFonts w:cs="Arial"/>
        </w:rPr>
        <w:t xml:space="preserve"> </w:t>
      </w:r>
      <w:r>
        <w:rPr>
          <w:rFonts w:cs="Arial"/>
        </w:rPr>
        <w:t>proposed</w:t>
      </w:r>
      <w:r w:rsidRPr="00EB3D5A">
        <w:rPr>
          <w:rFonts w:cs="Arial"/>
        </w:rPr>
        <w:t xml:space="preserve"> </w:t>
      </w:r>
      <w:r>
        <w:rPr>
          <w:rFonts w:cs="Arial"/>
        </w:rPr>
        <w:t>s</w:t>
      </w:r>
      <w:r w:rsidRPr="00BA4F59">
        <w:rPr>
          <w:rFonts w:cs="Arial"/>
        </w:rPr>
        <w:t>olar farms and energy storage</w:t>
      </w:r>
      <w:r w:rsidRPr="00EB3D5A">
        <w:rPr>
          <w:rFonts w:cs="Arial"/>
        </w:rPr>
        <w:t xml:space="preserve"> from the period of the Office’s inception </w:t>
      </w:r>
      <w:r>
        <w:rPr>
          <w:rFonts w:cs="Arial"/>
        </w:rPr>
        <w:t>o</w:t>
      </w:r>
      <w:r w:rsidRPr="00EB3D5A">
        <w:rPr>
          <w:rFonts w:cs="Arial"/>
        </w:rPr>
        <w:t xml:space="preserve">n </w:t>
      </w:r>
      <w:r>
        <w:rPr>
          <w:rFonts w:cs="Arial"/>
        </w:rPr>
        <w:t xml:space="preserve">1 </w:t>
      </w:r>
      <w:r w:rsidRPr="00EB3D5A">
        <w:rPr>
          <w:rFonts w:cs="Arial"/>
        </w:rPr>
        <w:t>November 2015 to 31 December 202</w:t>
      </w:r>
      <w:r>
        <w:rPr>
          <w:rFonts w:cs="Arial"/>
        </w:rPr>
        <w:t>3</w:t>
      </w:r>
      <w:r w:rsidRPr="00EB3D5A">
        <w:rPr>
          <w:rFonts w:cs="Arial"/>
        </w:rPr>
        <w:t>.</w:t>
      </w:r>
    </w:p>
    <w:p w14:paraId="46742F62" w14:textId="7B8EFBC1" w:rsidR="00A2504C" w:rsidRDefault="00840A06" w:rsidP="00A2504C">
      <w:pPr>
        <w:jc w:val="center"/>
        <w:rPr>
          <w:rFonts w:cs="Arial"/>
          <w:b/>
        </w:rPr>
      </w:pPr>
      <w:r>
        <w:rPr>
          <w:rFonts w:cs="Arial"/>
          <w:b/>
          <w:noProof/>
        </w:rPr>
        <w:drawing>
          <wp:inline distT="0" distB="0" distL="0" distR="0" wp14:anchorId="31A2D67E" wp14:editId="62457FF0">
            <wp:extent cx="5499100" cy="3462655"/>
            <wp:effectExtent l="0" t="0" r="6350" b="4445"/>
            <wp:docPr id="138863063" name="Picture 12" descr="Figure 11 shows cases about proposed solar farms and energy storage from the period of the Office’s inception on 1 November 2015 to 31 Dec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3063" name="Picture 12" descr="Figure 11 shows cases about proposed solar farms and energy storage from the period of the Office’s inception on 1 November 2015 to 31 December 20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99100" cy="3462655"/>
                    </a:xfrm>
                    <a:prstGeom prst="rect">
                      <a:avLst/>
                    </a:prstGeom>
                    <a:noFill/>
                  </pic:spPr>
                </pic:pic>
              </a:graphicData>
            </a:graphic>
          </wp:inline>
        </w:drawing>
      </w:r>
    </w:p>
    <w:p w14:paraId="42870090" w14:textId="520C3D6E" w:rsidR="005D7893" w:rsidRDefault="00A2504C" w:rsidP="00840A06">
      <w:pPr>
        <w:spacing w:before="240" w:after="0" w:line="264" w:lineRule="auto"/>
        <w:rPr>
          <w:noProof/>
        </w:rPr>
      </w:pPr>
      <w:r w:rsidRPr="00775346">
        <w:rPr>
          <w:rFonts w:eastAsia="Times New Roman" w:cs="Arial"/>
          <w:b/>
        </w:rPr>
        <w:t>Figure</w:t>
      </w:r>
      <w:r>
        <w:rPr>
          <w:rFonts w:eastAsia="Times New Roman" w:cs="Arial"/>
          <w:b/>
        </w:rPr>
        <w:t xml:space="preserve"> 1</w:t>
      </w:r>
      <w:r w:rsidR="00ED3991">
        <w:rPr>
          <w:rFonts w:eastAsia="Times New Roman" w:cs="Arial"/>
          <w:b/>
        </w:rPr>
        <w:t>2</w:t>
      </w:r>
      <w:r w:rsidRPr="00775346">
        <w:rPr>
          <w:rFonts w:eastAsia="Times New Roman" w:cs="Arial"/>
        </w:rPr>
        <w:t xml:space="preserve"> shows the total cases received from each state per year since the inception of the Office in November 2015.</w:t>
      </w:r>
      <w:r w:rsidRPr="00DD32C9">
        <w:rPr>
          <w:noProof/>
        </w:rPr>
        <w:t xml:space="preserve"> </w:t>
      </w:r>
    </w:p>
    <w:p w14:paraId="48DC7BB6" w14:textId="77777777" w:rsidR="00840A06" w:rsidRDefault="00840A06" w:rsidP="00840A06">
      <w:pPr>
        <w:spacing w:before="240" w:after="0" w:line="264" w:lineRule="auto"/>
        <w:rPr>
          <w:noProof/>
        </w:rPr>
      </w:pPr>
    </w:p>
    <w:p w14:paraId="33BC6896" w14:textId="44D8F3C2" w:rsidR="00A2504C" w:rsidRDefault="00840A06" w:rsidP="00301B7D">
      <w:pPr>
        <w:jc w:val="center"/>
        <w:rPr>
          <w:rFonts w:cs="Arial"/>
          <w:b/>
        </w:rPr>
      </w:pPr>
      <w:r>
        <w:rPr>
          <w:rFonts w:cs="Arial"/>
          <w:b/>
          <w:noProof/>
        </w:rPr>
        <w:drawing>
          <wp:inline distT="0" distB="0" distL="0" distR="0" wp14:anchorId="503C4632" wp14:editId="35BC3002">
            <wp:extent cx="5499100" cy="3035935"/>
            <wp:effectExtent l="0" t="0" r="6350" b="0"/>
            <wp:docPr id="165969381" name="Picture 13" descr="Figure 12 shows the total cases received from each state per year since the inception of the Office in November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9381" name="Picture 13" descr="Figure 12 shows the total cases received from each state per year since the inception of the Office in November 2015.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99100" cy="3035935"/>
                    </a:xfrm>
                    <a:prstGeom prst="rect">
                      <a:avLst/>
                    </a:prstGeom>
                    <a:noFill/>
                  </pic:spPr>
                </pic:pic>
              </a:graphicData>
            </a:graphic>
          </wp:inline>
        </w:drawing>
      </w:r>
    </w:p>
    <w:p w14:paraId="028D580B" w14:textId="77777777" w:rsidR="00A2504C" w:rsidRPr="003329B0" w:rsidRDefault="00A2504C" w:rsidP="00A2504C">
      <w:pPr>
        <w:pStyle w:val="Heading3"/>
      </w:pPr>
      <w:bookmarkStart w:id="33" w:name="_Toc161672798"/>
      <w:r w:rsidRPr="003329B0">
        <w:lastRenderedPageBreak/>
        <w:t>Major transmission projects – overview 2021-202</w:t>
      </w:r>
      <w:r>
        <w:t>3</w:t>
      </w:r>
      <w:bookmarkEnd w:id="33"/>
    </w:p>
    <w:p w14:paraId="03773D8C" w14:textId="77777777" w:rsidR="00A2504C" w:rsidRDefault="00A2504C" w:rsidP="00A2504C">
      <w:r w:rsidRPr="008D68C2">
        <w:t xml:space="preserve">Since the Commissioner’s role was expanded to include new major transmission projects in March 2021, the Commissioner has received a total of </w:t>
      </w:r>
      <w:r>
        <w:t>212</w:t>
      </w:r>
      <w:r w:rsidRPr="008D68C2">
        <w:t xml:space="preserve"> </w:t>
      </w:r>
      <w:r w:rsidRPr="008D68C2">
        <w:rPr>
          <w:rFonts w:cs="Arial"/>
          <w:color w:val="000000"/>
          <w:lang w:eastAsia="en-AU"/>
        </w:rPr>
        <w:t>cases</w:t>
      </w:r>
      <w:r w:rsidRPr="008D68C2">
        <w:t xml:space="preserve"> about </w:t>
      </w:r>
      <w:r>
        <w:t>11</w:t>
      </w:r>
      <w:r w:rsidRPr="008D68C2">
        <w:t xml:space="preserve"> transmission projects.</w:t>
      </w:r>
    </w:p>
    <w:p w14:paraId="1080C309" w14:textId="1910D582" w:rsidR="00A2504C" w:rsidRDefault="00A2504C" w:rsidP="00A2504C">
      <w:pPr>
        <w:rPr>
          <w:rFonts w:cs="Arial"/>
        </w:rPr>
      </w:pPr>
      <w:r w:rsidRPr="008D68C2">
        <w:rPr>
          <w:rFonts w:cs="Arial"/>
        </w:rPr>
        <w:t xml:space="preserve">Of the </w:t>
      </w:r>
      <w:r>
        <w:rPr>
          <w:rFonts w:cs="Arial"/>
        </w:rPr>
        <w:t>212</w:t>
      </w:r>
      <w:r w:rsidRPr="008D68C2">
        <w:rPr>
          <w:rFonts w:cs="Arial"/>
        </w:rPr>
        <w:t xml:space="preserve"> cases, 119 cases relate to </w:t>
      </w:r>
      <w:r w:rsidR="00A82E35">
        <w:rPr>
          <w:rFonts w:cs="Arial"/>
        </w:rPr>
        <w:t>3</w:t>
      </w:r>
      <w:r w:rsidRPr="008D68C2">
        <w:rPr>
          <w:rFonts w:cs="Arial"/>
        </w:rPr>
        <w:t xml:space="preserve"> proposed projects in Victoria, 3</w:t>
      </w:r>
      <w:r w:rsidR="00A82E35">
        <w:rPr>
          <w:rFonts w:cs="Arial"/>
        </w:rPr>
        <w:t>7</w:t>
      </w:r>
      <w:r w:rsidRPr="008D68C2">
        <w:rPr>
          <w:rFonts w:cs="Arial"/>
        </w:rPr>
        <w:t xml:space="preserve"> </w:t>
      </w:r>
      <w:r w:rsidRPr="008D68C2">
        <w:rPr>
          <w:rFonts w:cs="Arial"/>
          <w:color w:val="000000"/>
          <w:lang w:eastAsia="en-AU"/>
        </w:rPr>
        <w:t>cases</w:t>
      </w:r>
      <w:r w:rsidRPr="008D68C2">
        <w:rPr>
          <w:rFonts w:cs="Arial"/>
        </w:rPr>
        <w:t xml:space="preserve"> relate to </w:t>
      </w:r>
      <w:r w:rsidR="00831FE0">
        <w:rPr>
          <w:rFonts w:cs="Arial"/>
        </w:rPr>
        <w:t>5</w:t>
      </w:r>
      <w:r w:rsidR="00A82E35">
        <w:rPr>
          <w:rFonts w:cs="Arial"/>
        </w:rPr>
        <w:t xml:space="preserve"> </w:t>
      </w:r>
      <w:r w:rsidRPr="008D68C2">
        <w:rPr>
          <w:rFonts w:cs="Arial"/>
        </w:rPr>
        <w:t>project</w:t>
      </w:r>
      <w:r w:rsidR="00A82E35">
        <w:rPr>
          <w:rFonts w:cs="Arial"/>
        </w:rPr>
        <w:t>s</w:t>
      </w:r>
      <w:r w:rsidRPr="008D68C2">
        <w:rPr>
          <w:rFonts w:cs="Arial"/>
        </w:rPr>
        <w:t xml:space="preserve"> in New South Wales</w:t>
      </w:r>
      <w:r>
        <w:rPr>
          <w:rFonts w:cs="Arial"/>
        </w:rPr>
        <w:t>,</w:t>
      </w:r>
      <w:r w:rsidRPr="008D68C2">
        <w:rPr>
          <w:rFonts w:cs="Arial"/>
        </w:rPr>
        <w:t xml:space="preserve"> </w:t>
      </w:r>
      <w:r w:rsidR="00960711">
        <w:rPr>
          <w:rFonts w:cs="Arial"/>
        </w:rPr>
        <w:t>4</w:t>
      </w:r>
      <w:r>
        <w:rPr>
          <w:rFonts w:cs="Arial"/>
        </w:rPr>
        <w:t xml:space="preserve"> cases relate to one proposed project in Tasmania, </w:t>
      </w:r>
      <w:r w:rsidR="00CE7F48">
        <w:rPr>
          <w:rFonts w:cs="Arial"/>
        </w:rPr>
        <w:t>1</w:t>
      </w:r>
      <w:r w:rsidR="00CE7F48" w:rsidRPr="008D68C2">
        <w:rPr>
          <w:rFonts w:cs="Arial"/>
        </w:rPr>
        <w:t xml:space="preserve"> </w:t>
      </w:r>
      <w:r w:rsidRPr="008D68C2">
        <w:rPr>
          <w:rFonts w:cs="Arial"/>
        </w:rPr>
        <w:t xml:space="preserve">case relate to </w:t>
      </w:r>
      <w:r w:rsidR="00CE7F48">
        <w:rPr>
          <w:rFonts w:cs="Arial"/>
        </w:rPr>
        <w:t>1</w:t>
      </w:r>
      <w:r w:rsidRPr="008D68C2">
        <w:rPr>
          <w:rFonts w:cs="Arial"/>
        </w:rPr>
        <w:t xml:space="preserve"> proposed project in Queensland</w:t>
      </w:r>
      <w:r>
        <w:rPr>
          <w:rFonts w:cs="Arial"/>
        </w:rPr>
        <w:t xml:space="preserve">, and </w:t>
      </w:r>
      <w:r w:rsidR="00CE7F48">
        <w:rPr>
          <w:rFonts w:cs="Arial"/>
        </w:rPr>
        <w:t xml:space="preserve">1 </w:t>
      </w:r>
      <w:r>
        <w:rPr>
          <w:rFonts w:cs="Arial"/>
        </w:rPr>
        <w:t xml:space="preserve">case related to </w:t>
      </w:r>
      <w:r w:rsidR="00CE7F48">
        <w:rPr>
          <w:rFonts w:cs="Arial"/>
        </w:rPr>
        <w:t>1</w:t>
      </w:r>
      <w:r w:rsidR="00CE7F48" w:rsidRPr="008D68C2">
        <w:rPr>
          <w:rFonts w:cs="Arial"/>
        </w:rPr>
        <w:t xml:space="preserve"> </w:t>
      </w:r>
      <w:r w:rsidRPr="008D68C2">
        <w:rPr>
          <w:rFonts w:cs="Arial"/>
        </w:rPr>
        <w:t xml:space="preserve">proposed project in </w:t>
      </w:r>
      <w:r>
        <w:rPr>
          <w:rFonts w:cs="Arial"/>
        </w:rPr>
        <w:t>the Australian Capital Territory</w:t>
      </w:r>
      <w:r w:rsidRPr="008D68C2">
        <w:rPr>
          <w:rFonts w:cs="Arial"/>
        </w:rPr>
        <w:t>.</w:t>
      </w:r>
      <w:r>
        <w:rPr>
          <w:rFonts w:cs="Arial"/>
        </w:rPr>
        <w:t xml:space="preserve"> </w:t>
      </w:r>
    </w:p>
    <w:p w14:paraId="4C0F6460" w14:textId="238629E4" w:rsidR="00471992" w:rsidRDefault="00F0366D" w:rsidP="00831FE0">
      <w:pPr>
        <w:rPr>
          <w:rFonts w:cs="Arial"/>
          <w:b/>
        </w:rPr>
      </w:pPr>
      <w:r w:rsidRPr="00F0366D">
        <w:rPr>
          <w:rFonts w:cs="Arial"/>
          <w:b/>
          <w:bCs/>
        </w:rPr>
        <w:t>Figure 1</w:t>
      </w:r>
      <w:r w:rsidR="009E3946">
        <w:rPr>
          <w:rFonts w:cs="Arial"/>
          <w:b/>
          <w:bCs/>
        </w:rPr>
        <w:t>3</w:t>
      </w:r>
      <w:r w:rsidRPr="00F0366D">
        <w:rPr>
          <w:rFonts w:cs="Arial"/>
        </w:rPr>
        <w:t xml:space="preserve"> shows the number of cases about proposed large-scale transmission for the period March 2021 to 31 December 202</w:t>
      </w:r>
      <w:r>
        <w:rPr>
          <w:rFonts w:cs="Arial"/>
        </w:rPr>
        <w:t>3</w:t>
      </w:r>
      <w:r w:rsidRPr="00F0366D">
        <w:rPr>
          <w:rFonts w:cs="Arial"/>
        </w:rPr>
        <w:t>.</w:t>
      </w:r>
    </w:p>
    <w:p w14:paraId="36B53A9D" w14:textId="5E774FED" w:rsidR="00A82E35" w:rsidRDefault="00840A06" w:rsidP="00840A06">
      <w:pPr>
        <w:spacing w:line="264" w:lineRule="auto"/>
        <w:jc w:val="center"/>
        <w:rPr>
          <w:rFonts w:cs="Arial"/>
          <w:b/>
        </w:rPr>
      </w:pPr>
      <w:r>
        <w:rPr>
          <w:rFonts w:cs="Arial"/>
          <w:b/>
          <w:noProof/>
        </w:rPr>
        <w:drawing>
          <wp:inline distT="0" distB="0" distL="0" distR="0" wp14:anchorId="271BE61E" wp14:editId="2FE52CBB">
            <wp:extent cx="5499100" cy="3005455"/>
            <wp:effectExtent l="0" t="0" r="6350" b="4445"/>
            <wp:docPr id="1049485080" name="Picture 14" descr="Figure 13 shows the number of cases about proposed large-scale transmission for the period March 2021 to 31 Dec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85080" name="Picture 14" descr="Figure 13 shows the number of cases about proposed large-scale transmission for the period March 2021 to 31 December 20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99100" cy="3005455"/>
                    </a:xfrm>
                    <a:prstGeom prst="rect">
                      <a:avLst/>
                    </a:prstGeom>
                    <a:noFill/>
                  </pic:spPr>
                </pic:pic>
              </a:graphicData>
            </a:graphic>
          </wp:inline>
        </w:drawing>
      </w:r>
    </w:p>
    <w:p w14:paraId="36C6E9F5" w14:textId="2AAE6AEC" w:rsidR="00A2504C" w:rsidRDefault="00A2504C" w:rsidP="00A2504C">
      <w:pPr>
        <w:spacing w:line="264" w:lineRule="auto"/>
        <w:rPr>
          <w:rFonts w:cs="Arial"/>
        </w:rPr>
      </w:pPr>
      <w:r w:rsidRPr="008D68C2">
        <w:rPr>
          <w:rFonts w:cs="Arial"/>
          <w:b/>
        </w:rPr>
        <w:t>Figure 1</w:t>
      </w:r>
      <w:r w:rsidR="009E3946">
        <w:rPr>
          <w:rFonts w:cs="Arial"/>
          <w:b/>
        </w:rPr>
        <w:t>4</w:t>
      </w:r>
      <w:r w:rsidRPr="008D68C2">
        <w:rPr>
          <w:rFonts w:cs="Arial"/>
        </w:rPr>
        <w:t xml:space="preserve"> shows the number of </w:t>
      </w:r>
      <w:r w:rsidRPr="008D68C2">
        <w:rPr>
          <w:rFonts w:cs="Arial"/>
          <w:color w:val="000000"/>
          <w:lang w:eastAsia="en-AU"/>
        </w:rPr>
        <w:t>cases</w:t>
      </w:r>
      <w:r w:rsidRPr="008D68C2">
        <w:rPr>
          <w:rFonts w:cs="Arial"/>
        </w:rPr>
        <w:t xml:space="preserve"> about proposed large-scale transmission projects, by state, for the period March 2021 to 31 December 202</w:t>
      </w:r>
      <w:r w:rsidR="00F0366D">
        <w:rPr>
          <w:rFonts w:cs="Arial"/>
        </w:rPr>
        <w:t>3</w:t>
      </w:r>
      <w:r w:rsidRPr="008D68C2">
        <w:rPr>
          <w:rFonts w:cs="Arial"/>
        </w:rPr>
        <w:t>.</w:t>
      </w:r>
      <w:r w:rsidR="00831FE0" w:rsidRPr="00840A06">
        <w:rPr>
          <w:rFonts w:cs="Arial"/>
          <w:i/>
          <w:iCs/>
        </w:rPr>
        <w:t xml:space="preserve"> </w:t>
      </w:r>
      <w:r w:rsidR="00840A06" w:rsidRPr="00840A06">
        <w:rPr>
          <w:rFonts w:cs="Arial"/>
          <w:i/>
          <w:iCs/>
        </w:rPr>
        <w:t>n</w:t>
      </w:r>
      <w:r w:rsidR="00831FE0" w:rsidRPr="00840A06">
        <w:rPr>
          <w:rFonts w:cs="Arial"/>
          <w:i/>
          <w:iCs/>
        </w:rPr>
        <w:t>.b.</w:t>
      </w:r>
      <w:r w:rsidR="00831FE0">
        <w:rPr>
          <w:rFonts w:cs="Arial"/>
        </w:rPr>
        <w:t xml:space="preserve"> some cases have been primarily recorded against a generation or storage asset, but also include community concerns with a related transmission connection. </w:t>
      </w:r>
    </w:p>
    <w:p w14:paraId="4385BA70" w14:textId="57882C06" w:rsidR="00A2504C" w:rsidRDefault="00A72BF7" w:rsidP="00341BA2">
      <w:pPr>
        <w:jc w:val="center"/>
      </w:pPr>
      <w:r>
        <w:rPr>
          <w:noProof/>
        </w:rPr>
        <w:drawing>
          <wp:inline distT="0" distB="0" distL="0" distR="0" wp14:anchorId="7F1E52F2" wp14:editId="732B3906">
            <wp:extent cx="5499100" cy="3213100"/>
            <wp:effectExtent l="0" t="0" r="6350" b="6350"/>
            <wp:docPr id="1035420362" name="Picture 15" descr="Figure 14 shows the number of cases about proposed large-scale transmission projects, by state, for the period March 2021 to 31 December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20362" name="Picture 15" descr="Figure 14 shows the number of cases about proposed large-scale transmission projects, by state, for the period March 2021 to 31 December 2023.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7107135F" w14:textId="77777777" w:rsidR="00E6619F" w:rsidRDefault="00E6619F">
      <w:pPr>
        <w:rPr>
          <w:rFonts w:cs="Arial"/>
          <w:b/>
          <w:i/>
        </w:rPr>
      </w:pPr>
      <w:bookmarkStart w:id="34" w:name="_Toc161672799"/>
      <w:r>
        <w:br w:type="page"/>
      </w:r>
    </w:p>
    <w:p w14:paraId="607A4F97" w14:textId="29D1CF36" w:rsidR="00A2504C" w:rsidRPr="003329B0" w:rsidRDefault="00A2504C" w:rsidP="00A2504C">
      <w:pPr>
        <w:pStyle w:val="Heading3"/>
      </w:pPr>
      <w:r w:rsidRPr="003329B0">
        <w:lastRenderedPageBreak/>
        <w:t>Resolutions and closure – overview 2015-202</w:t>
      </w:r>
      <w:r>
        <w:t>3</w:t>
      </w:r>
      <w:bookmarkEnd w:id="34"/>
    </w:p>
    <w:p w14:paraId="4F4C2DEB" w14:textId="77777777" w:rsidR="00A2504C" w:rsidRPr="00747F76" w:rsidRDefault="00A2504C" w:rsidP="00A2504C">
      <w:pPr>
        <w:pStyle w:val="ListBullet"/>
        <w:numPr>
          <w:ilvl w:val="0"/>
          <w:numId w:val="0"/>
        </w:numPr>
        <w:rPr>
          <w:rFonts w:cs="Arial"/>
        </w:rPr>
      </w:pPr>
      <w:r>
        <w:rPr>
          <w:rFonts w:cs="Arial"/>
        </w:rPr>
        <w:t xml:space="preserve">On </w:t>
      </w:r>
      <w:r w:rsidRPr="00747F76">
        <w:rPr>
          <w:rFonts w:cs="Arial"/>
        </w:rPr>
        <w:t>31 December 202</w:t>
      </w:r>
      <w:r>
        <w:rPr>
          <w:rFonts w:cs="Arial"/>
        </w:rPr>
        <w:t>3</w:t>
      </w:r>
      <w:r w:rsidRPr="00747F76">
        <w:rPr>
          <w:rFonts w:cs="Arial"/>
        </w:rPr>
        <w:t xml:space="preserve">, </w:t>
      </w:r>
      <w:r>
        <w:rPr>
          <w:rFonts w:cs="Arial"/>
        </w:rPr>
        <w:t>938</w:t>
      </w:r>
      <w:r w:rsidRPr="00747F76">
        <w:rPr>
          <w:rFonts w:cs="Arial"/>
        </w:rPr>
        <w:t xml:space="preserve"> of the </w:t>
      </w:r>
      <w:r>
        <w:rPr>
          <w:rFonts w:cs="Arial"/>
        </w:rPr>
        <w:t>975</w:t>
      </w:r>
      <w:r w:rsidRPr="00747F76">
        <w:rPr>
          <w:rFonts w:cs="Arial"/>
        </w:rPr>
        <w:t xml:space="preserve"> </w:t>
      </w:r>
      <w:r w:rsidRPr="00747F76">
        <w:rPr>
          <w:rFonts w:cs="Arial"/>
          <w:color w:val="000000"/>
          <w:lang w:eastAsia="en-AU"/>
        </w:rPr>
        <w:t>cases</w:t>
      </w:r>
      <w:r w:rsidRPr="00747F76">
        <w:rPr>
          <w:rFonts w:cs="Arial"/>
        </w:rPr>
        <w:t xml:space="preserve"> received since the inception of the Office had been closed</w:t>
      </w:r>
      <w:r>
        <w:rPr>
          <w:rFonts w:cs="Arial"/>
        </w:rPr>
        <w:t xml:space="preserve"> and 37</w:t>
      </w:r>
      <w:r w:rsidRPr="00747F76">
        <w:rPr>
          <w:rFonts w:cs="Arial"/>
        </w:rPr>
        <w:t> </w:t>
      </w:r>
      <w:r w:rsidRPr="00747F76">
        <w:rPr>
          <w:rFonts w:cs="Arial"/>
          <w:color w:val="000000"/>
          <w:lang w:eastAsia="en-AU"/>
        </w:rPr>
        <w:t>cases</w:t>
      </w:r>
      <w:r w:rsidRPr="00747F76">
        <w:rPr>
          <w:rFonts w:cs="Arial"/>
        </w:rPr>
        <w:t xml:space="preserve"> </w:t>
      </w:r>
      <w:r>
        <w:rPr>
          <w:rFonts w:cs="Arial"/>
        </w:rPr>
        <w:t>remained</w:t>
      </w:r>
      <w:r w:rsidRPr="00747F76">
        <w:rPr>
          <w:rFonts w:cs="Arial"/>
        </w:rPr>
        <w:t xml:space="preserve"> open at various stages of the complaint handling process.</w:t>
      </w:r>
    </w:p>
    <w:p w14:paraId="388A76F3" w14:textId="460F4448" w:rsidR="00A2504C" w:rsidRDefault="00A2504C" w:rsidP="00A2504C">
      <w:pPr>
        <w:pStyle w:val="ListBullet"/>
        <w:numPr>
          <w:ilvl w:val="0"/>
          <w:numId w:val="0"/>
        </w:numPr>
        <w:rPr>
          <w:rFonts w:cs="Arial"/>
        </w:rPr>
      </w:pPr>
      <w:r w:rsidRPr="00EB3D5A">
        <w:rPr>
          <w:rFonts w:cs="Arial"/>
          <w:b/>
        </w:rPr>
        <w:t>Figure</w:t>
      </w:r>
      <w:r>
        <w:rPr>
          <w:rFonts w:cs="Arial"/>
          <w:b/>
        </w:rPr>
        <w:t xml:space="preserve"> 1</w:t>
      </w:r>
      <w:r w:rsidR="00534D3F">
        <w:rPr>
          <w:rFonts w:cs="Arial"/>
          <w:b/>
        </w:rPr>
        <w:t>5</w:t>
      </w:r>
      <w:r>
        <w:rPr>
          <w:rFonts w:cs="Arial"/>
          <w:b/>
        </w:rPr>
        <w:t xml:space="preserve"> </w:t>
      </w:r>
      <w:r>
        <w:rPr>
          <w:rFonts w:cs="Arial"/>
        </w:rPr>
        <w:t>shows</w:t>
      </w:r>
      <w:r w:rsidRPr="00EB3D5A">
        <w:rPr>
          <w:rFonts w:cs="Arial"/>
        </w:rPr>
        <w:t xml:space="preserve"> the </w:t>
      </w:r>
      <w:r>
        <w:rPr>
          <w:rFonts w:cs="Arial"/>
        </w:rPr>
        <w:t>stage at which each case was</w:t>
      </w:r>
      <w:r>
        <w:rPr>
          <w:rFonts w:cs="Arial"/>
          <w:color w:val="000000"/>
          <w:lang w:eastAsia="en-AU"/>
        </w:rPr>
        <w:t xml:space="preserve"> </w:t>
      </w:r>
      <w:r>
        <w:rPr>
          <w:rFonts w:cs="Arial"/>
        </w:rPr>
        <w:t>closed in the complaint process from</w:t>
      </w:r>
      <w:r w:rsidRPr="00CB7184">
        <w:rPr>
          <w:rFonts w:cs="Arial"/>
        </w:rPr>
        <w:t xml:space="preserve"> </w:t>
      </w:r>
      <w:r>
        <w:rPr>
          <w:rFonts w:cs="Arial"/>
        </w:rPr>
        <w:t xml:space="preserve">1 November 2015 </w:t>
      </w:r>
      <w:r w:rsidRPr="00080CEC">
        <w:rPr>
          <w:rFonts w:cs="Arial"/>
        </w:rPr>
        <w:t>to 31 December 20</w:t>
      </w:r>
      <w:r>
        <w:rPr>
          <w:rFonts w:cs="Arial"/>
        </w:rPr>
        <w:t>23.</w:t>
      </w:r>
    </w:p>
    <w:p w14:paraId="71F820AF" w14:textId="48A8C309" w:rsidR="00A2504C" w:rsidRDefault="00A72BF7" w:rsidP="00A72BF7">
      <w:pPr>
        <w:pStyle w:val="ListBullet"/>
        <w:numPr>
          <w:ilvl w:val="0"/>
          <w:numId w:val="0"/>
        </w:numPr>
        <w:jc w:val="center"/>
        <w:rPr>
          <w:rFonts w:cs="Arial"/>
          <w:b/>
        </w:rPr>
      </w:pPr>
      <w:r>
        <w:rPr>
          <w:rFonts w:cs="Arial"/>
          <w:b/>
          <w:noProof/>
          <w14:ligatures w14:val="standardContextual"/>
        </w:rPr>
        <w:drawing>
          <wp:inline distT="0" distB="0" distL="0" distR="0" wp14:anchorId="0D4F11C1" wp14:editId="1A074F6A">
            <wp:extent cx="5486400" cy="3200400"/>
            <wp:effectExtent l="0" t="0" r="0" b="0"/>
            <wp:docPr id="1909223557" name="Chart 1" descr="Figure 15 shows the stage at which each case was closed in the complaint process from 1 November 2015 to 31 December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93C5DE8" w14:textId="77777777" w:rsidR="00B14CA8" w:rsidRDefault="00B14CA8">
      <w:pPr>
        <w:rPr>
          <w:rFonts w:cs="Arial"/>
          <w:b/>
          <w:i/>
        </w:rPr>
      </w:pPr>
      <w:r>
        <w:br w:type="page"/>
      </w:r>
    </w:p>
    <w:p w14:paraId="570AC120" w14:textId="6FB18B5D" w:rsidR="00A2504C" w:rsidRDefault="00A2504C" w:rsidP="00A2504C">
      <w:pPr>
        <w:pStyle w:val="Heading3"/>
      </w:pPr>
      <w:bookmarkStart w:id="35" w:name="_Toc161672800"/>
      <w:r w:rsidRPr="003329B0">
        <w:lastRenderedPageBreak/>
        <w:t>Complaint issues – overview 2015-202</w:t>
      </w:r>
      <w:r>
        <w:t>3</w:t>
      </w:r>
      <w:bookmarkEnd w:id="35"/>
    </w:p>
    <w:p w14:paraId="7605B58E" w14:textId="413BC30C" w:rsidR="00A2504C" w:rsidRDefault="00A2504C" w:rsidP="00A2504C">
      <w:pPr>
        <w:rPr>
          <w:rFonts w:cs="Arial"/>
        </w:rPr>
      </w:pPr>
      <w:r w:rsidRPr="00C515C0">
        <w:rPr>
          <w:rFonts w:cs="Arial"/>
          <w:b/>
        </w:rPr>
        <w:t>Figure 1</w:t>
      </w:r>
      <w:r w:rsidR="00E24BA4">
        <w:rPr>
          <w:rFonts w:cs="Arial"/>
          <w:b/>
        </w:rPr>
        <w:t>6</w:t>
      </w:r>
      <w:r>
        <w:rPr>
          <w:rFonts w:cs="Arial"/>
        </w:rPr>
        <w:t xml:space="preserve"> shows the number of times a complaint issue has been raised across </w:t>
      </w:r>
      <w:r w:rsidR="0071183B">
        <w:rPr>
          <w:rFonts w:cs="Arial"/>
        </w:rPr>
        <w:t xml:space="preserve">all asset types in </w:t>
      </w:r>
      <w:r>
        <w:rPr>
          <w:rFonts w:cs="Arial"/>
        </w:rPr>
        <w:t>cases</w:t>
      </w:r>
      <w:r w:rsidR="00F843FE">
        <w:rPr>
          <w:rFonts w:cs="Arial"/>
        </w:rPr>
        <w:t xml:space="preserve"> </w:t>
      </w:r>
      <w:r>
        <w:rPr>
          <w:rFonts w:cs="Arial"/>
        </w:rPr>
        <w:t>received by the Office since its inception on 1 November 2015</w:t>
      </w:r>
      <w:r w:rsidR="002B6AF3">
        <w:rPr>
          <w:rFonts w:cs="Arial"/>
        </w:rPr>
        <w:t>, with 2023 instances</w:t>
      </w:r>
      <w:r w:rsidR="005F4159">
        <w:rPr>
          <w:rFonts w:cs="Arial"/>
        </w:rPr>
        <w:t xml:space="preserve"> highlighted</w:t>
      </w:r>
      <w:r>
        <w:rPr>
          <w:rFonts w:cs="Arial"/>
        </w:rPr>
        <w:t xml:space="preserve">. </w:t>
      </w:r>
      <w:r w:rsidR="00A72BF7">
        <w:rPr>
          <w:rFonts w:cs="Arial"/>
        </w:rPr>
        <w:br/>
      </w:r>
      <w:r w:rsidRPr="00187DE8">
        <w:rPr>
          <w:rFonts w:cs="Arial"/>
          <w:b/>
          <w:bCs/>
        </w:rPr>
        <w:t>Note</w:t>
      </w:r>
      <w:r w:rsidRPr="00EE2DBF">
        <w:rPr>
          <w:rFonts w:cs="Arial"/>
        </w:rPr>
        <w:t xml:space="preserve">: a case may include </w:t>
      </w:r>
      <w:r>
        <w:rPr>
          <w:rFonts w:cs="Arial"/>
        </w:rPr>
        <w:t xml:space="preserve">one or </w:t>
      </w:r>
      <w:r w:rsidRPr="00EE2DBF">
        <w:rPr>
          <w:rFonts w:cs="Arial"/>
        </w:rPr>
        <w:t xml:space="preserve">more </w:t>
      </w:r>
      <w:r>
        <w:rPr>
          <w:rFonts w:cs="Arial"/>
        </w:rPr>
        <w:t xml:space="preserve">complaint </w:t>
      </w:r>
      <w:r w:rsidRPr="00EE2DBF">
        <w:rPr>
          <w:rFonts w:cs="Arial"/>
        </w:rPr>
        <w:t>issue</w:t>
      </w:r>
      <w:r>
        <w:rPr>
          <w:rFonts w:cs="Arial"/>
        </w:rPr>
        <w:t>s.</w:t>
      </w:r>
    </w:p>
    <w:p w14:paraId="5413032B" w14:textId="2327F01D" w:rsidR="00A2504C" w:rsidRDefault="00A72BF7" w:rsidP="00F843FE">
      <w:pPr>
        <w:jc w:val="center"/>
        <w:rPr>
          <w:rFonts w:cs="Arial"/>
        </w:rPr>
      </w:pPr>
      <w:r>
        <w:rPr>
          <w:rFonts w:cs="Arial"/>
          <w:noProof/>
        </w:rPr>
        <w:drawing>
          <wp:inline distT="0" distB="0" distL="0" distR="0" wp14:anchorId="54B4E329" wp14:editId="3B26D320">
            <wp:extent cx="5993130" cy="5328285"/>
            <wp:effectExtent l="0" t="0" r="7620" b="5715"/>
            <wp:docPr id="7584144" name="Picture 16" descr="Figure 16 shows the number of times a complaint issue has been raised across all asset types in cases received by the Office since its inception on 1 November 2015, with 2023 instances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144" name="Picture 16" descr="Figure 16 shows the number of times a complaint issue has been raised across all asset types in cases received by the Office since its inception on 1 November 2015, with 2023 instances highlighted.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93130" cy="5328285"/>
                    </a:xfrm>
                    <a:prstGeom prst="rect">
                      <a:avLst/>
                    </a:prstGeom>
                    <a:noFill/>
                  </pic:spPr>
                </pic:pic>
              </a:graphicData>
            </a:graphic>
          </wp:inline>
        </w:drawing>
      </w:r>
    </w:p>
    <w:bookmarkEnd w:id="1"/>
    <w:bookmarkEnd w:id="0"/>
    <w:p w14:paraId="717C370E" w14:textId="104F9EE7" w:rsidR="00B14CA8" w:rsidRDefault="00B14CA8" w:rsidP="00B14CA8">
      <w:pPr>
        <w:rPr>
          <w:rFonts w:cs="Arial"/>
          <w:b/>
        </w:rPr>
      </w:pPr>
    </w:p>
    <w:p w14:paraId="3D553977" w14:textId="3D6F3A01" w:rsidR="00823BC0" w:rsidRDefault="00823BC0">
      <w:pPr>
        <w:rPr>
          <w:rFonts w:cs="Arial"/>
          <w:bCs/>
          <w:lang w:eastAsia="en-AU"/>
        </w:rPr>
      </w:pPr>
      <w:r>
        <w:rPr>
          <w:rFonts w:cs="Arial"/>
          <w:bCs/>
          <w:lang w:eastAsia="en-AU"/>
        </w:rPr>
        <w:br w:type="page"/>
      </w:r>
    </w:p>
    <w:p w14:paraId="457F3405" w14:textId="5D731CC1" w:rsidR="000A7EAA" w:rsidRDefault="00823BC0" w:rsidP="00823BC0">
      <w:pPr>
        <w:rPr>
          <w:rFonts w:cs="Arial"/>
        </w:rPr>
      </w:pPr>
      <w:r w:rsidRPr="00C515C0">
        <w:rPr>
          <w:rFonts w:cs="Arial"/>
          <w:b/>
        </w:rPr>
        <w:lastRenderedPageBreak/>
        <w:t>Figure 1</w:t>
      </w:r>
      <w:r>
        <w:rPr>
          <w:rFonts w:cs="Arial"/>
          <w:b/>
        </w:rPr>
        <w:t>7</w:t>
      </w:r>
      <w:r>
        <w:rPr>
          <w:rFonts w:cs="Arial"/>
        </w:rPr>
        <w:t xml:space="preserve"> </w:t>
      </w:r>
      <w:r w:rsidR="00611A67">
        <w:rPr>
          <w:rFonts w:cs="Arial"/>
        </w:rPr>
        <w:t xml:space="preserve">shows the history of </w:t>
      </w:r>
      <w:r>
        <w:rPr>
          <w:rFonts w:cs="Arial"/>
        </w:rPr>
        <w:t xml:space="preserve">issues raised in cases about proposed and operating </w:t>
      </w:r>
      <w:r w:rsidR="00611A67">
        <w:rPr>
          <w:rFonts w:cs="Arial"/>
        </w:rPr>
        <w:t xml:space="preserve">onshore </w:t>
      </w:r>
      <w:r>
        <w:rPr>
          <w:rFonts w:cs="Arial"/>
        </w:rPr>
        <w:t>wind farms each calendar year since the inception of the Office, recognising th</w:t>
      </w:r>
      <w:r w:rsidR="00611A67">
        <w:rPr>
          <w:rFonts w:cs="Arial"/>
        </w:rPr>
        <w:t>at t</w:t>
      </w:r>
      <w:r>
        <w:rPr>
          <w:rFonts w:cs="Arial"/>
        </w:rPr>
        <w:t xml:space="preserve">his renewable energy infrastructure asset type was </w:t>
      </w:r>
      <w:r w:rsidR="00611A67">
        <w:rPr>
          <w:rFonts w:cs="Arial"/>
        </w:rPr>
        <w:t>the original focus and scope of the Commissioner’s role</w:t>
      </w:r>
      <w:r>
        <w:rPr>
          <w:rFonts w:cs="Arial"/>
        </w:rPr>
        <w:t>.</w:t>
      </w:r>
      <w:r w:rsidR="00831FE0">
        <w:rPr>
          <w:rFonts w:cs="Arial"/>
        </w:rPr>
        <w:t xml:space="preserve"> </w:t>
      </w:r>
      <w:r w:rsidR="000A7EAA" w:rsidRPr="00187DE8">
        <w:rPr>
          <w:rFonts w:cs="Arial"/>
          <w:b/>
          <w:bCs/>
        </w:rPr>
        <w:t>Note</w:t>
      </w:r>
      <w:r w:rsidR="000A7EAA" w:rsidRPr="00EE2DBF">
        <w:rPr>
          <w:rFonts w:cs="Arial"/>
        </w:rPr>
        <w:t>: a</w:t>
      </w:r>
      <w:r w:rsidR="000A7EAA">
        <w:rPr>
          <w:rFonts w:cs="Arial"/>
        </w:rPr>
        <w:t>n individual</w:t>
      </w:r>
      <w:r w:rsidR="000A7EAA" w:rsidRPr="00EE2DBF">
        <w:rPr>
          <w:rFonts w:cs="Arial"/>
        </w:rPr>
        <w:t xml:space="preserve"> case may include </w:t>
      </w:r>
      <w:r w:rsidR="000A7EAA">
        <w:rPr>
          <w:rFonts w:cs="Arial"/>
        </w:rPr>
        <w:t xml:space="preserve">one or </w:t>
      </w:r>
      <w:r w:rsidR="000A7EAA" w:rsidRPr="00EE2DBF">
        <w:rPr>
          <w:rFonts w:cs="Arial"/>
        </w:rPr>
        <w:t xml:space="preserve">more </w:t>
      </w:r>
      <w:r w:rsidR="000A7EAA">
        <w:rPr>
          <w:rFonts w:cs="Arial"/>
        </w:rPr>
        <w:t xml:space="preserve">complaint </w:t>
      </w:r>
      <w:r w:rsidR="000A7EAA" w:rsidRPr="00EE2DBF">
        <w:rPr>
          <w:rFonts w:cs="Arial"/>
        </w:rPr>
        <w:t>is</w:t>
      </w:r>
      <w:r w:rsidR="000A7EAA">
        <w:rPr>
          <w:rFonts w:cs="Arial"/>
        </w:rPr>
        <w:t>sue.</w:t>
      </w:r>
    </w:p>
    <w:p w14:paraId="153DCF4E" w14:textId="1B6B1B82" w:rsidR="00611A67" w:rsidRDefault="00A72BF7" w:rsidP="00823BC0">
      <w:pPr>
        <w:rPr>
          <w:rFonts w:cs="Arial"/>
        </w:rPr>
      </w:pPr>
      <w:r>
        <w:rPr>
          <w:rFonts w:cs="Arial"/>
          <w:noProof/>
        </w:rPr>
        <w:drawing>
          <wp:inline distT="0" distB="0" distL="0" distR="0" wp14:anchorId="1E1DB4A8" wp14:editId="2C6BB231">
            <wp:extent cx="6492875" cy="8590280"/>
            <wp:effectExtent l="0" t="0" r="3175" b="1270"/>
            <wp:docPr id="650065536" name="Picture 17" descr="Figure 17 shows the history of issues raised in cases about proposed and operating onshore wind farms each calendar year since the inception of th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65536" name="Picture 17" descr="Figure 17 shows the history of issues raised in cases about proposed and operating onshore wind farms each calendar year since the inception of the Offic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92875" cy="8590280"/>
                    </a:xfrm>
                    <a:prstGeom prst="rect">
                      <a:avLst/>
                    </a:prstGeom>
                    <a:noFill/>
                  </pic:spPr>
                </pic:pic>
              </a:graphicData>
            </a:graphic>
          </wp:inline>
        </w:drawing>
      </w:r>
    </w:p>
    <w:p w14:paraId="77A00D61" w14:textId="485016BF" w:rsidR="00A86C46" w:rsidRDefault="00A86C46" w:rsidP="007213E2">
      <w:pPr>
        <w:rPr>
          <w:rFonts w:cs="Arial"/>
        </w:rPr>
      </w:pPr>
      <w:r w:rsidRPr="00C515C0">
        <w:rPr>
          <w:rFonts w:cs="Arial"/>
          <w:b/>
        </w:rPr>
        <w:lastRenderedPageBreak/>
        <w:t>Figure 1</w:t>
      </w:r>
      <w:r>
        <w:rPr>
          <w:rFonts w:cs="Arial"/>
          <w:b/>
        </w:rPr>
        <w:t>8</w:t>
      </w:r>
      <w:r>
        <w:rPr>
          <w:rFonts w:cs="Arial"/>
        </w:rPr>
        <w:t xml:space="preserve"> shows the history of issues raised in cases about proposed and operating solar farms and storage facilities (both battery and pumped</w:t>
      </w:r>
      <w:r w:rsidR="003D0CDE">
        <w:rPr>
          <w:rFonts w:cs="Arial"/>
        </w:rPr>
        <w:t xml:space="preserve"> hydro</w:t>
      </w:r>
      <w:r>
        <w:rPr>
          <w:rFonts w:cs="Arial"/>
        </w:rPr>
        <w:t>)</w:t>
      </w:r>
      <w:r w:rsidR="007213E2">
        <w:rPr>
          <w:rFonts w:cs="Arial"/>
        </w:rPr>
        <w:t xml:space="preserve"> in </w:t>
      </w:r>
      <w:r>
        <w:rPr>
          <w:rFonts w:cs="Arial"/>
        </w:rPr>
        <w:t xml:space="preserve">each </w:t>
      </w:r>
      <w:r w:rsidR="007213E2">
        <w:rPr>
          <w:rFonts w:cs="Arial"/>
        </w:rPr>
        <w:t xml:space="preserve">full </w:t>
      </w:r>
      <w:r>
        <w:rPr>
          <w:rFonts w:cs="Arial"/>
        </w:rPr>
        <w:t xml:space="preserve">calendar year since </w:t>
      </w:r>
      <w:r w:rsidR="007213E2">
        <w:rPr>
          <w:rFonts w:cs="Arial"/>
        </w:rPr>
        <w:t xml:space="preserve">these asset types were included in the </w:t>
      </w:r>
      <w:r>
        <w:rPr>
          <w:rFonts w:cs="Arial"/>
        </w:rPr>
        <w:t xml:space="preserve">Commissioner’s </w:t>
      </w:r>
      <w:r w:rsidR="007213E2">
        <w:rPr>
          <w:rFonts w:cs="Arial"/>
        </w:rPr>
        <w:t>Terms of Reference</w:t>
      </w:r>
      <w:r>
        <w:rPr>
          <w:rFonts w:cs="Arial"/>
        </w:rPr>
        <w:t>.</w:t>
      </w:r>
      <w:r w:rsidR="007200C3">
        <w:rPr>
          <w:rFonts w:cs="Arial"/>
          <w:b/>
          <w:bCs/>
        </w:rPr>
        <w:t xml:space="preserve"> </w:t>
      </w:r>
      <w:r w:rsidR="00000D14" w:rsidRPr="00187DE8">
        <w:rPr>
          <w:rFonts w:cs="Arial"/>
          <w:b/>
          <w:bCs/>
        </w:rPr>
        <w:t>Note</w:t>
      </w:r>
      <w:r w:rsidR="00000D14" w:rsidRPr="00EE2DBF">
        <w:rPr>
          <w:rFonts w:cs="Arial"/>
        </w:rPr>
        <w:t>: a</w:t>
      </w:r>
      <w:r w:rsidR="00000D14">
        <w:rPr>
          <w:rFonts w:cs="Arial"/>
        </w:rPr>
        <w:t>n individual</w:t>
      </w:r>
      <w:r w:rsidR="00000D14" w:rsidRPr="00EE2DBF">
        <w:rPr>
          <w:rFonts w:cs="Arial"/>
        </w:rPr>
        <w:t xml:space="preserve"> case may include </w:t>
      </w:r>
      <w:r w:rsidR="00000D14">
        <w:rPr>
          <w:rFonts w:cs="Arial"/>
        </w:rPr>
        <w:t xml:space="preserve">one or </w:t>
      </w:r>
      <w:r w:rsidR="00000D14" w:rsidRPr="00EE2DBF">
        <w:rPr>
          <w:rFonts w:cs="Arial"/>
        </w:rPr>
        <w:t xml:space="preserve">more </w:t>
      </w:r>
      <w:r w:rsidR="00000D14">
        <w:rPr>
          <w:rFonts w:cs="Arial"/>
        </w:rPr>
        <w:t xml:space="preserve">complaint </w:t>
      </w:r>
      <w:r w:rsidR="00000D14" w:rsidRPr="00EE2DBF">
        <w:rPr>
          <w:rFonts w:cs="Arial"/>
        </w:rPr>
        <w:t>is</w:t>
      </w:r>
      <w:r w:rsidR="00000D14">
        <w:rPr>
          <w:rFonts w:cs="Arial"/>
        </w:rPr>
        <w:t>sue.</w:t>
      </w:r>
    </w:p>
    <w:p w14:paraId="19F71F09" w14:textId="5DFF4428" w:rsidR="00A86C46" w:rsidRDefault="00A72BF7" w:rsidP="00F1065D">
      <w:pPr>
        <w:jc w:val="center"/>
        <w:rPr>
          <w:rFonts w:cs="Arial"/>
        </w:rPr>
      </w:pPr>
      <w:r>
        <w:rPr>
          <w:rFonts w:cs="Arial"/>
          <w:noProof/>
        </w:rPr>
        <w:drawing>
          <wp:inline distT="0" distB="0" distL="0" distR="0" wp14:anchorId="43D94656" wp14:editId="149B7584">
            <wp:extent cx="6443980" cy="7779385"/>
            <wp:effectExtent l="0" t="0" r="0" b="0"/>
            <wp:docPr id="212585876" name="Picture 18" descr="Figure 18 shows the history of issues raised in cases about proposed and operating solar farms and storage facilities (both battery and pumped hydro) in each full calendar year since these asset types were included in the Commissioner’s Terms of Re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5876" name="Picture 18" descr="Figure 18 shows the history of issues raised in cases about proposed and operating solar farms and storage facilities (both battery and pumped hydro) in each full calendar year since these asset types were included in the Commissioner’s Terms of Reference.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443980" cy="7779385"/>
                    </a:xfrm>
                    <a:prstGeom prst="rect">
                      <a:avLst/>
                    </a:prstGeom>
                    <a:noFill/>
                  </pic:spPr>
                </pic:pic>
              </a:graphicData>
            </a:graphic>
          </wp:inline>
        </w:drawing>
      </w:r>
    </w:p>
    <w:p w14:paraId="79D43080" w14:textId="77777777" w:rsidR="00000D14" w:rsidRDefault="00000D14">
      <w:pPr>
        <w:rPr>
          <w:rFonts w:cs="Arial"/>
          <w:b/>
        </w:rPr>
      </w:pPr>
      <w:r>
        <w:rPr>
          <w:rFonts w:cs="Arial"/>
          <w:b/>
        </w:rPr>
        <w:br w:type="page"/>
      </w:r>
    </w:p>
    <w:p w14:paraId="41AF4A8D" w14:textId="6EEC12AA" w:rsidR="000A7EAA" w:rsidRDefault="00A86C46" w:rsidP="00F1065D">
      <w:pPr>
        <w:rPr>
          <w:rFonts w:cs="Arial"/>
        </w:rPr>
      </w:pPr>
      <w:r w:rsidRPr="00C515C0">
        <w:rPr>
          <w:rFonts w:cs="Arial"/>
          <w:b/>
        </w:rPr>
        <w:lastRenderedPageBreak/>
        <w:t>Figure </w:t>
      </w:r>
      <w:r>
        <w:rPr>
          <w:rFonts w:cs="Arial"/>
          <w:b/>
        </w:rPr>
        <w:t>19</w:t>
      </w:r>
      <w:r>
        <w:rPr>
          <w:rFonts w:cs="Arial"/>
        </w:rPr>
        <w:t xml:space="preserve"> shows the history of issues raised in cases about </w:t>
      </w:r>
      <w:r w:rsidR="00F1065D">
        <w:rPr>
          <w:rFonts w:cs="Arial"/>
        </w:rPr>
        <w:t xml:space="preserve">high-voltage transmission </w:t>
      </w:r>
      <w:r>
        <w:rPr>
          <w:rFonts w:cs="Arial"/>
        </w:rPr>
        <w:t xml:space="preserve">each calendar year since </w:t>
      </w:r>
      <w:r w:rsidR="00CF6BD3">
        <w:rPr>
          <w:rFonts w:cs="Arial"/>
        </w:rPr>
        <w:t xml:space="preserve">March 2021, when </w:t>
      </w:r>
      <w:r>
        <w:rPr>
          <w:rFonts w:cs="Arial"/>
        </w:rPr>
        <w:t xml:space="preserve">this infrastructure asset type was </w:t>
      </w:r>
      <w:r w:rsidR="00CF6BD3">
        <w:rPr>
          <w:rFonts w:cs="Arial"/>
        </w:rPr>
        <w:t>added</w:t>
      </w:r>
      <w:r w:rsidR="007200C3">
        <w:rPr>
          <w:rFonts w:cs="Arial"/>
        </w:rPr>
        <w:t xml:space="preserve"> to the Commissioner’s Terms of Reference.</w:t>
      </w:r>
      <w:r w:rsidR="007200C3">
        <w:rPr>
          <w:rFonts w:cs="Arial"/>
          <w:b/>
          <w:bCs/>
        </w:rPr>
        <w:t xml:space="preserve"> </w:t>
      </w:r>
      <w:r w:rsidR="000A7EAA" w:rsidRPr="00187DE8">
        <w:rPr>
          <w:rFonts w:cs="Arial"/>
          <w:b/>
          <w:bCs/>
        </w:rPr>
        <w:t>Note</w:t>
      </w:r>
      <w:r w:rsidR="000A7EAA" w:rsidRPr="00EE2DBF">
        <w:rPr>
          <w:rFonts w:cs="Arial"/>
        </w:rPr>
        <w:t>: a</w:t>
      </w:r>
      <w:r w:rsidR="000A7EAA">
        <w:rPr>
          <w:rFonts w:cs="Arial"/>
        </w:rPr>
        <w:t>n individual</w:t>
      </w:r>
      <w:r w:rsidR="000A7EAA" w:rsidRPr="00EE2DBF">
        <w:rPr>
          <w:rFonts w:cs="Arial"/>
        </w:rPr>
        <w:t xml:space="preserve"> case may include </w:t>
      </w:r>
      <w:r w:rsidR="000A7EAA">
        <w:rPr>
          <w:rFonts w:cs="Arial"/>
        </w:rPr>
        <w:t xml:space="preserve">one or </w:t>
      </w:r>
      <w:r w:rsidR="000A7EAA" w:rsidRPr="00EE2DBF">
        <w:rPr>
          <w:rFonts w:cs="Arial"/>
        </w:rPr>
        <w:t xml:space="preserve">more </w:t>
      </w:r>
      <w:r w:rsidR="000A7EAA">
        <w:rPr>
          <w:rFonts w:cs="Arial"/>
        </w:rPr>
        <w:t xml:space="preserve">complaint </w:t>
      </w:r>
      <w:r w:rsidR="000A7EAA" w:rsidRPr="00EE2DBF">
        <w:rPr>
          <w:rFonts w:cs="Arial"/>
        </w:rPr>
        <w:t>is</w:t>
      </w:r>
      <w:r w:rsidR="000A7EAA">
        <w:rPr>
          <w:rFonts w:cs="Arial"/>
        </w:rPr>
        <w:t>sue.</w:t>
      </w:r>
    </w:p>
    <w:p w14:paraId="58F956BF" w14:textId="494513F7" w:rsidR="00F1065D" w:rsidRDefault="00A72BF7" w:rsidP="00F1065D">
      <w:pPr>
        <w:jc w:val="center"/>
        <w:rPr>
          <w:rFonts w:cs="Arial"/>
        </w:rPr>
      </w:pPr>
      <w:r>
        <w:rPr>
          <w:rFonts w:cs="Arial"/>
          <w:noProof/>
        </w:rPr>
        <w:drawing>
          <wp:inline distT="0" distB="0" distL="0" distR="0" wp14:anchorId="5F7DFAA1" wp14:editId="1DD2108B">
            <wp:extent cx="6395085" cy="8529320"/>
            <wp:effectExtent l="0" t="0" r="5715" b="5080"/>
            <wp:docPr id="540427410" name="Picture 19" descr="Figure 19 shows the history of issues raised in cases about high-voltage transmission each calendar year since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27410" name="Picture 19" descr="Figure 19 shows the history of issues raised in cases about high-voltage transmission each calendar year since March 20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95085" cy="8529320"/>
                    </a:xfrm>
                    <a:prstGeom prst="rect">
                      <a:avLst/>
                    </a:prstGeom>
                    <a:noFill/>
                  </pic:spPr>
                </pic:pic>
              </a:graphicData>
            </a:graphic>
          </wp:inline>
        </w:drawing>
      </w:r>
    </w:p>
    <w:p w14:paraId="4F1E5CA6" w14:textId="7194F007" w:rsidR="000A7EAA" w:rsidRDefault="00000D14" w:rsidP="00000D14">
      <w:pPr>
        <w:rPr>
          <w:rFonts w:cs="Arial"/>
        </w:rPr>
      </w:pPr>
      <w:r w:rsidRPr="00000D14">
        <w:rPr>
          <w:rFonts w:cs="Arial"/>
          <w:bCs/>
        </w:rPr>
        <w:lastRenderedPageBreak/>
        <w:t>As 2023</w:t>
      </w:r>
      <w:r>
        <w:rPr>
          <w:rFonts w:cs="Arial"/>
          <w:b/>
        </w:rPr>
        <w:t xml:space="preserve"> </w:t>
      </w:r>
      <w:r w:rsidRPr="00000D14">
        <w:rPr>
          <w:rFonts w:cs="Arial"/>
          <w:bCs/>
        </w:rPr>
        <w:t>was the first calendar year in which the Office has separately account</w:t>
      </w:r>
      <w:r w:rsidR="00DD540F">
        <w:rPr>
          <w:rFonts w:cs="Arial"/>
          <w:bCs/>
        </w:rPr>
        <w:t>ed</w:t>
      </w:r>
      <w:r w:rsidRPr="00000D14">
        <w:rPr>
          <w:rFonts w:cs="Arial"/>
          <w:bCs/>
        </w:rPr>
        <w:t xml:space="preserve"> for cases relating to offshore wind projects and/or proposed areas, </w:t>
      </w:r>
      <w:r w:rsidRPr="00C515C0">
        <w:rPr>
          <w:rFonts w:cs="Arial"/>
          <w:b/>
        </w:rPr>
        <w:t>Figure </w:t>
      </w:r>
      <w:r>
        <w:rPr>
          <w:rFonts w:cs="Arial"/>
          <w:b/>
        </w:rPr>
        <w:t>20</w:t>
      </w:r>
      <w:r>
        <w:rPr>
          <w:rFonts w:cs="Arial"/>
        </w:rPr>
        <w:t xml:space="preserve"> shows the breakdown of issues raised in cases relating to this asset type.</w:t>
      </w:r>
      <w:r w:rsidR="007200C3">
        <w:rPr>
          <w:rFonts w:cs="Arial"/>
          <w:b/>
          <w:bCs/>
        </w:rPr>
        <w:t xml:space="preserve"> </w:t>
      </w:r>
      <w:r w:rsidR="000A7EAA" w:rsidRPr="00187DE8">
        <w:rPr>
          <w:rFonts w:cs="Arial"/>
          <w:b/>
          <w:bCs/>
        </w:rPr>
        <w:t>Note</w:t>
      </w:r>
      <w:r w:rsidR="000A7EAA" w:rsidRPr="00EE2DBF">
        <w:rPr>
          <w:rFonts w:cs="Arial"/>
        </w:rPr>
        <w:t>: a</w:t>
      </w:r>
      <w:r w:rsidR="000A7EAA">
        <w:rPr>
          <w:rFonts w:cs="Arial"/>
        </w:rPr>
        <w:t>n individual</w:t>
      </w:r>
      <w:r w:rsidR="000A7EAA" w:rsidRPr="00EE2DBF">
        <w:rPr>
          <w:rFonts w:cs="Arial"/>
        </w:rPr>
        <w:t xml:space="preserve"> case may include </w:t>
      </w:r>
      <w:r w:rsidR="000A7EAA">
        <w:rPr>
          <w:rFonts w:cs="Arial"/>
        </w:rPr>
        <w:t xml:space="preserve">one or </w:t>
      </w:r>
      <w:r w:rsidR="000A7EAA" w:rsidRPr="00EE2DBF">
        <w:rPr>
          <w:rFonts w:cs="Arial"/>
        </w:rPr>
        <w:t xml:space="preserve">more </w:t>
      </w:r>
      <w:r w:rsidR="000A7EAA">
        <w:rPr>
          <w:rFonts w:cs="Arial"/>
        </w:rPr>
        <w:t xml:space="preserve">complaint </w:t>
      </w:r>
      <w:r w:rsidR="000A7EAA" w:rsidRPr="00EE2DBF">
        <w:rPr>
          <w:rFonts w:cs="Arial"/>
        </w:rPr>
        <w:t>is</w:t>
      </w:r>
      <w:r w:rsidR="000A7EAA">
        <w:rPr>
          <w:rFonts w:cs="Arial"/>
        </w:rPr>
        <w:t>sue.</w:t>
      </w:r>
    </w:p>
    <w:p w14:paraId="3AA9E5E4" w14:textId="2B0C17D9" w:rsidR="00F1065D" w:rsidRDefault="00A72BF7" w:rsidP="000A7EAA">
      <w:pPr>
        <w:jc w:val="center"/>
        <w:rPr>
          <w:rFonts w:cs="Arial"/>
        </w:rPr>
      </w:pPr>
      <w:r>
        <w:rPr>
          <w:rFonts w:cs="Arial"/>
          <w:noProof/>
        </w:rPr>
        <w:drawing>
          <wp:inline distT="0" distB="0" distL="0" distR="0" wp14:anchorId="666154A6" wp14:editId="3367EF72">
            <wp:extent cx="4584700" cy="2755900"/>
            <wp:effectExtent l="0" t="0" r="6350" b="6350"/>
            <wp:docPr id="164204536" name="Picture 20" descr="Figure 20 shows the breakdown of issues raised in cases relating to offshor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536" name="Picture 20" descr="Figure 20 shows the breakdown of issues raised in cases relating to offshore win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55914F6" w14:textId="59B90B3A" w:rsidR="00823BC0" w:rsidRDefault="00823BC0">
      <w:pPr>
        <w:rPr>
          <w:rFonts w:cs="Arial"/>
          <w:bCs/>
          <w:lang w:eastAsia="en-AU"/>
        </w:rPr>
      </w:pPr>
      <w:r>
        <w:rPr>
          <w:rFonts w:cs="Arial"/>
          <w:bCs/>
          <w:lang w:eastAsia="en-AU"/>
        </w:rPr>
        <w:br w:type="page"/>
      </w:r>
    </w:p>
    <w:p w14:paraId="7610B924" w14:textId="77777777" w:rsidR="001C4B22" w:rsidRPr="00347ED7" w:rsidRDefault="001C4B22" w:rsidP="001C4B22">
      <w:pPr>
        <w:jc w:val="both"/>
        <w:rPr>
          <w:rFonts w:cs="Arial"/>
          <w:bCs/>
          <w:lang w:eastAsia="en-AU"/>
        </w:rPr>
        <w:sectPr w:rsidR="001C4B22" w:rsidRPr="00347ED7" w:rsidSect="00D801AB">
          <w:headerReference w:type="even" r:id="rId68"/>
          <w:headerReference w:type="default" r:id="rId69"/>
          <w:footerReference w:type="default" r:id="rId70"/>
          <w:headerReference w:type="first" r:id="rId71"/>
          <w:footerReference w:type="first" r:id="rId72"/>
          <w:pgSz w:w="11906" w:h="16838" w:code="9"/>
          <w:pgMar w:top="720" w:right="720" w:bottom="720" w:left="720" w:header="425" w:footer="425" w:gutter="0"/>
          <w:cols w:space="708"/>
          <w:docGrid w:linePitch="360"/>
        </w:sectPr>
      </w:pPr>
    </w:p>
    <w:p w14:paraId="08DE33BB" w14:textId="77777777" w:rsidR="00ED6B30" w:rsidRPr="003329B0" w:rsidRDefault="00ED6B30" w:rsidP="00ED6B30">
      <w:pPr>
        <w:pStyle w:val="Heading1"/>
      </w:pPr>
      <w:bookmarkStart w:id="36" w:name="_Toc161672801"/>
      <w:r>
        <w:lastRenderedPageBreak/>
        <w:t>S</w:t>
      </w:r>
      <w:r w:rsidRPr="003329B0">
        <w:t>takeholder Engagement</w:t>
      </w:r>
      <w:bookmarkEnd w:id="36"/>
    </w:p>
    <w:p w14:paraId="4F733120" w14:textId="6688966A" w:rsidR="00ED6B30" w:rsidRDefault="00ED6B30" w:rsidP="00ED6B30">
      <w:bookmarkStart w:id="37" w:name="_Toc131179308"/>
      <w:bookmarkStart w:id="38" w:name="_Toc131424244"/>
      <w:bookmarkStart w:id="39" w:name="_Toc131424429"/>
      <w:bookmarkStart w:id="40" w:name="_Toc131424969"/>
      <w:bookmarkStart w:id="41" w:name="_Toc131502700"/>
      <w:bookmarkStart w:id="42" w:name="_Toc131505139"/>
      <w:bookmarkStart w:id="43" w:name="_Toc131505303"/>
      <w:bookmarkStart w:id="44" w:name="_Toc132641433"/>
      <w:r>
        <w:t xml:space="preserve">In delivering the three core functions of </w:t>
      </w:r>
      <w:r w:rsidR="009E0679">
        <w:t xml:space="preserve">the Commissioner’s </w:t>
      </w:r>
      <w:r>
        <w:t>role – community complaint handling, the dissemination of trusted information, and the promotion of best practices – t</w:t>
      </w:r>
      <w:r w:rsidRPr="003365AB">
        <w:t xml:space="preserve">he </w:t>
      </w:r>
      <w:r w:rsidR="00334CD7">
        <w:t xml:space="preserve">Office and the </w:t>
      </w:r>
      <w:r w:rsidRPr="003365AB">
        <w:t xml:space="preserve">Commissioner work with a wide range of stakeholders to </w:t>
      </w:r>
      <w:r>
        <w:t xml:space="preserve">identify practical and enduring pathways to </w:t>
      </w:r>
      <w:r w:rsidRPr="003365AB">
        <w:t>resolve</w:t>
      </w:r>
      <w:r>
        <w:t xml:space="preserve"> project-specific and</w:t>
      </w:r>
      <w:r w:rsidRPr="003365AB">
        <w:t xml:space="preserve"> systemic issues.</w:t>
      </w:r>
    </w:p>
    <w:p w14:paraId="11306834" w14:textId="30E21299" w:rsidR="00ED6B30" w:rsidRDefault="00ED6B30" w:rsidP="00ED6B30">
      <w:r>
        <w:t xml:space="preserve">This section of the 2023 Annual Report focuses on the ongoing stakeholder engagement dimensions of that work within the Commissioner’s (and the Office’s) “business-as-usual” operations. Specific details on stakeholder engagement during the 2023 </w:t>
      </w:r>
      <w:r>
        <w:rPr>
          <w:i/>
          <w:iCs/>
        </w:rPr>
        <w:t>Community Engagement</w:t>
      </w:r>
      <w:r>
        <w:rPr>
          <w:i/>
        </w:rPr>
        <w:t xml:space="preserve"> </w:t>
      </w:r>
      <w:r w:rsidR="005B2749">
        <w:rPr>
          <w:i/>
          <w:iCs/>
        </w:rPr>
        <w:t>Review</w:t>
      </w:r>
      <w:r>
        <w:t xml:space="preserve"> are provided in the</w:t>
      </w:r>
      <w:r w:rsidR="00511DAE">
        <w:t xml:space="preserve"> </w:t>
      </w:r>
      <w:r w:rsidR="00511DAE">
        <w:rPr>
          <w:i/>
          <w:iCs/>
        </w:rPr>
        <w:t xml:space="preserve">Transparency and Best Practice </w:t>
      </w:r>
      <w:r>
        <w:t>section.</w:t>
      </w:r>
    </w:p>
    <w:p w14:paraId="091A42A0" w14:textId="77777777" w:rsidR="00ED6B30" w:rsidRDefault="00ED6B30" w:rsidP="00ED6B30">
      <w:r>
        <w:t xml:space="preserve">In summary, through both the ad hoc and regular meetings in 2023 the Commissioner and the Office connected with </w:t>
      </w:r>
      <w:r w:rsidRPr="0021724D">
        <w:t>a wide range of stakeholders across the renewable energy infrastructure landscape</w:t>
      </w:r>
      <w:r>
        <w:t xml:space="preserve">. This has included both </w:t>
      </w:r>
      <w:r w:rsidRPr="003365AB">
        <w:t>concerned and supportive community members</w:t>
      </w:r>
      <w:r>
        <w:t xml:space="preserve"> and groups, along with individual First Nations organisations, </w:t>
      </w:r>
      <w:r w:rsidRPr="003365AB">
        <w:t>industry representatives</w:t>
      </w:r>
      <w:r>
        <w:t xml:space="preserve"> (from individual project proponents through to peak bodies)</w:t>
      </w:r>
      <w:r w:rsidRPr="003365AB">
        <w:t xml:space="preserve">, </w:t>
      </w:r>
      <w:r>
        <w:t xml:space="preserve">various technical </w:t>
      </w:r>
      <w:r w:rsidRPr="003365AB">
        <w:t xml:space="preserve">experts </w:t>
      </w:r>
      <w:r>
        <w:t xml:space="preserve">and specialist organisations, and the full range of </w:t>
      </w:r>
      <w:r w:rsidRPr="003365AB">
        <w:t>federal, state and local governments.</w:t>
      </w:r>
      <w:bookmarkEnd w:id="37"/>
      <w:bookmarkEnd w:id="38"/>
      <w:bookmarkEnd w:id="39"/>
      <w:bookmarkEnd w:id="40"/>
      <w:bookmarkEnd w:id="41"/>
      <w:bookmarkEnd w:id="42"/>
      <w:bookmarkEnd w:id="43"/>
      <w:bookmarkEnd w:id="44"/>
    </w:p>
    <w:p w14:paraId="4F7A9C49" w14:textId="77777777" w:rsidR="00ED6B30" w:rsidRPr="003329B0" w:rsidRDefault="00ED6B30" w:rsidP="00ED6B30">
      <w:pPr>
        <w:pStyle w:val="Heading2"/>
        <w:rPr>
          <w:i/>
          <w:iCs/>
        </w:rPr>
      </w:pPr>
      <w:bookmarkStart w:id="45" w:name="_Toc161672802"/>
      <w:r w:rsidRPr="003329B0">
        <w:rPr>
          <w:i/>
          <w:iCs/>
        </w:rPr>
        <w:t>Project and community site visits</w:t>
      </w:r>
      <w:bookmarkEnd w:id="45"/>
    </w:p>
    <w:p w14:paraId="2DCA8426" w14:textId="79C92883" w:rsidR="00ED6B30" w:rsidRPr="003365AB" w:rsidRDefault="00ED6B30" w:rsidP="00ED6B30">
      <w:pPr>
        <w:rPr>
          <w:b/>
        </w:rPr>
      </w:pPr>
      <w:bookmarkStart w:id="46" w:name="_Toc131179311"/>
      <w:bookmarkStart w:id="47" w:name="_Toc131424247"/>
      <w:bookmarkStart w:id="48" w:name="_Toc131424432"/>
      <w:bookmarkStart w:id="49" w:name="_Toc131424972"/>
      <w:bookmarkStart w:id="50" w:name="_Toc131502703"/>
      <w:bookmarkStart w:id="51" w:name="_Toc131505142"/>
      <w:bookmarkStart w:id="52" w:name="_Toc131505306"/>
      <w:bookmarkStart w:id="53" w:name="_Toc132641436"/>
      <w:r w:rsidRPr="003365AB">
        <w:t xml:space="preserve">Since the inception of the Commissioner’s role, the Commissioner has visited </w:t>
      </w:r>
      <w:r>
        <w:t xml:space="preserve">more than </w:t>
      </w:r>
      <w:r>
        <w:br/>
      </w:r>
      <w:r w:rsidRPr="00D913C1">
        <w:t>83</w:t>
      </w:r>
      <w:r w:rsidRPr="003365AB">
        <w:t xml:space="preserve"> project sites around Australia (see </w:t>
      </w:r>
      <w:r w:rsidR="00AE5616">
        <w:t>t</w:t>
      </w:r>
      <w:r w:rsidRPr="003365AB">
        <w:t>ables 1-3 on the following page).</w:t>
      </w:r>
      <w:bookmarkEnd w:id="46"/>
      <w:bookmarkEnd w:id="47"/>
      <w:bookmarkEnd w:id="48"/>
      <w:bookmarkEnd w:id="49"/>
      <w:bookmarkEnd w:id="50"/>
      <w:bookmarkEnd w:id="51"/>
      <w:bookmarkEnd w:id="52"/>
      <w:bookmarkEnd w:id="53"/>
    </w:p>
    <w:p w14:paraId="4D3C614C" w14:textId="77777777" w:rsidR="00ED6B30" w:rsidRDefault="00ED6B30" w:rsidP="00ED6B30">
      <w:pPr>
        <w:rPr>
          <w:b/>
        </w:rPr>
      </w:pPr>
      <w:bookmarkStart w:id="54" w:name="_Toc131424248"/>
      <w:bookmarkStart w:id="55" w:name="_Toc131424433"/>
      <w:bookmarkStart w:id="56" w:name="_Toc131424973"/>
      <w:bookmarkStart w:id="57" w:name="_Toc131502704"/>
      <w:bookmarkStart w:id="58" w:name="_Toc131505143"/>
      <w:bookmarkStart w:id="59" w:name="_Toc131505307"/>
      <w:bookmarkStart w:id="60" w:name="_Toc132641437"/>
      <w:bookmarkStart w:id="61" w:name="_Toc131179312"/>
      <w:r>
        <w:t>S</w:t>
      </w:r>
      <w:r w:rsidRPr="003365AB">
        <w:t xml:space="preserve">ite visits provide </w:t>
      </w:r>
      <w:r>
        <w:t>an</w:t>
      </w:r>
      <w:r w:rsidRPr="003365AB">
        <w:t xml:space="preserve"> opportunity to meet with concerned residents as well as directly experience operational activities </w:t>
      </w:r>
      <w:r>
        <w:t>and</w:t>
      </w:r>
      <w:r w:rsidRPr="003365AB">
        <w:t xml:space="preserve"> potential affected area</w:t>
      </w:r>
      <w:r>
        <w:t>s</w:t>
      </w:r>
      <w:r w:rsidRPr="003365AB">
        <w:t xml:space="preserve">. In several cases, </w:t>
      </w:r>
      <w:r>
        <w:t>mainly</w:t>
      </w:r>
      <w:r w:rsidRPr="003365AB">
        <w:t xml:space="preserve"> </w:t>
      </w:r>
      <w:r>
        <w:t>driven by case</w:t>
      </w:r>
      <w:r w:rsidRPr="003365AB">
        <w:t xml:space="preserve"> handling activities or ongoing systemic matters, project locations have been visited multiple times.</w:t>
      </w:r>
      <w:bookmarkEnd w:id="54"/>
      <w:bookmarkEnd w:id="55"/>
      <w:bookmarkEnd w:id="56"/>
      <w:bookmarkEnd w:id="57"/>
      <w:bookmarkEnd w:id="58"/>
      <w:bookmarkEnd w:id="59"/>
      <w:bookmarkEnd w:id="60"/>
      <w:r w:rsidRPr="003365AB">
        <w:t xml:space="preserve"> </w:t>
      </w:r>
    </w:p>
    <w:p w14:paraId="206D82FE" w14:textId="77777777" w:rsidR="00ED6B30" w:rsidRDefault="00ED6B30" w:rsidP="00ED6B30">
      <w:bookmarkStart w:id="62" w:name="_Toc131424249"/>
      <w:bookmarkStart w:id="63" w:name="_Toc131424434"/>
      <w:bookmarkStart w:id="64" w:name="_Toc131424974"/>
      <w:bookmarkStart w:id="65" w:name="_Toc131502705"/>
      <w:bookmarkStart w:id="66" w:name="_Toc131505144"/>
      <w:bookmarkStart w:id="67" w:name="_Toc131505308"/>
      <w:bookmarkStart w:id="68" w:name="_Toc132641438"/>
      <w:r w:rsidRPr="003365AB">
        <w:t>For example, throughout 202</w:t>
      </w:r>
      <w:r>
        <w:t>3</w:t>
      </w:r>
      <w:r w:rsidRPr="003365AB">
        <w:t xml:space="preserve"> the Commissioner undertook </w:t>
      </w:r>
      <w:r>
        <w:t xml:space="preserve">a number of formal and informal </w:t>
      </w:r>
      <w:r w:rsidRPr="003365AB">
        <w:t xml:space="preserve">site visits </w:t>
      </w:r>
      <w:r>
        <w:t xml:space="preserve">related </w:t>
      </w:r>
      <w:r w:rsidRPr="003365AB">
        <w:t xml:space="preserve">to the proposed Western Renewables Link </w:t>
      </w:r>
      <w:r>
        <w:t xml:space="preserve">and VNI (West) projects in Victoria, as well as local meetings with residents in relation to the </w:t>
      </w:r>
      <w:r w:rsidRPr="00421B96">
        <w:t xml:space="preserve">North West Transmission Developments </w:t>
      </w:r>
      <w:r>
        <w:t xml:space="preserve">(NWTD) </w:t>
      </w:r>
      <w:r w:rsidRPr="00421B96">
        <w:t xml:space="preserve">project </w:t>
      </w:r>
      <w:r>
        <w:t xml:space="preserve">in </w:t>
      </w:r>
      <w:r w:rsidRPr="00913DD1">
        <w:t>Tasmania and the HumeLink project in NSW.</w:t>
      </w:r>
      <w:r w:rsidRPr="003365AB">
        <w:t xml:space="preserve"> </w:t>
      </w:r>
    </w:p>
    <w:p w14:paraId="244710B5" w14:textId="23F5AA27" w:rsidR="00ED6B30" w:rsidRPr="003365AB" w:rsidRDefault="003B3028" w:rsidP="00ED6B30">
      <w:pPr>
        <w:rPr>
          <w:b/>
        </w:rPr>
      </w:pPr>
      <w:r>
        <w:t>I</w:t>
      </w:r>
      <w:r w:rsidR="00ED6B30">
        <w:t xml:space="preserve">n-person visits </w:t>
      </w:r>
      <w:r>
        <w:t xml:space="preserve">to </w:t>
      </w:r>
      <w:r w:rsidR="00ED6B30" w:rsidRPr="003365AB">
        <w:t xml:space="preserve">landholders </w:t>
      </w:r>
      <w:r w:rsidR="00ED6B30">
        <w:t xml:space="preserve">who are </w:t>
      </w:r>
      <w:r w:rsidR="00ED6B30" w:rsidRPr="003365AB">
        <w:t xml:space="preserve">potentially </w:t>
      </w:r>
      <w:r w:rsidR="00ED6B30">
        <w:t xml:space="preserve">affected by </w:t>
      </w:r>
      <w:r w:rsidR="00ED6B30" w:rsidRPr="003365AB">
        <w:t>proposed route</w:t>
      </w:r>
      <w:r w:rsidR="00ED6B30">
        <w:t>s</w:t>
      </w:r>
      <w:r w:rsidR="00ED6B30" w:rsidRPr="003365AB">
        <w:t xml:space="preserve"> </w:t>
      </w:r>
      <w:r w:rsidR="00ED6B30">
        <w:t>continue to highlight issues relating to land access, easement acquisition, and the importance of resolving route options and providing effective collateral materials (including fair and reasonable commercial agreements and project fact sheets that present key information from the landholder and community perspective).</w:t>
      </w:r>
      <w:bookmarkEnd w:id="61"/>
      <w:bookmarkEnd w:id="62"/>
      <w:bookmarkEnd w:id="63"/>
      <w:bookmarkEnd w:id="64"/>
      <w:bookmarkEnd w:id="65"/>
      <w:bookmarkEnd w:id="66"/>
      <w:bookmarkEnd w:id="67"/>
      <w:bookmarkEnd w:id="68"/>
    </w:p>
    <w:p w14:paraId="5558BFB4" w14:textId="2437E769" w:rsidR="00ED6B30" w:rsidRDefault="00ED6B30" w:rsidP="00ED6B30">
      <w:pPr>
        <w:rPr>
          <w:b/>
        </w:rPr>
      </w:pPr>
      <w:bookmarkStart w:id="69" w:name="_Toc131179314"/>
      <w:bookmarkStart w:id="70" w:name="_Toc131424250"/>
      <w:bookmarkStart w:id="71" w:name="_Toc131424435"/>
      <w:bookmarkStart w:id="72" w:name="_Toc131424975"/>
      <w:bookmarkStart w:id="73" w:name="_Toc131502706"/>
      <w:bookmarkStart w:id="74" w:name="_Toc131505145"/>
      <w:bookmarkStart w:id="75" w:name="_Toc131505309"/>
      <w:bookmarkStart w:id="76" w:name="_Toc132641439"/>
      <w:r>
        <w:t>The i</w:t>
      </w:r>
      <w:r w:rsidRPr="003365AB">
        <w:t xml:space="preserve">ssues raised </w:t>
      </w:r>
      <w:r>
        <w:t>at</w:t>
      </w:r>
      <w:r w:rsidRPr="003365AB">
        <w:t xml:space="preserve"> site visits </w:t>
      </w:r>
      <w:r>
        <w:t xml:space="preserve">and in meetings with community and landholders help better inform the Commissioner’s </w:t>
      </w:r>
      <w:r w:rsidRPr="003365AB">
        <w:t xml:space="preserve">discussions with industry and government </w:t>
      </w:r>
      <w:r>
        <w:t xml:space="preserve">and our ability to provide “on the ground” feedback and insights. The site visits and meetings assist the Commissioner </w:t>
      </w:r>
      <w:r w:rsidRPr="003365AB">
        <w:t xml:space="preserve">to better articulate </w:t>
      </w:r>
      <w:r w:rsidR="00B066D9">
        <w:t xml:space="preserve">community </w:t>
      </w:r>
      <w:r w:rsidRPr="003365AB">
        <w:t>concerns</w:t>
      </w:r>
      <w:r>
        <w:t xml:space="preserve"> and perspectives, as well as</w:t>
      </w:r>
      <w:r w:rsidRPr="003365AB">
        <w:t xml:space="preserve"> </w:t>
      </w:r>
      <w:r w:rsidR="0055003D">
        <w:t xml:space="preserve">the </w:t>
      </w:r>
      <w:r w:rsidRPr="003365AB">
        <w:t xml:space="preserve">preferred outcomes and </w:t>
      </w:r>
      <w:r>
        <w:t>in the resolution of</w:t>
      </w:r>
      <w:r w:rsidRPr="003365AB">
        <w:t xml:space="preserve"> issues. </w:t>
      </w:r>
      <w:r>
        <w:t>S</w:t>
      </w:r>
      <w:r w:rsidRPr="003365AB">
        <w:t xml:space="preserve">ite visits </w:t>
      </w:r>
      <w:r>
        <w:t xml:space="preserve">also </w:t>
      </w:r>
      <w:r w:rsidRPr="003365AB">
        <w:t xml:space="preserve">ensure that </w:t>
      </w:r>
      <w:r>
        <w:t>our Office</w:t>
      </w:r>
      <w:r w:rsidRPr="003365AB">
        <w:t xml:space="preserve"> </w:t>
      </w:r>
      <w:r>
        <w:t>is</w:t>
      </w:r>
      <w:r w:rsidRPr="003365AB">
        <w:t xml:space="preserve"> informed </w:t>
      </w:r>
      <w:r>
        <w:t xml:space="preserve">when </w:t>
      </w:r>
      <w:r w:rsidRPr="003365AB">
        <w:t>updat</w:t>
      </w:r>
      <w:r>
        <w:t>ing</w:t>
      </w:r>
      <w:r w:rsidRPr="003365AB">
        <w:t xml:space="preserve"> the Commissioner’s observations and recommendations.</w:t>
      </w:r>
      <w:bookmarkEnd w:id="69"/>
      <w:bookmarkEnd w:id="70"/>
      <w:bookmarkEnd w:id="71"/>
      <w:bookmarkEnd w:id="72"/>
      <w:bookmarkEnd w:id="73"/>
      <w:bookmarkEnd w:id="74"/>
      <w:bookmarkEnd w:id="75"/>
      <w:bookmarkEnd w:id="76"/>
    </w:p>
    <w:p w14:paraId="48BF2EF6" w14:textId="77777777" w:rsidR="00ED6B30" w:rsidRDefault="00ED6B30" w:rsidP="00ED6B30">
      <w:pPr>
        <w:spacing w:after="160" w:line="259" w:lineRule="auto"/>
        <w:rPr>
          <w:rFonts w:cs="Arial"/>
          <w:b/>
        </w:rPr>
      </w:pPr>
      <w:r>
        <w:rPr>
          <w:rFonts w:cs="Arial"/>
          <w:b/>
        </w:rPr>
        <w:br w:type="page"/>
      </w:r>
    </w:p>
    <w:p w14:paraId="697973A6" w14:textId="77777777" w:rsidR="00ED6B30" w:rsidRPr="00F154A1" w:rsidRDefault="00ED6B30" w:rsidP="00ED6B30">
      <w:pPr>
        <w:spacing w:after="120"/>
        <w:rPr>
          <w:rFonts w:cs="Arial"/>
          <w:b/>
        </w:rPr>
      </w:pPr>
      <w:r w:rsidRPr="00F154A1">
        <w:rPr>
          <w:rFonts w:cs="Arial"/>
          <w:b/>
        </w:rPr>
        <w:lastRenderedPageBreak/>
        <w:t>Table 1: List of 61 wind farm sites visited since 2015</w:t>
      </w:r>
    </w:p>
    <w:tbl>
      <w:tblPr>
        <w:tblStyle w:val="TableGrid"/>
        <w:tblW w:w="9493" w:type="dxa"/>
        <w:tblLayout w:type="fixed"/>
        <w:tblLook w:val="04A0" w:firstRow="1" w:lastRow="0" w:firstColumn="1" w:lastColumn="0" w:noHBand="0" w:noVBand="1"/>
      </w:tblPr>
      <w:tblGrid>
        <w:gridCol w:w="2405"/>
        <w:gridCol w:w="1985"/>
        <w:gridCol w:w="2126"/>
        <w:gridCol w:w="1559"/>
        <w:gridCol w:w="1418"/>
      </w:tblGrid>
      <w:tr w:rsidR="00ED6B30" w:rsidRPr="00F154A1" w14:paraId="5D2FB726" w14:textId="77777777" w:rsidTr="00E11D75">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DBE5F1" w:themeFill="accent1" w:themeFillTint="33"/>
          </w:tcPr>
          <w:p w14:paraId="735690CD" w14:textId="77777777" w:rsidR="00ED6B30" w:rsidRPr="00F154A1" w:rsidRDefault="00ED6B30" w:rsidP="0080606E">
            <w:pPr>
              <w:spacing w:before="120" w:after="120"/>
              <w:jc w:val="center"/>
              <w:rPr>
                <w:rFonts w:cs="Arial"/>
                <w:b/>
                <w:bCs/>
                <w:sz w:val="18"/>
                <w:szCs w:val="22"/>
              </w:rPr>
            </w:pPr>
            <w:r w:rsidRPr="00F154A1">
              <w:rPr>
                <w:rFonts w:cs="Arial"/>
                <w:b/>
                <w:bCs/>
                <w:sz w:val="18"/>
                <w:szCs w:val="22"/>
              </w:rPr>
              <w:t>State</w:t>
            </w:r>
          </w:p>
        </w:tc>
        <w:tc>
          <w:tcPr>
            <w:tcW w:w="7088" w:type="dxa"/>
            <w:gridSpan w:val="4"/>
            <w:tcBorders>
              <w:bottom w:val="single" w:sz="4" w:space="0" w:color="auto"/>
            </w:tcBorders>
            <w:shd w:val="clear" w:color="auto" w:fill="DBE5F1" w:themeFill="accent1" w:themeFillTint="33"/>
          </w:tcPr>
          <w:p w14:paraId="5AFDFF15" w14:textId="77777777" w:rsidR="00ED6B30" w:rsidRPr="00F154A1" w:rsidRDefault="00ED6B30" w:rsidP="0080606E">
            <w:pPr>
              <w:spacing w:before="120" w:after="120"/>
              <w:jc w:val="center"/>
              <w:rPr>
                <w:rFonts w:cs="Arial"/>
                <w:b/>
                <w:bCs/>
                <w:sz w:val="16"/>
              </w:rPr>
            </w:pPr>
            <w:r w:rsidRPr="00F154A1">
              <w:rPr>
                <w:rFonts w:cs="Arial"/>
                <w:b/>
                <w:bCs/>
                <w:sz w:val="18"/>
                <w:szCs w:val="22"/>
              </w:rPr>
              <w:t>Wind farm</w:t>
            </w:r>
          </w:p>
        </w:tc>
      </w:tr>
      <w:tr w:rsidR="00ED6B30" w:rsidRPr="00F154A1" w14:paraId="342EE624" w14:textId="77777777" w:rsidTr="0080606E">
        <w:trPr>
          <w:cnfStyle w:val="000000100000" w:firstRow="0" w:lastRow="0" w:firstColumn="0" w:lastColumn="0" w:oddVBand="0" w:evenVBand="0" w:oddHBand="1" w:evenHBand="0" w:firstRowFirstColumn="0" w:firstRowLastColumn="0" w:lastRowFirstColumn="0" w:lastRowLastColumn="0"/>
          <w:trHeight w:val="2917"/>
        </w:trPr>
        <w:tc>
          <w:tcPr>
            <w:tcW w:w="2405" w:type="dxa"/>
          </w:tcPr>
          <w:p w14:paraId="0A920393" w14:textId="77777777" w:rsidR="00ED6B30" w:rsidRPr="00F154A1" w:rsidRDefault="00ED6B30" w:rsidP="0080606E">
            <w:pPr>
              <w:spacing w:before="60" w:after="120"/>
              <w:rPr>
                <w:rFonts w:cs="Arial"/>
                <w:sz w:val="18"/>
                <w:szCs w:val="22"/>
              </w:rPr>
            </w:pPr>
            <w:r w:rsidRPr="00F154A1">
              <w:rPr>
                <w:rFonts w:cs="Arial"/>
                <w:b/>
                <w:bCs/>
                <w:sz w:val="18"/>
                <w:szCs w:val="22"/>
              </w:rPr>
              <w:t>Victoria (23 sites)</w:t>
            </w:r>
          </w:p>
        </w:tc>
        <w:tc>
          <w:tcPr>
            <w:tcW w:w="1985" w:type="dxa"/>
            <w:tcBorders>
              <w:right w:val="nil"/>
            </w:tcBorders>
          </w:tcPr>
          <w:p w14:paraId="1E9FDEEB" w14:textId="77777777" w:rsidR="00ED6B30" w:rsidRPr="00F154A1" w:rsidRDefault="00ED6B30" w:rsidP="0080606E">
            <w:pPr>
              <w:spacing w:before="60" w:after="120"/>
              <w:rPr>
                <w:rFonts w:cs="Arial"/>
                <w:sz w:val="18"/>
                <w:szCs w:val="22"/>
              </w:rPr>
            </w:pPr>
            <w:r w:rsidRPr="00F154A1">
              <w:rPr>
                <w:rFonts w:cs="Arial"/>
                <w:sz w:val="18"/>
                <w:szCs w:val="22"/>
              </w:rPr>
              <w:t>Alberton</w:t>
            </w:r>
          </w:p>
          <w:p w14:paraId="76379FE8" w14:textId="77777777" w:rsidR="00ED6B30" w:rsidRPr="00F154A1" w:rsidRDefault="00ED6B30" w:rsidP="0080606E">
            <w:pPr>
              <w:spacing w:before="60" w:after="120"/>
              <w:rPr>
                <w:rFonts w:cs="Arial"/>
                <w:sz w:val="18"/>
                <w:szCs w:val="22"/>
              </w:rPr>
            </w:pPr>
            <w:r w:rsidRPr="00F154A1">
              <w:rPr>
                <w:rFonts w:cs="Arial"/>
                <w:sz w:val="18"/>
                <w:szCs w:val="22"/>
              </w:rPr>
              <w:t>Ararat</w:t>
            </w:r>
          </w:p>
          <w:p w14:paraId="4EFE6C82" w14:textId="77777777" w:rsidR="00ED6B30" w:rsidRPr="00F154A1" w:rsidRDefault="00ED6B30" w:rsidP="0080606E">
            <w:pPr>
              <w:spacing w:before="60" w:after="120"/>
              <w:rPr>
                <w:rFonts w:cs="Arial"/>
                <w:sz w:val="18"/>
                <w:szCs w:val="22"/>
              </w:rPr>
            </w:pPr>
            <w:r w:rsidRPr="00F154A1">
              <w:rPr>
                <w:rFonts w:cs="Arial"/>
                <w:sz w:val="18"/>
                <w:szCs w:val="22"/>
              </w:rPr>
              <w:t>Bald Hills</w:t>
            </w:r>
          </w:p>
          <w:p w14:paraId="1195A05B" w14:textId="77777777" w:rsidR="00ED6B30" w:rsidRPr="00F154A1" w:rsidRDefault="00ED6B30" w:rsidP="0080606E">
            <w:pPr>
              <w:spacing w:before="60" w:after="120"/>
              <w:rPr>
                <w:rFonts w:cs="Arial"/>
                <w:sz w:val="18"/>
                <w:szCs w:val="22"/>
              </w:rPr>
            </w:pPr>
            <w:r w:rsidRPr="00F154A1">
              <w:rPr>
                <w:rFonts w:cs="Arial"/>
                <w:sz w:val="18"/>
                <w:szCs w:val="22"/>
              </w:rPr>
              <w:t>Cape Bridgewater</w:t>
            </w:r>
          </w:p>
          <w:p w14:paraId="34357077" w14:textId="77777777" w:rsidR="00ED6B30" w:rsidRPr="00F154A1" w:rsidRDefault="00ED6B30" w:rsidP="0080606E">
            <w:pPr>
              <w:spacing w:before="60" w:after="120"/>
              <w:rPr>
                <w:rFonts w:cs="Arial"/>
                <w:sz w:val="18"/>
                <w:szCs w:val="22"/>
              </w:rPr>
            </w:pPr>
            <w:r w:rsidRPr="00F154A1">
              <w:rPr>
                <w:rFonts w:cs="Arial"/>
                <w:sz w:val="18"/>
                <w:szCs w:val="22"/>
              </w:rPr>
              <w:t>Delburn</w:t>
            </w:r>
          </w:p>
          <w:p w14:paraId="012861EC" w14:textId="77777777" w:rsidR="00ED6B30" w:rsidRPr="00F154A1" w:rsidRDefault="00ED6B30" w:rsidP="0080606E">
            <w:pPr>
              <w:spacing w:before="60" w:after="120"/>
              <w:rPr>
                <w:rFonts w:cs="Arial"/>
                <w:sz w:val="18"/>
                <w:szCs w:val="22"/>
              </w:rPr>
            </w:pPr>
            <w:r w:rsidRPr="00F154A1">
              <w:rPr>
                <w:rFonts w:cs="Arial"/>
                <w:sz w:val="18"/>
                <w:szCs w:val="22"/>
              </w:rPr>
              <w:t>Golden Plains</w:t>
            </w:r>
          </w:p>
          <w:p w14:paraId="0541424D" w14:textId="77777777" w:rsidR="00ED6B30" w:rsidRPr="00F154A1" w:rsidRDefault="00ED6B30" w:rsidP="0080606E">
            <w:pPr>
              <w:spacing w:before="60" w:after="120"/>
              <w:rPr>
                <w:rFonts w:cs="Arial"/>
                <w:sz w:val="18"/>
                <w:szCs w:val="22"/>
              </w:rPr>
            </w:pPr>
            <w:r w:rsidRPr="00F154A1">
              <w:rPr>
                <w:rFonts w:cs="Arial"/>
                <w:sz w:val="18"/>
                <w:szCs w:val="22"/>
              </w:rPr>
              <w:t>Hawkesdale</w:t>
            </w:r>
          </w:p>
          <w:p w14:paraId="339933DB" w14:textId="77777777" w:rsidR="00ED6B30" w:rsidRPr="00F154A1" w:rsidRDefault="00ED6B30" w:rsidP="0080606E">
            <w:pPr>
              <w:spacing w:before="60" w:after="120"/>
              <w:rPr>
                <w:rFonts w:cs="Arial"/>
                <w:sz w:val="18"/>
                <w:szCs w:val="22"/>
              </w:rPr>
            </w:pPr>
            <w:r w:rsidRPr="00F154A1">
              <w:rPr>
                <w:rFonts w:cs="Arial"/>
                <w:sz w:val="18"/>
                <w:szCs w:val="22"/>
              </w:rPr>
              <w:t>Hepburn</w:t>
            </w:r>
          </w:p>
        </w:tc>
        <w:tc>
          <w:tcPr>
            <w:tcW w:w="2126" w:type="dxa"/>
            <w:tcBorders>
              <w:top w:val="nil"/>
              <w:left w:val="nil"/>
              <w:bottom w:val="single" w:sz="4" w:space="0" w:color="auto"/>
              <w:right w:val="nil"/>
            </w:tcBorders>
          </w:tcPr>
          <w:p w14:paraId="17671A28" w14:textId="77777777" w:rsidR="00ED6B30" w:rsidRPr="00F154A1" w:rsidRDefault="00ED6B30" w:rsidP="0080606E">
            <w:pPr>
              <w:spacing w:before="60" w:after="120"/>
              <w:rPr>
                <w:rFonts w:cs="Arial"/>
                <w:sz w:val="18"/>
                <w:szCs w:val="22"/>
              </w:rPr>
            </w:pPr>
            <w:r w:rsidRPr="00F154A1">
              <w:rPr>
                <w:rFonts w:cs="Arial"/>
                <w:sz w:val="18"/>
                <w:szCs w:val="22"/>
              </w:rPr>
              <w:t>Hexham</w:t>
            </w:r>
          </w:p>
          <w:p w14:paraId="6963308E" w14:textId="77777777" w:rsidR="00ED6B30" w:rsidRPr="00F154A1" w:rsidRDefault="00ED6B30" w:rsidP="0080606E">
            <w:pPr>
              <w:spacing w:before="60" w:after="120"/>
              <w:rPr>
                <w:rFonts w:cs="Arial"/>
                <w:sz w:val="18"/>
                <w:szCs w:val="22"/>
              </w:rPr>
            </w:pPr>
            <w:r w:rsidRPr="00F154A1">
              <w:rPr>
                <w:rFonts w:cs="Arial"/>
                <w:sz w:val="18"/>
                <w:szCs w:val="22"/>
              </w:rPr>
              <w:t>Lal Lal</w:t>
            </w:r>
          </w:p>
          <w:p w14:paraId="1D4AACBD" w14:textId="77777777" w:rsidR="00ED6B30" w:rsidRPr="00F154A1" w:rsidRDefault="00ED6B30" w:rsidP="0080606E">
            <w:pPr>
              <w:spacing w:before="60" w:after="120"/>
              <w:rPr>
                <w:rFonts w:cs="Arial"/>
                <w:sz w:val="18"/>
                <w:szCs w:val="22"/>
              </w:rPr>
            </w:pPr>
            <w:r w:rsidRPr="00F154A1">
              <w:rPr>
                <w:rFonts w:cs="Arial"/>
                <w:sz w:val="18"/>
                <w:szCs w:val="22"/>
              </w:rPr>
              <w:t>Macarthur</w:t>
            </w:r>
          </w:p>
          <w:p w14:paraId="54D19518" w14:textId="77777777" w:rsidR="00ED6B30" w:rsidRPr="00F154A1" w:rsidRDefault="00ED6B30" w:rsidP="0080606E">
            <w:pPr>
              <w:spacing w:before="60" w:after="120"/>
              <w:rPr>
                <w:rFonts w:cs="Arial"/>
                <w:sz w:val="18"/>
                <w:szCs w:val="22"/>
              </w:rPr>
            </w:pPr>
            <w:r w:rsidRPr="00F154A1">
              <w:rPr>
                <w:rFonts w:cs="Arial"/>
                <w:sz w:val="18"/>
                <w:szCs w:val="22"/>
              </w:rPr>
              <w:t xml:space="preserve">Moorabool </w:t>
            </w:r>
          </w:p>
          <w:p w14:paraId="075189AC" w14:textId="77777777" w:rsidR="00ED6B30" w:rsidRPr="00F154A1" w:rsidRDefault="00ED6B30" w:rsidP="0080606E">
            <w:pPr>
              <w:spacing w:before="60" w:after="120"/>
              <w:rPr>
                <w:rFonts w:cs="Arial"/>
                <w:sz w:val="18"/>
                <w:szCs w:val="22"/>
              </w:rPr>
            </w:pPr>
            <w:r w:rsidRPr="00F154A1">
              <w:rPr>
                <w:rFonts w:cs="Arial"/>
                <w:sz w:val="18"/>
                <w:szCs w:val="22"/>
              </w:rPr>
              <w:t>Mortlake South</w:t>
            </w:r>
          </w:p>
          <w:p w14:paraId="5E1B37B1" w14:textId="77777777" w:rsidR="00ED6B30" w:rsidRPr="00F154A1" w:rsidRDefault="00ED6B30" w:rsidP="0080606E">
            <w:pPr>
              <w:spacing w:before="60" w:after="120"/>
              <w:rPr>
                <w:rFonts w:cs="Arial"/>
                <w:sz w:val="18"/>
                <w:szCs w:val="22"/>
              </w:rPr>
            </w:pPr>
            <w:r w:rsidRPr="00F154A1">
              <w:rPr>
                <w:rFonts w:cs="Arial"/>
                <w:sz w:val="18"/>
                <w:szCs w:val="22"/>
              </w:rPr>
              <w:t>Mt Gellibrand</w:t>
            </w:r>
          </w:p>
          <w:p w14:paraId="55346195" w14:textId="77777777" w:rsidR="00ED6B30" w:rsidRPr="00F154A1" w:rsidRDefault="00ED6B30" w:rsidP="0080606E">
            <w:pPr>
              <w:spacing w:before="60" w:after="120"/>
              <w:rPr>
                <w:rFonts w:cs="Arial"/>
                <w:sz w:val="18"/>
                <w:szCs w:val="22"/>
              </w:rPr>
            </w:pPr>
            <w:r w:rsidRPr="00F154A1">
              <w:rPr>
                <w:rFonts w:cs="Arial"/>
                <w:sz w:val="18"/>
                <w:szCs w:val="22"/>
              </w:rPr>
              <w:t>Mt Mercer</w:t>
            </w:r>
          </w:p>
          <w:p w14:paraId="55907AA0" w14:textId="77777777" w:rsidR="00ED6B30" w:rsidRPr="00F154A1" w:rsidRDefault="00ED6B30" w:rsidP="0080606E">
            <w:pPr>
              <w:spacing w:before="60" w:after="120"/>
              <w:rPr>
                <w:rFonts w:cs="Arial"/>
                <w:sz w:val="18"/>
                <w:szCs w:val="22"/>
              </w:rPr>
            </w:pPr>
            <w:r w:rsidRPr="00F154A1">
              <w:rPr>
                <w:rFonts w:cs="Arial"/>
                <w:sz w:val="18"/>
                <w:szCs w:val="22"/>
              </w:rPr>
              <w:t>Naroghid</w:t>
            </w:r>
          </w:p>
        </w:tc>
        <w:tc>
          <w:tcPr>
            <w:tcW w:w="2977" w:type="dxa"/>
            <w:gridSpan w:val="2"/>
            <w:tcBorders>
              <w:top w:val="nil"/>
              <w:left w:val="nil"/>
              <w:bottom w:val="single" w:sz="4" w:space="0" w:color="auto"/>
              <w:right w:val="single" w:sz="4" w:space="0" w:color="auto"/>
            </w:tcBorders>
          </w:tcPr>
          <w:p w14:paraId="22BD42BD" w14:textId="77777777" w:rsidR="00ED6B30" w:rsidRPr="00F154A1" w:rsidRDefault="00ED6B30" w:rsidP="0080606E">
            <w:pPr>
              <w:spacing w:before="60" w:after="120"/>
              <w:rPr>
                <w:rFonts w:cs="Arial"/>
                <w:sz w:val="18"/>
                <w:szCs w:val="22"/>
              </w:rPr>
            </w:pPr>
            <w:r w:rsidRPr="00F154A1">
              <w:rPr>
                <w:rFonts w:cs="Arial"/>
                <w:sz w:val="18"/>
                <w:szCs w:val="22"/>
              </w:rPr>
              <w:t>Oaklands Hill</w:t>
            </w:r>
          </w:p>
          <w:p w14:paraId="51B614BE" w14:textId="77777777" w:rsidR="00ED6B30" w:rsidRPr="00F154A1" w:rsidRDefault="00ED6B30" w:rsidP="0080606E">
            <w:pPr>
              <w:spacing w:before="60" w:after="120"/>
              <w:rPr>
                <w:rFonts w:cs="Arial"/>
                <w:sz w:val="18"/>
                <w:szCs w:val="22"/>
              </w:rPr>
            </w:pPr>
            <w:r w:rsidRPr="00F154A1">
              <w:rPr>
                <w:rFonts w:cs="Arial"/>
                <w:sz w:val="18"/>
                <w:szCs w:val="22"/>
              </w:rPr>
              <w:t>Salt Creek</w:t>
            </w:r>
          </w:p>
          <w:p w14:paraId="51468CD2" w14:textId="77777777" w:rsidR="00ED6B30" w:rsidRPr="00F154A1" w:rsidRDefault="00ED6B30" w:rsidP="0080606E">
            <w:pPr>
              <w:spacing w:before="60" w:after="120"/>
              <w:rPr>
                <w:rFonts w:cs="Arial"/>
                <w:sz w:val="18"/>
                <w:szCs w:val="22"/>
              </w:rPr>
            </w:pPr>
            <w:r w:rsidRPr="00F154A1">
              <w:rPr>
                <w:rFonts w:cs="Arial"/>
                <w:sz w:val="18"/>
                <w:szCs w:val="22"/>
              </w:rPr>
              <w:t>Stockyard Hill</w:t>
            </w:r>
          </w:p>
          <w:p w14:paraId="1A953F4A" w14:textId="77777777" w:rsidR="00ED6B30" w:rsidRPr="00F154A1" w:rsidRDefault="00ED6B30" w:rsidP="0080606E">
            <w:pPr>
              <w:spacing w:before="60" w:after="120"/>
              <w:rPr>
                <w:rFonts w:cs="Arial"/>
                <w:sz w:val="18"/>
                <w:szCs w:val="22"/>
              </w:rPr>
            </w:pPr>
            <w:r w:rsidRPr="00F154A1">
              <w:rPr>
                <w:rFonts w:cs="Arial"/>
                <w:sz w:val="18"/>
                <w:szCs w:val="22"/>
              </w:rPr>
              <w:t>Toora</w:t>
            </w:r>
          </w:p>
          <w:p w14:paraId="6AA9BC0B" w14:textId="77777777" w:rsidR="00ED6B30" w:rsidRPr="00F154A1" w:rsidRDefault="00ED6B30" w:rsidP="0080606E">
            <w:pPr>
              <w:spacing w:before="60" w:after="120"/>
              <w:rPr>
                <w:rFonts w:cs="Arial"/>
                <w:sz w:val="18"/>
                <w:szCs w:val="22"/>
              </w:rPr>
            </w:pPr>
            <w:r w:rsidRPr="00F154A1">
              <w:rPr>
                <w:rFonts w:cs="Arial"/>
                <w:sz w:val="18"/>
                <w:szCs w:val="22"/>
              </w:rPr>
              <w:t>Waubra</w:t>
            </w:r>
          </w:p>
          <w:p w14:paraId="0C9FDAC0" w14:textId="77777777" w:rsidR="00ED6B30" w:rsidRPr="00F154A1" w:rsidRDefault="00ED6B30" w:rsidP="0080606E">
            <w:pPr>
              <w:spacing w:before="60" w:after="120"/>
              <w:rPr>
                <w:rFonts w:cs="Arial"/>
                <w:sz w:val="18"/>
                <w:szCs w:val="22"/>
              </w:rPr>
            </w:pPr>
            <w:r w:rsidRPr="00F154A1">
              <w:rPr>
                <w:rFonts w:cs="Arial"/>
                <w:sz w:val="18"/>
                <w:szCs w:val="22"/>
              </w:rPr>
              <w:t>Wonthaggi</w:t>
            </w:r>
          </w:p>
          <w:p w14:paraId="6B97A8AD" w14:textId="77777777" w:rsidR="00ED6B30" w:rsidRPr="00F154A1" w:rsidRDefault="00ED6B30" w:rsidP="0080606E">
            <w:pPr>
              <w:spacing w:before="60" w:after="120"/>
              <w:rPr>
                <w:rFonts w:cs="Arial"/>
                <w:sz w:val="16"/>
              </w:rPr>
            </w:pPr>
            <w:r w:rsidRPr="00F154A1">
              <w:rPr>
                <w:rFonts w:cs="Arial"/>
                <w:sz w:val="18"/>
                <w:szCs w:val="22"/>
              </w:rPr>
              <w:t>Willatook</w:t>
            </w:r>
          </w:p>
        </w:tc>
      </w:tr>
      <w:tr w:rsidR="00ED6B30" w:rsidRPr="00F154A1" w14:paraId="120AD9E9" w14:textId="77777777" w:rsidTr="0080606E">
        <w:trPr>
          <w:cnfStyle w:val="000000010000" w:firstRow="0" w:lastRow="0" w:firstColumn="0" w:lastColumn="0" w:oddVBand="0" w:evenVBand="0" w:oddHBand="0" w:evenHBand="1" w:firstRowFirstColumn="0" w:firstRowLastColumn="0" w:lastRowFirstColumn="0" w:lastRowLastColumn="0"/>
          <w:trHeight w:val="2236"/>
        </w:trPr>
        <w:tc>
          <w:tcPr>
            <w:tcW w:w="2405" w:type="dxa"/>
          </w:tcPr>
          <w:p w14:paraId="063FBF22" w14:textId="77777777" w:rsidR="00ED6B30" w:rsidRPr="00F154A1" w:rsidRDefault="00ED6B30" w:rsidP="0080606E">
            <w:pPr>
              <w:spacing w:before="60" w:after="120"/>
              <w:rPr>
                <w:rFonts w:cs="Arial"/>
                <w:b/>
                <w:bCs/>
                <w:sz w:val="18"/>
                <w:szCs w:val="22"/>
              </w:rPr>
            </w:pPr>
            <w:r w:rsidRPr="00F154A1">
              <w:rPr>
                <w:rFonts w:cs="Arial"/>
                <w:b/>
                <w:bCs/>
                <w:sz w:val="18"/>
                <w:szCs w:val="22"/>
              </w:rPr>
              <w:t xml:space="preserve">New South Wales </w:t>
            </w:r>
          </w:p>
          <w:p w14:paraId="56943CD6" w14:textId="77777777" w:rsidR="00ED6B30" w:rsidRPr="00F154A1" w:rsidRDefault="00ED6B30" w:rsidP="0080606E">
            <w:pPr>
              <w:spacing w:before="60" w:after="120"/>
              <w:rPr>
                <w:rFonts w:cs="Arial"/>
                <w:b/>
                <w:bCs/>
                <w:sz w:val="18"/>
                <w:szCs w:val="22"/>
              </w:rPr>
            </w:pPr>
            <w:r w:rsidRPr="00F154A1">
              <w:rPr>
                <w:rFonts w:cs="Arial"/>
                <w:b/>
                <w:bCs/>
                <w:sz w:val="18"/>
                <w:szCs w:val="22"/>
              </w:rPr>
              <w:t>(16 sites)</w:t>
            </w:r>
          </w:p>
        </w:tc>
        <w:tc>
          <w:tcPr>
            <w:tcW w:w="1985" w:type="dxa"/>
            <w:tcBorders>
              <w:right w:val="nil"/>
            </w:tcBorders>
          </w:tcPr>
          <w:p w14:paraId="0FEED482" w14:textId="77777777" w:rsidR="00ED6B30" w:rsidRPr="00F154A1" w:rsidRDefault="00ED6B30" w:rsidP="0080606E">
            <w:pPr>
              <w:spacing w:before="60" w:after="120"/>
              <w:rPr>
                <w:rFonts w:cs="Arial"/>
                <w:sz w:val="18"/>
                <w:szCs w:val="22"/>
              </w:rPr>
            </w:pPr>
            <w:r w:rsidRPr="00F154A1">
              <w:rPr>
                <w:rFonts w:cs="Arial"/>
                <w:sz w:val="18"/>
                <w:szCs w:val="22"/>
              </w:rPr>
              <w:t>Bango</w:t>
            </w:r>
          </w:p>
          <w:p w14:paraId="585B2EE1" w14:textId="77777777" w:rsidR="00ED6B30" w:rsidRPr="00F154A1" w:rsidRDefault="00ED6B30" w:rsidP="0080606E">
            <w:pPr>
              <w:spacing w:before="60" w:after="120"/>
              <w:rPr>
                <w:rFonts w:cs="Arial"/>
                <w:sz w:val="18"/>
                <w:szCs w:val="22"/>
              </w:rPr>
            </w:pPr>
            <w:r w:rsidRPr="00F154A1">
              <w:rPr>
                <w:rFonts w:cs="Arial"/>
                <w:sz w:val="18"/>
                <w:szCs w:val="22"/>
              </w:rPr>
              <w:t>Collector</w:t>
            </w:r>
          </w:p>
          <w:p w14:paraId="3D225BA9" w14:textId="77777777" w:rsidR="00ED6B30" w:rsidRPr="00F154A1" w:rsidRDefault="00ED6B30" w:rsidP="0080606E">
            <w:pPr>
              <w:spacing w:before="60" w:after="120"/>
              <w:rPr>
                <w:rFonts w:cs="Arial"/>
                <w:sz w:val="18"/>
                <w:szCs w:val="22"/>
              </w:rPr>
            </w:pPr>
            <w:r w:rsidRPr="00F154A1">
              <w:rPr>
                <w:rFonts w:cs="Arial"/>
                <w:sz w:val="18"/>
                <w:szCs w:val="22"/>
              </w:rPr>
              <w:t>Coppabella</w:t>
            </w:r>
          </w:p>
          <w:p w14:paraId="6A2327C7" w14:textId="77777777" w:rsidR="00ED6B30" w:rsidRPr="00F154A1" w:rsidRDefault="00ED6B30" w:rsidP="0080606E">
            <w:pPr>
              <w:spacing w:before="60" w:after="120"/>
              <w:rPr>
                <w:rFonts w:cs="Arial"/>
                <w:sz w:val="18"/>
                <w:szCs w:val="22"/>
              </w:rPr>
            </w:pPr>
            <w:r w:rsidRPr="00F154A1">
              <w:rPr>
                <w:rFonts w:cs="Arial"/>
                <w:sz w:val="18"/>
                <w:szCs w:val="22"/>
              </w:rPr>
              <w:t xml:space="preserve">Crookwell I </w:t>
            </w:r>
          </w:p>
          <w:p w14:paraId="61B9DEC6" w14:textId="77777777" w:rsidR="00ED6B30" w:rsidRPr="00F154A1" w:rsidRDefault="00ED6B30" w:rsidP="0080606E">
            <w:pPr>
              <w:spacing w:before="60" w:after="120"/>
              <w:rPr>
                <w:rFonts w:cs="Arial"/>
                <w:sz w:val="18"/>
                <w:szCs w:val="22"/>
              </w:rPr>
            </w:pPr>
            <w:r w:rsidRPr="00F154A1">
              <w:rPr>
                <w:rFonts w:cs="Arial"/>
                <w:sz w:val="18"/>
                <w:szCs w:val="22"/>
              </w:rPr>
              <w:t xml:space="preserve">Crookwell II </w:t>
            </w:r>
          </w:p>
          <w:p w14:paraId="32A437D5" w14:textId="77777777" w:rsidR="00ED6B30" w:rsidRPr="00F154A1" w:rsidRDefault="00ED6B30" w:rsidP="0080606E">
            <w:pPr>
              <w:spacing w:before="60" w:after="120"/>
              <w:rPr>
                <w:rFonts w:cs="Arial"/>
                <w:sz w:val="18"/>
                <w:szCs w:val="22"/>
              </w:rPr>
            </w:pPr>
            <w:r w:rsidRPr="00F154A1">
              <w:rPr>
                <w:rFonts w:cs="Arial"/>
                <w:sz w:val="18"/>
                <w:szCs w:val="22"/>
              </w:rPr>
              <w:t>Crudine Ridge</w:t>
            </w:r>
          </w:p>
        </w:tc>
        <w:tc>
          <w:tcPr>
            <w:tcW w:w="2126" w:type="dxa"/>
            <w:tcBorders>
              <w:left w:val="nil"/>
              <w:right w:val="nil"/>
            </w:tcBorders>
          </w:tcPr>
          <w:p w14:paraId="60FEC16A" w14:textId="77777777" w:rsidR="00ED6B30" w:rsidRPr="00F154A1" w:rsidRDefault="00ED6B30" w:rsidP="0080606E">
            <w:pPr>
              <w:spacing w:before="60" w:after="120"/>
              <w:rPr>
                <w:rFonts w:cs="Arial"/>
                <w:sz w:val="18"/>
                <w:szCs w:val="22"/>
              </w:rPr>
            </w:pPr>
            <w:r w:rsidRPr="00F154A1">
              <w:rPr>
                <w:rFonts w:cs="Arial"/>
                <w:sz w:val="18"/>
                <w:szCs w:val="22"/>
              </w:rPr>
              <w:t>Cullerin Range</w:t>
            </w:r>
          </w:p>
          <w:p w14:paraId="284EF3F3" w14:textId="77777777" w:rsidR="00ED6B30" w:rsidRPr="00F154A1" w:rsidRDefault="00ED6B30" w:rsidP="0080606E">
            <w:pPr>
              <w:spacing w:before="60" w:after="120"/>
              <w:rPr>
                <w:rFonts w:cs="Arial"/>
                <w:sz w:val="18"/>
                <w:szCs w:val="22"/>
              </w:rPr>
            </w:pPr>
            <w:r w:rsidRPr="00F154A1">
              <w:rPr>
                <w:rFonts w:cs="Arial"/>
                <w:sz w:val="18"/>
                <w:szCs w:val="22"/>
              </w:rPr>
              <w:t xml:space="preserve">Glen Innes </w:t>
            </w:r>
          </w:p>
          <w:p w14:paraId="77F16F17" w14:textId="77777777" w:rsidR="00ED6B30" w:rsidRPr="00F154A1" w:rsidRDefault="00ED6B30" w:rsidP="0080606E">
            <w:pPr>
              <w:spacing w:before="60" w:after="120"/>
              <w:rPr>
                <w:rFonts w:cs="Arial"/>
                <w:sz w:val="18"/>
                <w:szCs w:val="22"/>
              </w:rPr>
            </w:pPr>
            <w:r w:rsidRPr="00F154A1">
              <w:rPr>
                <w:rFonts w:cs="Arial"/>
                <w:sz w:val="18"/>
                <w:szCs w:val="22"/>
              </w:rPr>
              <w:t>Gullen Range</w:t>
            </w:r>
          </w:p>
          <w:p w14:paraId="043FBFF1" w14:textId="77777777" w:rsidR="00ED6B30" w:rsidRPr="00F154A1" w:rsidRDefault="00ED6B30" w:rsidP="0080606E">
            <w:pPr>
              <w:spacing w:before="60" w:after="120"/>
              <w:rPr>
                <w:rFonts w:cs="Arial"/>
                <w:sz w:val="18"/>
                <w:szCs w:val="22"/>
              </w:rPr>
            </w:pPr>
            <w:r w:rsidRPr="00F154A1">
              <w:rPr>
                <w:rFonts w:cs="Arial"/>
                <w:sz w:val="18"/>
                <w:szCs w:val="22"/>
              </w:rPr>
              <w:t>Gunning</w:t>
            </w:r>
          </w:p>
          <w:p w14:paraId="1CB33A53" w14:textId="77777777" w:rsidR="00ED6B30" w:rsidRPr="00F154A1" w:rsidRDefault="00ED6B30" w:rsidP="0080606E">
            <w:pPr>
              <w:spacing w:before="60" w:after="120"/>
              <w:rPr>
                <w:rFonts w:cs="Arial"/>
                <w:sz w:val="18"/>
                <w:szCs w:val="22"/>
              </w:rPr>
            </w:pPr>
            <w:r w:rsidRPr="00F154A1">
              <w:rPr>
                <w:rFonts w:cs="Arial"/>
                <w:sz w:val="18"/>
                <w:szCs w:val="22"/>
              </w:rPr>
              <w:t>Hills of Gold</w:t>
            </w:r>
          </w:p>
          <w:p w14:paraId="22D1375B" w14:textId="77777777" w:rsidR="00ED6B30" w:rsidRPr="00F154A1" w:rsidRDefault="00ED6B30" w:rsidP="0080606E">
            <w:pPr>
              <w:spacing w:before="60" w:after="120"/>
              <w:rPr>
                <w:rFonts w:cs="Arial"/>
                <w:sz w:val="18"/>
                <w:szCs w:val="22"/>
              </w:rPr>
            </w:pPr>
            <w:r w:rsidRPr="00F154A1">
              <w:rPr>
                <w:rFonts w:cs="Arial"/>
                <w:sz w:val="18"/>
                <w:szCs w:val="22"/>
              </w:rPr>
              <w:t>Jupiter</w:t>
            </w:r>
          </w:p>
        </w:tc>
        <w:tc>
          <w:tcPr>
            <w:tcW w:w="2977" w:type="dxa"/>
            <w:gridSpan w:val="2"/>
            <w:tcBorders>
              <w:left w:val="nil"/>
            </w:tcBorders>
          </w:tcPr>
          <w:p w14:paraId="4F45502F" w14:textId="77777777" w:rsidR="00ED6B30" w:rsidRPr="00F154A1" w:rsidRDefault="00ED6B30" w:rsidP="0080606E">
            <w:pPr>
              <w:spacing w:before="60" w:after="120"/>
              <w:rPr>
                <w:rFonts w:cs="Arial"/>
                <w:sz w:val="18"/>
                <w:szCs w:val="22"/>
              </w:rPr>
            </w:pPr>
            <w:r w:rsidRPr="00F154A1">
              <w:rPr>
                <w:rFonts w:cs="Arial"/>
                <w:sz w:val="18"/>
                <w:szCs w:val="22"/>
              </w:rPr>
              <w:t>NSW Energy Cluster</w:t>
            </w:r>
          </w:p>
          <w:p w14:paraId="312208C5" w14:textId="77777777" w:rsidR="00ED6B30" w:rsidRPr="00F154A1" w:rsidRDefault="00ED6B30" w:rsidP="0080606E">
            <w:pPr>
              <w:spacing w:before="60" w:after="120"/>
              <w:rPr>
                <w:rFonts w:cs="Arial"/>
                <w:sz w:val="18"/>
                <w:szCs w:val="22"/>
              </w:rPr>
            </w:pPr>
            <w:r w:rsidRPr="00F154A1">
              <w:rPr>
                <w:rFonts w:cs="Arial"/>
                <w:sz w:val="18"/>
                <w:szCs w:val="22"/>
              </w:rPr>
              <w:t>Sapphire</w:t>
            </w:r>
          </w:p>
          <w:p w14:paraId="01B7446A" w14:textId="77777777" w:rsidR="00ED6B30" w:rsidRPr="00F154A1" w:rsidRDefault="00ED6B30" w:rsidP="0080606E">
            <w:pPr>
              <w:spacing w:before="60" w:after="120"/>
              <w:rPr>
                <w:rFonts w:cs="Arial"/>
                <w:sz w:val="18"/>
                <w:szCs w:val="22"/>
              </w:rPr>
            </w:pPr>
            <w:r w:rsidRPr="00F154A1">
              <w:rPr>
                <w:rFonts w:cs="Arial"/>
                <w:sz w:val="18"/>
                <w:szCs w:val="22"/>
              </w:rPr>
              <w:t>White Rock</w:t>
            </w:r>
          </w:p>
          <w:p w14:paraId="6EC837A0" w14:textId="77777777" w:rsidR="00ED6B30" w:rsidRPr="00F154A1" w:rsidRDefault="00ED6B30" w:rsidP="0080606E">
            <w:pPr>
              <w:spacing w:before="60" w:after="120"/>
              <w:rPr>
                <w:rFonts w:cs="Arial"/>
                <w:sz w:val="16"/>
              </w:rPr>
            </w:pPr>
            <w:r w:rsidRPr="00F154A1">
              <w:rPr>
                <w:rFonts w:cs="Arial"/>
                <w:sz w:val="18"/>
                <w:szCs w:val="22"/>
              </w:rPr>
              <w:t>Walcha</w:t>
            </w:r>
          </w:p>
        </w:tc>
      </w:tr>
      <w:tr w:rsidR="00ED6B30" w:rsidRPr="00F154A1" w14:paraId="5BAE735C" w14:textId="77777777" w:rsidTr="0080606E">
        <w:trPr>
          <w:cnfStyle w:val="000000100000" w:firstRow="0" w:lastRow="0" w:firstColumn="0" w:lastColumn="0" w:oddVBand="0" w:evenVBand="0" w:oddHBand="1" w:evenHBand="0" w:firstRowFirstColumn="0" w:firstRowLastColumn="0" w:lastRowFirstColumn="0" w:lastRowLastColumn="0"/>
          <w:trHeight w:val="1135"/>
        </w:trPr>
        <w:tc>
          <w:tcPr>
            <w:tcW w:w="2405" w:type="dxa"/>
          </w:tcPr>
          <w:p w14:paraId="45566F86" w14:textId="77777777" w:rsidR="00ED6B30" w:rsidRPr="00F154A1" w:rsidRDefault="00ED6B30" w:rsidP="0080606E">
            <w:pPr>
              <w:spacing w:before="60" w:after="120"/>
              <w:rPr>
                <w:rFonts w:cs="Arial"/>
                <w:sz w:val="18"/>
                <w:szCs w:val="22"/>
              </w:rPr>
            </w:pPr>
            <w:r w:rsidRPr="00F154A1">
              <w:rPr>
                <w:rFonts w:cs="Arial"/>
                <w:b/>
                <w:bCs/>
                <w:sz w:val="18"/>
                <w:szCs w:val="22"/>
              </w:rPr>
              <w:t>South Australia (8 sites)</w:t>
            </w:r>
          </w:p>
        </w:tc>
        <w:tc>
          <w:tcPr>
            <w:tcW w:w="1985" w:type="dxa"/>
            <w:tcBorders>
              <w:right w:val="nil"/>
            </w:tcBorders>
          </w:tcPr>
          <w:p w14:paraId="20014425" w14:textId="77777777" w:rsidR="00ED6B30" w:rsidRPr="00F154A1" w:rsidRDefault="00ED6B30" w:rsidP="0080606E">
            <w:pPr>
              <w:spacing w:before="60" w:after="120"/>
              <w:rPr>
                <w:rFonts w:cs="Arial"/>
                <w:sz w:val="18"/>
                <w:szCs w:val="22"/>
              </w:rPr>
            </w:pPr>
            <w:r w:rsidRPr="00F154A1">
              <w:rPr>
                <w:rFonts w:cs="Arial"/>
                <w:sz w:val="18"/>
                <w:szCs w:val="22"/>
              </w:rPr>
              <w:t>Crystal Brook</w:t>
            </w:r>
          </w:p>
          <w:p w14:paraId="6B9FF876" w14:textId="77777777" w:rsidR="00ED6B30" w:rsidRPr="00F154A1" w:rsidRDefault="00ED6B30" w:rsidP="0080606E">
            <w:pPr>
              <w:spacing w:before="60" w:after="120"/>
              <w:rPr>
                <w:rFonts w:cs="Arial"/>
                <w:sz w:val="18"/>
                <w:szCs w:val="22"/>
              </w:rPr>
            </w:pPr>
            <w:r w:rsidRPr="00F154A1">
              <w:rPr>
                <w:rFonts w:cs="Arial"/>
                <w:sz w:val="18"/>
                <w:szCs w:val="22"/>
              </w:rPr>
              <w:t>Hallet</w:t>
            </w:r>
          </w:p>
          <w:p w14:paraId="730BA978" w14:textId="77777777" w:rsidR="00ED6B30" w:rsidRPr="00F154A1" w:rsidRDefault="00ED6B30" w:rsidP="0080606E">
            <w:pPr>
              <w:spacing w:before="60" w:after="120"/>
              <w:rPr>
                <w:rFonts w:cs="Arial"/>
                <w:sz w:val="18"/>
                <w:szCs w:val="22"/>
              </w:rPr>
            </w:pPr>
            <w:r w:rsidRPr="00F154A1">
              <w:rPr>
                <w:rFonts w:cs="Arial"/>
                <w:sz w:val="18"/>
                <w:szCs w:val="22"/>
              </w:rPr>
              <w:t>Keyneton</w:t>
            </w:r>
          </w:p>
        </w:tc>
        <w:tc>
          <w:tcPr>
            <w:tcW w:w="2126" w:type="dxa"/>
            <w:tcBorders>
              <w:left w:val="nil"/>
              <w:right w:val="nil"/>
            </w:tcBorders>
          </w:tcPr>
          <w:p w14:paraId="2171624C" w14:textId="77777777" w:rsidR="00ED6B30" w:rsidRPr="00F154A1" w:rsidRDefault="00ED6B30" w:rsidP="0080606E">
            <w:pPr>
              <w:pStyle w:val="ListBullet2"/>
              <w:numPr>
                <w:ilvl w:val="0"/>
                <w:numId w:val="0"/>
              </w:numPr>
              <w:spacing w:before="60" w:after="120"/>
              <w:ind w:left="369" w:hanging="369"/>
              <w:rPr>
                <w:rFonts w:cs="Arial"/>
                <w:sz w:val="18"/>
                <w:szCs w:val="22"/>
              </w:rPr>
            </w:pPr>
            <w:r w:rsidRPr="00F154A1">
              <w:rPr>
                <w:rFonts w:cs="Arial"/>
                <w:sz w:val="18"/>
                <w:szCs w:val="22"/>
              </w:rPr>
              <w:t>Palmer</w:t>
            </w:r>
          </w:p>
          <w:p w14:paraId="15D4C146" w14:textId="77777777" w:rsidR="00ED6B30" w:rsidRPr="00F154A1" w:rsidRDefault="00ED6B30" w:rsidP="0080606E">
            <w:pPr>
              <w:pStyle w:val="ListBullet2"/>
              <w:numPr>
                <w:ilvl w:val="0"/>
                <w:numId w:val="0"/>
              </w:numPr>
              <w:spacing w:before="60" w:after="120"/>
              <w:ind w:left="369" w:hanging="369"/>
              <w:rPr>
                <w:rFonts w:cs="Arial"/>
                <w:sz w:val="18"/>
                <w:szCs w:val="22"/>
              </w:rPr>
            </w:pPr>
            <w:r w:rsidRPr="00F154A1">
              <w:rPr>
                <w:rFonts w:cs="Arial"/>
                <w:sz w:val="18"/>
                <w:szCs w:val="22"/>
              </w:rPr>
              <w:t>Port Augusta</w:t>
            </w:r>
          </w:p>
          <w:p w14:paraId="1E074EBB" w14:textId="77777777" w:rsidR="00ED6B30" w:rsidRPr="00F154A1" w:rsidRDefault="00ED6B30" w:rsidP="0080606E">
            <w:pPr>
              <w:pStyle w:val="ListBullet2"/>
              <w:numPr>
                <w:ilvl w:val="0"/>
                <w:numId w:val="0"/>
              </w:numPr>
              <w:spacing w:before="60" w:after="120"/>
              <w:ind w:left="369" w:hanging="369"/>
              <w:rPr>
                <w:rFonts w:cs="Arial"/>
                <w:sz w:val="18"/>
                <w:szCs w:val="22"/>
              </w:rPr>
            </w:pPr>
            <w:r w:rsidRPr="00F154A1">
              <w:rPr>
                <w:rFonts w:cs="Arial"/>
                <w:sz w:val="18"/>
                <w:szCs w:val="22"/>
              </w:rPr>
              <w:t>Twin Creek</w:t>
            </w:r>
          </w:p>
        </w:tc>
        <w:tc>
          <w:tcPr>
            <w:tcW w:w="2977" w:type="dxa"/>
            <w:gridSpan w:val="2"/>
            <w:tcBorders>
              <w:left w:val="nil"/>
            </w:tcBorders>
          </w:tcPr>
          <w:p w14:paraId="19642D88" w14:textId="77777777" w:rsidR="00ED6B30" w:rsidRPr="00F154A1" w:rsidRDefault="00ED6B30" w:rsidP="0080606E">
            <w:pPr>
              <w:spacing w:before="60" w:after="120"/>
              <w:rPr>
                <w:rFonts w:cs="Arial"/>
                <w:sz w:val="18"/>
                <w:szCs w:val="22"/>
              </w:rPr>
            </w:pPr>
            <w:r w:rsidRPr="00F154A1">
              <w:rPr>
                <w:rFonts w:cs="Arial"/>
                <w:sz w:val="18"/>
                <w:szCs w:val="22"/>
              </w:rPr>
              <w:t>Snowtown</w:t>
            </w:r>
          </w:p>
          <w:p w14:paraId="33338CD4" w14:textId="77777777" w:rsidR="00ED6B30" w:rsidRPr="00F154A1" w:rsidRDefault="00ED6B30" w:rsidP="0080606E">
            <w:pPr>
              <w:pStyle w:val="ListBullet2"/>
              <w:numPr>
                <w:ilvl w:val="0"/>
                <w:numId w:val="0"/>
              </w:numPr>
              <w:spacing w:before="60" w:after="120"/>
              <w:ind w:left="369" w:hanging="369"/>
              <w:rPr>
                <w:rFonts w:cs="Arial"/>
                <w:sz w:val="16"/>
              </w:rPr>
            </w:pPr>
            <w:r w:rsidRPr="00F154A1">
              <w:rPr>
                <w:rFonts w:cs="Arial"/>
                <w:sz w:val="18"/>
                <w:szCs w:val="22"/>
              </w:rPr>
              <w:t>Waterloo</w:t>
            </w:r>
          </w:p>
        </w:tc>
      </w:tr>
      <w:tr w:rsidR="00ED6B30" w:rsidRPr="00F154A1" w14:paraId="658A4A0F" w14:textId="77777777" w:rsidTr="0080606E">
        <w:trPr>
          <w:cnfStyle w:val="000000010000" w:firstRow="0" w:lastRow="0" w:firstColumn="0" w:lastColumn="0" w:oddVBand="0" w:evenVBand="0" w:oddHBand="0" w:evenHBand="1" w:firstRowFirstColumn="0" w:firstRowLastColumn="0" w:lastRowFirstColumn="0" w:lastRowLastColumn="0"/>
          <w:trHeight w:val="683"/>
        </w:trPr>
        <w:tc>
          <w:tcPr>
            <w:tcW w:w="2405" w:type="dxa"/>
          </w:tcPr>
          <w:p w14:paraId="4E8C822A" w14:textId="77777777" w:rsidR="00ED6B30" w:rsidRPr="00F154A1" w:rsidRDefault="00ED6B30" w:rsidP="0080606E">
            <w:pPr>
              <w:spacing w:before="60" w:after="120"/>
              <w:rPr>
                <w:rFonts w:cs="Arial"/>
                <w:b/>
                <w:bCs/>
                <w:sz w:val="18"/>
                <w:szCs w:val="22"/>
              </w:rPr>
            </w:pPr>
            <w:r w:rsidRPr="00F154A1">
              <w:rPr>
                <w:rFonts w:cs="Arial"/>
                <w:b/>
                <w:bCs/>
                <w:sz w:val="18"/>
                <w:szCs w:val="22"/>
              </w:rPr>
              <w:t>Queensland (5 sites)</w:t>
            </w:r>
          </w:p>
        </w:tc>
        <w:tc>
          <w:tcPr>
            <w:tcW w:w="1985" w:type="dxa"/>
            <w:tcBorders>
              <w:right w:val="nil"/>
            </w:tcBorders>
          </w:tcPr>
          <w:p w14:paraId="7F6A54C1" w14:textId="77777777" w:rsidR="00ED6B30" w:rsidRPr="00F154A1" w:rsidRDefault="00ED6B30" w:rsidP="0080606E">
            <w:pPr>
              <w:spacing w:before="60" w:after="120"/>
              <w:rPr>
                <w:rFonts w:cs="Arial"/>
                <w:sz w:val="18"/>
                <w:szCs w:val="22"/>
              </w:rPr>
            </w:pPr>
            <w:r w:rsidRPr="00F154A1">
              <w:rPr>
                <w:rFonts w:cs="Arial"/>
                <w:sz w:val="18"/>
                <w:szCs w:val="22"/>
              </w:rPr>
              <w:t>Coopers Gap</w:t>
            </w:r>
          </w:p>
          <w:p w14:paraId="2D42659A" w14:textId="77777777" w:rsidR="00ED6B30" w:rsidRPr="00F154A1" w:rsidRDefault="00ED6B30" w:rsidP="0080606E">
            <w:pPr>
              <w:spacing w:before="60" w:after="120"/>
              <w:rPr>
                <w:rFonts w:cs="Arial"/>
                <w:sz w:val="18"/>
                <w:szCs w:val="22"/>
              </w:rPr>
            </w:pPr>
            <w:r w:rsidRPr="00F154A1">
              <w:rPr>
                <w:rFonts w:cs="Arial"/>
                <w:sz w:val="18"/>
                <w:szCs w:val="22"/>
              </w:rPr>
              <w:t>High Road</w:t>
            </w:r>
          </w:p>
        </w:tc>
        <w:tc>
          <w:tcPr>
            <w:tcW w:w="2126" w:type="dxa"/>
            <w:tcBorders>
              <w:left w:val="nil"/>
              <w:right w:val="nil"/>
            </w:tcBorders>
          </w:tcPr>
          <w:p w14:paraId="67409797" w14:textId="77777777" w:rsidR="00ED6B30" w:rsidRPr="00F154A1" w:rsidRDefault="00ED6B30" w:rsidP="0080606E">
            <w:pPr>
              <w:spacing w:before="60" w:after="120"/>
              <w:rPr>
                <w:rFonts w:cs="Arial"/>
                <w:sz w:val="18"/>
                <w:szCs w:val="22"/>
              </w:rPr>
            </w:pPr>
            <w:r w:rsidRPr="00F154A1">
              <w:rPr>
                <w:rFonts w:cs="Arial"/>
                <w:sz w:val="18"/>
                <w:szCs w:val="22"/>
              </w:rPr>
              <w:t>Kaban Green Power Hub</w:t>
            </w:r>
          </w:p>
        </w:tc>
        <w:tc>
          <w:tcPr>
            <w:tcW w:w="2977" w:type="dxa"/>
            <w:gridSpan w:val="2"/>
            <w:tcBorders>
              <w:left w:val="nil"/>
            </w:tcBorders>
          </w:tcPr>
          <w:p w14:paraId="3404631C" w14:textId="77777777" w:rsidR="00ED6B30" w:rsidRPr="00F154A1" w:rsidRDefault="00ED6B30" w:rsidP="0080606E">
            <w:pPr>
              <w:spacing w:before="60" w:after="120"/>
              <w:rPr>
                <w:rFonts w:cs="Arial"/>
                <w:sz w:val="18"/>
                <w:szCs w:val="22"/>
              </w:rPr>
            </w:pPr>
            <w:r w:rsidRPr="00F154A1">
              <w:rPr>
                <w:rFonts w:cs="Arial"/>
                <w:sz w:val="18"/>
                <w:szCs w:val="22"/>
              </w:rPr>
              <w:t>Mt Emerald</w:t>
            </w:r>
          </w:p>
          <w:p w14:paraId="275AE830" w14:textId="77777777" w:rsidR="00ED6B30" w:rsidRPr="00F154A1" w:rsidRDefault="00ED6B30" w:rsidP="0080606E">
            <w:pPr>
              <w:spacing w:before="60" w:after="120"/>
              <w:rPr>
                <w:rFonts w:cs="Arial"/>
                <w:sz w:val="16"/>
              </w:rPr>
            </w:pPr>
            <w:r w:rsidRPr="00F154A1">
              <w:rPr>
                <w:rFonts w:cs="Arial"/>
                <w:sz w:val="18"/>
                <w:szCs w:val="22"/>
              </w:rPr>
              <w:t>Windy Hill</w:t>
            </w:r>
          </w:p>
        </w:tc>
      </w:tr>
      <w:tr w:rsidR="00ED6B30" w:rsidRPr="00F154A1" w14:paraId="4BB30C3E" w14:textId="77777777" w:rsidTr="0080606E">
        <w:trPr>
          <w:cnfStyle w:val="000000100000" w:firstRow="0" w:lastRow="0" w:firstColumn="0" w:lastColumn="0" w:oddVBand="0" w:evenVBand="0" w:oddHBand="1" w:evenHBand="0" w:firstRowFirstColumn="0" w:firstRowLastColumn="0" w:lastRowFirstColumn="0" w:lastRowLastColumn="0"/>
          <w:trHeight w:val="680"/>
        </w:trPr>
        <w:tc>
          <w:tcPr>
            <w:tcW w:w="2405" w:type="dxa"/>
            <w:tcBorders>
              <w:bottom w:val="single" w:sz="4" w:space="0" w:color="auto"/>
            </w:tcBorders>
          </w:tcPr>
          <w:p w14:paraId="05480C60" w14:textId="77777777" w:rsidR="00ED6B30" w:rsidRPr="00F154A1" w:rsidRDefault="00ED6B30" w:rsidP="0080606E">
            <w:pPr>
              <w:spacing w:before="60" w:after="120"/>
              <w:rPr>
                <w:rFonts w:cs="Arial"/>
                <w:sz w:val="18"/>
                <w:szCs w:val="22"/>
              </w:rPr>
            </w:pPr>
            <w:r w:rsidRPr="00F154A1">
              <w:rPr>
                <w:rFonts w:cs="Arial"/>
                <w:b/>
                <w:bCs/>
                <w:sz w:val="18"/>
                <w:szCs w:val="22"/>
              </w:rPr>
              <w:t>Western Australia (3 sites)</w:t>
            </w:r>
          </w:p>
        </w:tc>
        <w:tc>
          <w:tcPr>
            <w:tcW w:w="1985" w:type="dxa"/>
            <w:tcBorders>
              <w:bottom w:val="single" w:sz="4" w:space="0" w:color="auto"/>
              <w:right w:val="nil"/>
            </w:tcBorders>
          </w:tcPr>
          <w:p w14:paraId="380F7A12" w14:textId="77777777" w:rsidR="00ED6B30" w:rsidRPr="00F154A1" w:rsidRDefault="00ED6B30" w:rsidP="0080606E">
            <w:pPr>
              <w:spacing w:before="60" w:after="120"/>
              <w:rPr>
                <w:rFonts w:cs="Arial"/>
                <w:sz w:val="18"/>
                <w:szCs w:val="22"/>
              </w:rPr>
            </w:pPr>
            <w:r w:rsidRPr="00F154A1">
              <w:rPr>
                <w:rFonts w:cs="Arial"/>
                <w:sz w:val="18"/>
                <w:szCs w:val="22"/>
              </w:rPr>
              <w:t>Albany</w:t>
            </w:r>
          </w:p>
        </w:tc>
        <w:tc>
          <w:tcPr>
            <w:tcW w:w="2126" w:type="dxa"/>
            <w:tcBorders>
              <w:left w:val="nil"/>
              <w:bottom w:val="single" w:sz="4" w:space="0" w:color="auto"/>
              <w:right w:val="nil"/>
            </w:tcBorders>
          </w:tcPr>
          <w:p w14:paraId="44CACB0C" w14:textId="77777777" w:rsidR="00ED6B30" w:rsidRPr="00F154A1" w:rsidRDefault="00ED6B30" w:rsidP="0080606E">
            <w:pPr>
              <w:spacing w:before="60" w:after="120"/>
              <w:rPr>
                <w:rFonts w:cs="Arial"/>
                <w:b/>
                <w:bCs/>
                <w:sz w:val="18"/>
                <w:szCs w:val="22"/>
              </w:rPr>
            </w:pPr>
            <w:r w:rsidRPr="00F154A1">
              <w:rPr>
                <w:rFonts w:cs="Arial"/>
                <w:sz w:val="18"/>
                <w:szCs w:val="22"/>
              </w:rPr>
              <w:t>Denmark</w:t>
            </w:r>
          </w:p>
        </w:tc>
        <w:tc>
          <w:tcPr>
            <w:tcW w:w="2977" w:type="dxa"/>
            <w:gridSpan w:val="2"/>
            <w:tcBorders>
              <w:left w:val="nil"/>
              <w:bottom w:val="single" w:sz="4" w:space="0" w:color="auto"/>
            </w:tcBorders>
          </w:tcPr>
          <w:p w14:paraId="32DC6247" w14:textId="77777777" w:rsidR="00ED6B30" w:rsidRPr="00F154A1" w:rsidRDefault="00ED6B30" w:rsidP="0080606E">
            <w:pPr>
              <w:spacing w:before="60" w:after="120"/>
              <w:rPr>
                <w:rFonts w:cs="Arial"/>
                <w:sz w:val="16"/>
              </w:rPr>
            </w:pPr>
            <w:r w:rsidRPr="00F154A1">
              <w:rPr>
                <w:rFonts w:cs="Arial"/>
                <w:sz w:val="18"/>
                <w:szCs w:val="22"/>
              </w:rPr>
              <w:t>Mount Barker</w:t>
            </w:r>
          </w:p>
        </w:tc>
      </w:tr>
      <w:tr w:rsidR="00ED6B30" w:rsidRPr="00F154A1" w14:paraId="07395857" w14:textId="77777777" w:rsidTr="0080606E">
        <w:trPr>
          <w:cnfStyle w:val="000000010000" w:firstRow="0" w:lastRow="0" w:firstColumn="0" w:lastColumn="0" w:oddVBand="0" w:evenVBand="0" w:oddHBand="0" w:evenHBand="1" w:firstRowFirstColumn="0" w:firstRowLastColumn="0" w:lastRowFirstColumn="0" w:lastRowLastColumn="0"/>
          <w:trHeight w:val="690"/>
        </w:trPr>
        <w:tc>
          <w:tcPr>
            <w:tcW w:w="2405" w:type="dxa"/>
            <w:tcBorders>
              <w:bottom w:val="single" w:sz="4" w:space="0" w:color="auto"/>
            </w:tcBorders>
          </w:tcPr>
          <w:p w14:paraId="2EE9872F" w14:textId="77777777" w:rsidR="00ED6B30" w:rsidRPr="00F154A1" w:rsidRDefault="00ED6B30" w:rsidP="0080606E">
            <w:pPr>
              <w:spacing w:before="60" w:after="120"/>
              <w:rPr>
                <w:rFonts w:cs="Arial"/>
                <w:sz w:val="18"/>
                <w:szCs w:val="22"/>
              </w:rPr>
            </w:pPr>
            <w:r w:rsidRPr="00F154A1">
              <w:rPr>
                <w:rFonts w:cs="Arial"/>
                <w:b/>
                <w:bCs/>
                <w:sz w:val="18"/>
                <w:szCs w:val="22"/>
              </w:rPr>
              <w:t>Tasmania (6 sites)</w:t>
            </w:r>
          </w:p>
        </w:tc>
        <w:tc>
          <w:tcPr>
            <w:tcW w:w="1985" w:type="dxa"/>
            <w:tcBorders>
              <w:bottom w:val="single" w:sz="4" w:space="0" w:color="auto"/>
              <w:right w:val="nil"/>
            </w:tcBorders>
          </w:tcPr>
          <w:p w14:paraId="4FF3D5B0" w14:textId="77777777" w:rsidR="00ED6B30" w:rsidRPr="00F154A1" w:rsidRDefault="00ED6B30" w:rsidP="0080606E">
            <w:pPr>
              <w:pStyle w:val="ListBullet2"/>
              <w:numPr>
                <w:ilvl w:val="0"/>
                <w:numId w:val="0"/>
              </w:numPr>
              <w:spacing w:before="60" w:after="120"/>
              <w:ind w:left="369" w:hanging="369"/>
              <w:rPr>
                <w:rFonts w:asciiTheme="minorHAnsi" w:hAnsiTheme="minorHAnsi"/>
                <w:sz w:val="16"/>
              </w:rPr>
            </w:pPr>
            <w:r w:rsidRPr="00F154A1">
              <w:rPr>
                <w:rFonts w:cs="Arial"/>
                <w:sz w:val="18"/>
                <w:szCs w:val="22"/>
              </w:rPr>
              <w:t>Musselroe</w:t>
            </w:r>
          </w:p>
          <w:p w14:paraId="5859A2F1" w14:textId="77777777" w:rsidR="00ED6B30" w:rsidRPr="00F154A1" w:rsidRDefault="00ED6B30" w:rsidP="0080606E">
            <w:pPr>
              <w:pStyle w:val="ListBullet2"/>
              <w:numPr>
                <w:ilvl w:val="0"/>
                <w:numId w:val="0"/>
              </w:numPr>
              <w:spacing w:before="60" w:after="120"/>
              <w:ind w:left="369" w:hanging="369"/>
              <w:rPr>
                <w:rFonts w:cs="Arial"/>
                <w:sz w:val="18"/>
              </w:rPr>
            </w:pPr>
            <w:r w:rsidRPr="00F154A1">
              <w:rPr>
                <w:rFonts w:cs="Arial"/>
                <w:sz w:val="18"/>
              </w:rPr>
              <w:t xml:space="preserve">Robbins Island </w:t>
            </w:r>
          </w:p>
        </w:tc>
        <w:tc>
          <w:tcPr>
            <w:tcW w:w="2126" w:type="dxa"/>
            <w:tcBorders>
              <w:left w:val="nil"/>
              <w:bottom w:val="single" w:sz="4" w:space="0" w:color="auto"/>
              <w:right w:val="nil"/>
            </w:tcBorders>
          </w:tcPr>
          <w:p w14:paraId="01CCE7DF" w14:textId="77777777" w:rsidR="00ED6B30" w:rsidRPr="00F154A1" w:rsidRDefault="00ED6B30" w:rsidP="0080606E">
            <w:pPr>
              <w:pStyle w:val="ListBullet2"/>
              <w:numPr>
                <w:ilvl w:val="0"/>
                <w:numId w:val="0"/>
              </w:numPr>
              <w:spacing w:before="60" w:after="120"/>
              <w:ind w:left="369" w:hanging="369"/>
              <w:rPr>
                <w:rFonts w:cs="Arial"/>
                <w:sz w:val="18"/>
              </w:rPr>
            </w:pPr>
            <w:r w:rsidRPr="00F154A1">
              <w:rPr>
                <w:rFonts w:cs="Arial"/>
                <w:sz w:val="18"/>
              </w:rPr>
              <w:t>Jims Plains</w:t>
            </w:r>
          </w:p>
          <w:p w14:paraId="2CE81434" w14:textId="77777777" w:rsidR="00ED6B30" w:rsidRPr="00F154A1" w:rsidRDefault="00ED6B30" w:rsidP="0080606E">
            <w:pPr>
              <w:pStyle w:val="ListBullet2"/>
              <w:numPr>
                <w:ilvl w:val="0"/>
                <w:numId w:val="0"/>
              </w:numPr>
              <w:spacing w:before="60" w:after="120"/>
              <w:ind w:left="369" w:hanging="369"/>
              <w:rPr>
                <w:rFonts w:cs="Arial"/>
                <w:sz w:val="18"/>
              </w:rPr>
            </w:pPr>
            <w:r w:rsidRPr="00F154A1">
              <w:rPr>
                <w:rFonts w:cs="Arial"/>
                <w:sz w:val="18"/>
              </w:rPr>
              <w:t>Cattle Hill</w:t>
            </w:r>
          </w:p>
        </w:tc>
        <w:tc>
          <w:tcPr>
            <w:tcW w:w="2977" w:type="dxa"/>
            <w:gridSpan w:val="2"/>
            <w:tcBorders>
              <w:left w:val="nil"/>
              <w:bottom w:val="single" w:sz="4" w:space="0" w:color="auto"/>
            </w:tcBorders>
          </w:tcPr>
          <w:p w14:paraId="5E5BDF97" w14:textId="77777777" w:rsidR="00ED6B30" w:rsidRPr="00F154A1" w:rsidRDefault="00ED6B30" w:rsidP="0080606E">
            <w:pPr>
              <w:pStyle w:val="ListBullet2"/>
              <w:numPr>
                <w:ilvl w:val="0"/>
                <w:numId w:val="0"/>
              </w:numPr>
              <w:spacing w:before="60" w:after="120"/>
              <w:ind w:left="369" w:hanging="369"/>
              <w:rPr>
                <w:rFonts w:asciiTheme="minorHAnsi" w:hAnsiTheme="minorHAnsi"/>
                <w:sz w:val="16"/>
              </w:rPr>
            </w:pPr>
            <w:r w:rsidRPr="00F154A1">
              <w:rPr>
                <w:rFonts w:cs="Arial"/>
                <w:sz w:val="18"/>
              </w:rPr>
              <w:t>St Patricks Plains</w:t>
            </w:r>
          </w:p>
          <w:p w14:paraId="059D8664" w14:textId="77777777" w:rsidR="00ED6B30" w:rsidRPr="00F154A1" w:rsidRDefault="00ED6B30" w:rsidP="0080606E">
            <w:pPr>
              <w:pStyle w:val="ListBullet2"/>
              <w:numPr>
                <w:ilvl w:val="0"/>
                <w:numId w:val="0"/>
              </w:numPr>
              <w:spacing w:before="60" w:after="120"/>
              <w:ind w:left="369" w:hanging="369"/>
              <w:rPr>
                <w:rFonts w:cs="Arial"/>
                <w:sz w:val="16"/>
              </w:rPr>
            </w:pPr>
            <w:r w:rsidRPr="00F154A1">
              <w:rPr>
                <w:rFonts w:cs="Arial"/>
                <w:sz w:val="18"/>
              </w:rPr>
              <w:t>Western Plains</w:t>
            </w:r>
          </w:p>
        </w:tc>
      </w:tr>
      <w:tr w:rsidR="00ED6B30" w:rsidRPr="00F154A1" w14:paraId="539C21D2" w14:textId="77777777" w:rsidTr="0080606E">
        <w:trPr>
          <w:cnfStyle w:val="000000100000" w:firstRow="0" w:lastRow="0" w:firstColumn="0" w:lastColumn="0" w:oddVBand="0" w:evenVBand="0" w:oddHBand="1" w:evenHBand="0" w:firstRowFirstColumn="0" w:firstRowLastColumn="0" w:lastRowFirstColumn="0" w:lastRowLastColumn="0"/>
        </w:trPr>
        <w:tc>
          <w:tcPr>
            <w:tcW w:w="8075" w:type="dxa"/>
            <w:gridSpan w:val="4"/>
            <w:tcBorders>
              <w:top w:val="single" w:sz="4" w:space="0" w:color="auto"/>
              <w:left w:val="nil"/>
              <w:bottom w:val="nil"/>
              <w:right w:val="nil"/>
            </w:tcBorders>
          </w:tcPr>
          <w:p w14:paraId="3DFEA2F3" w14:textId="54349778" w:rsidR="00ED6B30" w:rsidRPr="00F154A1" w:rsidRDefault="00ED6B30" w:rsidP="0080606E">
            <w:pPr>
              <w:spacing w:before="240" w:after="120"/>
              <w:ind w:left="369" w:hanging="369"/>
              <w:rPr>
                <w:rFonts w:cs="Arial"/>
                <w:b/>
                <w:bCs/>
                <w:sz w:val="18"/>
                <w:szCs w:val="22"/>
              </w:rPr>
            </w:pPr>
            <w:r w:rsidRPr="00F154A1">
              <w:rPr>
                <w:rFonts w:cs="Arial"/>
                <w:b/>
                <w:bCs/>
                <w:sz w:val="22"/>
                <w:szCs w:val="22"/>
              </w:rPr>
              <w:t xml:space="preserve">Table 2: List of </w:t>
            </w:r>
            <w:r w:rsidR="00AE5616">
              <w:rPr>
                <w:rFonts w:cs="Arial"/>
                <w:b/>
                <w:bCs/>
                <w:sz w:val="22"/>
                <w:szCs w:val="22"/>
              </w:rPr>
              <w:t xml:space="preserve">solar farm </w:t>
            </w:r>
            <w:r w:rsidRPr="00F154A1">
              <w:rPr>
                <w:rFonts w:cs="Arial"/>
                <w:b/>
                <w:bCs/>
                <w:sz w:val="22"/>
                <w:szCs w:val="22"/>
              </w:rPr>
              <w:t>sites visited since 2018</w:t>
            </w:r>
          </w:p>
        </w:tc>
        <w:tc>
          <w:tcPr>
            <w:tcW w:w="1418" w:type="dxa"/>
            <w:tcBorders>
              <w:top w:val="single" w:sz="4" w:space="0" w:color="auto"/>
              <w:left w:val="nil"/>
              <w:bottom w:val="nil"/>
              <w:right w:val="nil"/>
            </w:tcBorders>
          </w:tcPr>
          <w:p w14:paraId="6CBE1798" w14:textId="77777777" w:rsidR="00ED6B30" w:rsidRPr="00F154A1" w:rsidRDefault="00ED6B30" w:rsidP="0080606E">
            <w:pPr>
              <w:spacing w:before="240" w:after="120"/>
              <w:rPr>
                <w:rFonts w:cs="Arial"/>
                <w:b/>
                <w:bCs/>
                <w:sz w:val="16"/>
              </w:rPr>
            </w:pPr>
          </w:p>
        </w:tc>
      </w:tr>
    </w:tbl>
    <w:tbl>
      <w:tblPr>
        <w:tblStyle w:val="TableGrid1"/>
        <w:tblW w:w="9493" w:type="dxa"/>
        <w:tblInd w:w="5" w:type="dxa"/>
        <w:tblLayout w:type="fixed"/>
        <w:tblLook w:val="04A0" w:firstRow="1" w:lastRow="0" w:firstColumn="1" w:lastColumn="0" w:noHBand="0" w:noVBand="1"/>
      </w:tblPr>
      <w:tblGrid>
        <w:gridCol w:w="2972"/>
        <w:gridCol w:w="2977"/>
        <w:gridCol w:w="3544"/>
      </w:tblGrid>
      <w:tr w:rsidR="00ED6B30" w:rsidRPr="00F154A1" w14:paraId="36062FFB" w14:textId="77777777" w:rsidTr="00E11D75">
        <w:trPr>
          <w:tblHeader/>
        </w:trPr>
        <w:tc>
          <w:tcPr>
            <w:tcW w:w="2972" w:type="dxa"/>
            <w:shd w:val="clear" w:color="auto" w:fill="DBE5F1" w:themeFill="accent1" w:themeFillTint="33"/>
          </w:tcPr>
          <w:p w14:paraId="27CA5C04" w14:textId="77777777" w:rsidR="00ED6B30" w:rsidRPr="00F154A1" w:rsidRDefault="00ED6B30" w:rsidP="0080606E">
            <w:pPr>
              <w:spacing w:before="120" w:after="120"/>
              <w:jc w:val="center"/>
              <w:rPr>
                <w:rFonts w:cs="Arial"/>
                <w:b/>
                <w:bCs/>
                <w:sz w:val="18"/>
              </w:rPr>
            </w:pPr>
            <w:r w:rsidRPr="00F154A1">
              <w:rPr>
                <w:rFonts w:cs="Arial"/>
                <w:b/>
                <w:bCs/>
                <w:sz w:val="18"/>
              </w:rPr>
              <w:t>State</w:t>
            </w:r>
          </w:p>
        </w:tc>
        <w:tc>
          <w:tcPr>
            <w:tcW w:w="6521" w:type="dxa"/>
            <w:gridSpan w:val="2"/>
            <w:shd w:val="clear" w:color="auto" w:fill="DBE5F1" w:themeFill="accent1" w:themeFillTint="33"/>
          </w:tcPr>
          <w:p w14:paraId="1938E06B" w14:textId="77777777" w:rsidR="00ED6B30" w:rsidRPr="00F154A1" w:rsidRDefault="00ED6B30" w:rsidP="0080606E">
            <w:pPr>
              <w:spacing w:before="120" w:after="120"/>
              <w:jc w:val="center"/>
              <w:rPr>
                <w:rFonts w:cs="Arial"/>
                <w:b/>
                <w:bCs/>
                <w:sz w:val="18"/>
              </w:rPr>
            </w:pPr>
            <w:r w:rsidRPr="00F154A1">
              <w:rPr>
                <w:rFonts w:cs="Arial"/>
                <w:b/>
                <w:bCs/>
                <w:sz w:val="18"/>
              </w:rPr>
              <w:t>Solar farm</w:t>
            </w:r>
          </w:p>
        </w:tc>
      </w:tr>
      <w:tr w:rsidR="00ED6B30" w:rsidRPr="00F154A1" w14:paraId="21578EF9" w14:textId="77777777" w:rsidTr="0080606E">
        <w:trPr>
          <w:trHeight w:val="1778"/>
        </w:trPr>
        <w:tc>
          <w:tcPr>
            <w:tcW w:w="2972" w:type="dxa"/>
          </w:tcPr>
          <w:p w14:paraId="266B721F" w14:textId="77777777" w:rsidR="00ED6B30" w:rsidRPr="00F154A1" w:rsidRDefault="00ED6B30" w:rsidP="0080606E">
            <w:pPr>
              <w:spacing w:before="60" w:after="120"/>
              <w:rPr>
                <w:rFonts w:cs="Arial"/>
                <w:sz w:val="18"/>
              </w:rPr>
            </w:pPr>
            <w:r w:rsidRPr="00937128">
              <w:rPr>
                <w:rFonts w:cs="Arial"/>
                <w:b/>
                <w:bCs/>
                <w:sz w:val="18"/>
              </w:rPr>
              <w:t xml:space="preserve">New South Wales </w:t>
            </w:r>
            <w:r w:rsidRPr="00382392">
              <w:rPr>
                <w:rFonts w:cs="Arial"/>
                <w:b/>
                <w:bCs/>
                <w:sz w:val="18"/>
              </w:rPr>
              <w:t>(5 sites)</w:t>
            </w:r>
          </w:p>
          <w:p w14:paraId="0305E31C" w14:textId="77777777" w:rsidR="00ED6B30" w:rsidRPr="00F154A1" w:rsidRDefault="00ED6B30" w:rsidP="0080606E">
            <w:pPr>
              <w:spacing w:before="60" w:after="120"/>
              <w:rPr>
                <w:rFonts w:cs="Arial"/>
                <w:b/>
                <w:bCs/>
                <w:sz w:val="18"/>
              </w:rPr>
            </w:pPr>
          </w:p>
        </w:tc>
        <w:tc>
          <w:tcPr>
            <w:tcW w:w="2977" w:type="dxa"/>
            <w:tcBorders>
              <w:right w:val="nil"/>
            </w:tcBorders>
          </w:tcPr>
          <w:p w14:paraId="13E66677" w14:textId="77777777" w:rsidR="00ED6B30" w:rsidRPr="00F154A1" w:rsidRDefault="00ED6B30" w:rsidP="0080606E">
            <w:pPr>
              <w:spacing w:before="60" w:after="120"/>
              <w:rPr>
                <w:rFonts w:cs="Arial"/>
                <w:sz w:val="18"/>
              </w:rPr>
            </w:pPr>
            <w:r w:rsidRPr="00F154A1">
              <w:rPr>
                <w:rFonts w:cs="Arial"/>
                <w:sz w:val="18"/>
              </w:rPr>
              <w:t>Jemalong CSP Pilot Plant</w:t>
            </w:r>
          </w:p>
          <w:p w14:paraId="08F5AD0A" w14:textId="77777777" w:rsidR="00ED6B30" w:rsidRPr="00F154A1" w:rsidRDefault="00ED6B30" w:rsidP="0080606E">
            <w:pPr>
              <w:spacing w:before="60" w:after="120"/>
              <w:rPr>
                <w:rFonts w:cs="Arial"/>
                <w:sz w:val="18"/>
              </w:rPr>
            </w:pPr>
            <w:r w:rsidRPr="00F154A1">
              <w:rPr>
                <w:rFonts w:cs="Arial"/>
                <w:sz w:val="18"/>
              </w:rPr>
              <w:t>Parkes Solar Farm</w:t>
            </w:r>
          </w:p>
          <w:p w14:paraId="53FC1FE4" w14:textId="77777777" w:rsidR="00ED6B30" w:rsidRPr="00F154A1" w:rsidRDefault="00ED6B30" w:rsidP="0080606E">
            <w:pPr>
              <w:spacing w:before="60" w:after="120"/>
              <w:rPr>
                <w:rFonts w:cs="Arial"/>
                <w:sz w:val="18"/>
              </w:rPr>
            </w:pPr>
            <w:r w:rsidRPr="00F154A1">
              <w:rPr>
                <w:rFonts w:cs="Arial"/>
                <w:sz w:val="18"/>
              </w:rPr>
              <w:t>New England Solar Farm</w:t>
            </w:r>
          </w:p>
          <w:p w14:paraId="0A603DB5" w14:textId="77777777" w:rsidR="00ED6B30" w:rsidRPr="00F154A1" w:rsidRDefault="00ED6B30" w:rsidP="0080606E">
            <w:pPr>
              <w:spacing w:before="60" w:after="120"/>
              <w:rPr>
                <w:rFonts w:cs="Arial"/>
                <w:sz w:val="18"/>
              </w:rPr>
            </w:pPr>
            <w:r w:rsidRPr="00F154A1">
              <w:rPr>
                <w:rFonts w:cs="Arial"/>
                <w:sz w:val="18"/>
              </w:rPr>
              <w:t>Walcha Solar Farm</w:t>
            </w:r>
          </w:p>
          <w:p w14:paraId="292BEDFF" w14:textId="77777777" w:rsidR="00ED6B30" w:rsidRPr="00F154A1" w:rsidRDefault="00ED6B30" w:rsidP="0080606E">
            <w:pPr>
              <w:spacing w:before="60" w:after="120"/>
              <w:rPr>
                <w:rFonts w:cs="Arial"/>
                <w:sz w:val="18"/>
              </w:rPr>
            </w:pPr>
            <w:r w:rsidRPr="00F154A1">
              <w:rPr>
                <w:rFonts w:cs="Arial"/>
                <w:sz w:val="18"/>
              </w:rPr>
              <w:t>Bomen Solar Farm</w:t>
            </w:r>
          </w:p>
        </w:tc>
        <w:tc>
          <w:tcPr>
            <w:tcW w:w="3544" w:type="dxa"/>
            <w:tcBorders>
              <w:left w:val="nil"/>
            </w:tcBorders>
          </w:tcPr>
          <w:p w14:paraId="15560DAE" w14:textId="77777777" w:rsidR="00ED6B30" w:rsidRPr="00F154A1" w:rsidRDefault="00ED6B30" w:rsidP="0080606E">
            <w:pPr>
              <w:spacing w:before="60" w:after="120"/>
              <w:rPr>
                <w:rFonts w:cs="Arial"/>
                <w:b/>
                <w:bCs/>
                <w:sz w:val="18"/>
              </w:rPr>
            </w:pPr>
          </w:p>
        </w:tc>
      </w:tr>
      <w:tr w:rsidR="00ED6B30" w:rsidRPr="00F154A1" w14:paraId="234EFCAA" w14:textId="77777777" w:rsidTr="0080606E">
        <w:tc>
          <w:tcPr>
            <w:tcW w:w="2972" w:type="dxa"/>
          </w:tcPr>
          <w:p w14:paraId="3714BA3A" w14:textId="77777777" w:rsidR="00ED6B30" w:rsidRPr="00F154A1" w:rsidRDefault="00ED6B30" w:rsidP="0080606E">
            <w:pPr>
              <w:spacing w:before="60" w:after="120"/>
              <w:rPr>
                <w:rFonts w:cs="Arial"/>
                <w:b/>
                <w:bCs/>
                <w:sz w:val="18"/>
              </w:rPr>
            </w:pPr>
            <w:r w:rsidRPr="00F154A1">
              <w:rPr>
                <w:rFonts w:cs="Arial"/>
                <w:b/>
                <w:bCs/>
                <w:sz w:val="18"/>
              </w:rPr>
              <w:t>South Australia</w:t>
            </w:r>
          </w:p>
        </w:tc>
        <w:tc>
          <w:tcPr>
            <w:tcW w:w="2977" w:type="dxa"/>
            <w:tcBorders>
              <w:right w:val="nil"/>
            </w:tcBorders>
          </w:tcPr>
          <w:p w14:paraId="31391FC2" w14:textId="77777777" w:rsidR="00ED6B30" w:rsidRPr="00F154A1" w:rsidRDefault="00ED6B30" w:rsidP="0080606E">
            <w:pPr>
              <w:spacing w:before="60" w:after="120"/>
              <w:rPr>
                <w:rFonts w:cs="Arial"/>
                <w:sz w:val="18"/>
              </w:rPr>
            </w:pPr>
            <w:r w:rsidRPr="00F154A1">
              <w:rPr>
                <w:rFonts w:cs="Arial"/>
                <w:sz w:val="18"/>
              </w:rPr>
              <w:t>Hornsdale Power Reserve</w:t>
            </w:r>
          </w:p>
        </w:tc>
        <w:tc>
          <w:tcPr>
            <w:tcW w:w="3544" w:type="dxa"/>
            <w:tcBorders>
              <w:left w:val="nil"/>
            </w:tcBorders>
          </w:tcPr>
          <w:p w14:paraId="77842366" w14:textId="77777777" w:rsidR="00ED6B30" w:rsidRPr="00F154A1" w:rsidRDefault="00ED6B30" w:rsidP="0080606E">
            <w:pPr>
              <w:spacing w:before="60" w:after="120"/>
              <w:rPr>
                <w:rFonts w:cs="Arial"/>
                <w:b/>
                <w:bCs/>
                <w:sz w:val="18"/>
              </w:rPr>
            </w:pPr>
          </w:p>
        </w:tc>
      </w:tr>
    </w:tbl>
    <w:p w14:paraId="283FBBEF" w14:textId="77777777" w:rsidR="00ED6B30" w:rsidRDefault="00ED6B30" w:rsidP="00ED6B30">
      <w:pPr>
        <w:pStyle w:val="ListBullet"/>
        <w:numPr>
          <w:ilvl w:val="0"/>
          <w:numId w:val="0"/>
        </w:numPr>
        <w:spacing w:before="240" w:after="120"/>
        <w:ind w:left="369" w:hanging="369"/>
        <w:rPr>
          <w:rFonts w:cs="Arial"/>
          <w:b/>
          <w:bCs/>
        </w:rPr>
      </w:pPr>
    </w:p>
    <w:p w14:paraId="30197FD0" w14:textId="77777777" w:rsidR="00ED6B30" w:rsidRDefault="00ED6B30" w:rsidP="00ED6B30">
      <w:pPr>
        <w:spacing w:after="160" w:line="259" w:lineRule="auto"/>
        <w:rPr>
          <w:rFonts w:cs="Arial"/>
          <w:b/>
          <w:bCs/>
        </w:rPr>
      </w:pPr>
      <w:r>
        <w:rPr>
          <w:rFonts w:cs="Arial"/>
          <w:b/>
          <w:bCs/>
        </w:rPr>
        <w:br w:type="page"/>
      </w:r>
    </w:p>
    <w:p w14:paraId="5D492D0C" w14:textId="77777777" w:rsidR="00ED6B30" w:rsidRPr="00F154A1" w:rsidRDefault="00ED6B30" w:rsidP="00ED6B30">
      <w:pPr>
        <w:pStyle w:val="ListBullet"/>
        <w:numPr>
          <w:ilvl w:val="0"/>
          <w:numId w:val="0"/>
        </w:numPr>
        <w:spacing w:before="240" w:after="120"/>
        <w:ind w:left="369" w:hanging="369"/>
        <w:rPr>
          <w:rFonts w:cstheme="minorHAnsi"/>
        </w:rPr>
      </w:pPr>
      <w:r w:rsidRPr="00F154A1">
        <w:rPr>
          <w:rFonts w:cs="Arial"/>
          <w:b/>
          <w:bCs/>
        </w:rPr>
        <w:lastRenderedPageBreak/>
        <w:t>Table 3: List of major transmission projects visited</w:t>
      </w:r>
      <w:r>
        <w:rPr>
          <w:rFonts w:cs="Arial"/>
          <w:b/>
          <w:bCs/>
        </w:rPr>
        <w:t xml:space="preserve"> since 2021</w:t>
      </w:r>
    </w:p>
    <w:tbl>
      <w:tblPr>
        <w:tblStyle w:val="TableGrid1"/>
        <w:tblW w:w="9493" w:type="dxa"/>
        <w:tblInd w:w="5" w:type="dxa"/>
        <w:tblLayout w:type="fixed"/>
        <w:tblLook w:val="04A0" w:firstRow="1" w:lastRow="0" w:firstColumn="1" w:lastColumn="0" w:noHBand="0" w:noVBand="1"/>
      </w:tblPr>
      <w:tblGrid>
        <w:gridCol w:w="2972"/>
        <w:gridCol w:w="6232"/>
        <w:gridCol w:w="289"/>
      </w:tblGrid>
      <w:tr w:rsidR="00ED6B30" w:rsidRPr="00F154A1" w14:paraId="3D8BEA2F" w14:textId="77777777" w:rsidTr="00E11D75">
        <w:trPr>
          <w:tblHeader/>
        </w:trPr>
        <w:tc>
          <w:tcPr>
            <w:tcW w:w="2972" w:type="dxa"/>
            <w:shd w:val="clear" w:color="auto" w:fill="DBE5F1" w:themeFill="accent1" w:themeFillTint="33"/>
          </w:tcPr>
          <w:p w14:paraId="5B520112" w14:textId="77777777" w:rsidR="00ED6B30" w:rsidRPr="00F154A1" w:rsidRDefault="00ED6B30" w:rsidP="0080606E">
            <w:pPr>
              <w:spacing w:before="120" w:after="120"/>
              <w:jc w:val="center"/>
              <w:rPr>
                <w:rFonts w:cs="Arial"/>
                <w:b/>
                <w:bCs/>
                <w:sz w:val="18"/>
              </w:rPr>
            </w:pPr>
            <w:r w:rsidRPr="00F154A1">
              <w:rPr>
                <w:rFonts w:cs="Arial"/>
                <w:b/>
                <w:bCs/>
                <w:sz w:val="18"/>
              </w:rPr>
              <w:t>State</w:t>
            </w:r>
          </w:p>
        </w:tc>
        <w:tc>
          <w:tcPr>
            <w:tcW w:w="6521" w:type="dxa"/>
            <w:gridSpan w:val="2"/>
            <w:shd w:val="clear" w:color="auto" w:fill="DBE5F1" w:themeFill="accent1" w:themeFillTint="33"/>
          </w:tcPr>
          <w:p w14:paraId="73FFF5F7" w14:textId="77777777" w:rsidR="00ED6B30" w:rsidRPr="00F154A1" w:rsidRDefault="00ED6B30" w:rsidP="0080606E">
            <w:pPr>
              <w:spacing w:before="120" w:after="120"/>
              <w:jc w:val="center"/>
              <w:rPr>
                <w:rFonts w:cs="Arial"/>
                <w:b/>
                <w:bCs/>
                <w:sz w:val="18"/>
              </w:rPr>
            </w:pPr>
            <w:r>
              <w:rPr>
                <w:rFonts w:cs="Arial"/>
                <w:b/>
                <w:bCs/>
                <w:sz w:val="18"/>
              </w:rPr>
              <w:t>Project</w:t>
            </w:r>
          </w:p>
        </w:tc>
      </w:tr>
      <w:tr w:rsidR="00ED6B30" w:rsidRPr="00F154A1" w14:paraId="7B4CC87D" w14:textId="77777777" w:rsidTr="0080606E">
        <w:tc>
          <w:tcPr>
            <w:tcW w:w="2972" w:type="dxa"/>
          </w:tcPr>
          <w:p w14:paraId="3BA3E4D1" w14:textId="77777777" w:rsidR="00ED6B30" w:rsidRPr="00F154A1" w:rsidRDefault="00ED6B30" w:rsidP="0080606E">
            <w:pPr>
              <w:spacing w:before="60" w:after="120"/>
              <w:rPr>
                <w:rFonts w:cs="Arial"/>
                <w:b/>
                <w:bCs/>
                <w:sz w:val="18"/>
              </w:rPr>
            </w:pPr>
            <w:r w:rsidRPr="00F154A1">
              <w:rPr>
                <w:rFonts w:cs="Arial"/>
                <w:b/>
                <w:bCs/>
                <w:sz w:val="18"/>
              </w:rPr>
              <w:t>New South Wales</w:t>
            </w:r>
            <w:r>
              <w:rPr>
                <w:rFonts w:cs="Arial"/>
                <w:b/>
                <w:bCs/>
                <w:sz w:val="18"/>
              </w:rPr>
              <w:t xml:space="preserve"> </w:t>
            </w:r>
            <w:r>
              <w:rPr>
                <w:rFonts w:cs="Arial"/>
                <w:b/>
                <w:bCs/>
                <w:sz w:val="18"/>
              </w:rPr>
              <w:br/>
            </w:r>
            <w:r w:rsidRPr="00D01E0E">
              <w:rPr>
                <w:rFonts w:cs="Arial"/>
                <w:i/>
                <w:iCs/>
                <w:sz w:val="18"/>
              </w:rPr>
              <w:t>(multiple sites)</w:t>
            </w:r>
          </w:p>
        </w:tc>
        <w:tc>
          <w:tcPr>
            <w:tcW w:w="6232" w:type="dxa"/>
            <w:tcBorders>
              <w:right w:val="nil"/>
            </w:tcBorders>
          </w:tcPr>
          <w:p w14:paraId="5A6379BB" w14:textId="77777777" w:rsidR="00ED6B30" w:rsidRDefault="00ED6B30" w:rsidP="0080606E">
            <w:pPr>
              <w:spacing w:before="60" w:after="120"/>
              <w:rPr>
                <w:rFonts w:cs="Arial"/>
                <w:sz w:val="18"/>
              </w:rPr>
            </w:pPr>
            <w:r w:rsidRPr="00F154A1">
              <w:rPr>
                <w:rFonts w:cs="Arial"/>
                <w:sz w:val="18"/>
              </w:rPr>
              <w:t xml:space="preserve">HumeLink </w:t>
            </w:r>
          </w:p>
          <w:p w14:paraId="198DF44E" w14:textId="029339FF" w:rsidR="001C0D16" w:rsidRPr="00F154A1" w:rsidRDefault="00E80E38" w:rsidP="0080606E">
            <w:pPr>
              <w:spacing w:before="60" w:after="120"/>
              <w:rPr>
                <w:rFonts w:cs="Arial"/>
                <w:sz w:val="18"/>
              </w:rPr>
            </w:pPr>
            <w:r>
              <w:rPr>
                <w:rFonts w:cs="Arial"/>
                <w:sz w:val="18"/>
              </w:rPr>
              <w:t>Central</w:t>
            </w:r>
            <w:r w:rsidR="006461D5">
              <w:rPr>
                <w:rFonts w:cs="Arial"/>
                <w:sz w:val="18"/>
              </w:rPr>
              <w:t>-</w:t>
            </w:r>
            <w:r>
              <w:rPr>
                <w:rFonts w:cs="Arial"/>
                <w:sz w:val="18"/>
              </w:rPr>
              <w:t>West</w:t>
            </w:r>
            <w:r w:rsidR="006461D5">
              <w:rPr>
                <w:rFonts w:cs="Arial"/>
                <w:sz w:val="18"/>
              </w:rPr>
              <w:t xml:space="preserve"> Or</w:t>
            </w:r>
            <w:r w:rsidR="001D495B">
              <w:rPr>
                <w:rFonts w:cs="Arial"/>
                <w:sz w:val="18"/>
              </w:rPr>
              <w:t>ana</w:t>
            </w:r>
          </w:p>
        </w:tc>
        <w:tc>
          <w:tcPr>
            <w:tcW w:w="289" w:type="dxa"/>
            <w:tcBorders>
              <w:left w:val="nil"/>
            </w:tcBorders>
          </w:tcPr>
          <w:p w14:paraId="75E207A9" w14:textId="77777777" w:rsidR="00ED6B30" w:rsidRPr="00F154A1" w:rsidRDefault="00ED6B30" w:rsidP="0080606E">
            <w:pPr>
              <w:spacing w:before="60" w:after="120"/>
              <w:rPr>
                <w:rFonts w:cs="Arial"/>
                <w:b/>
                <w:bCs/>
                <w:sz w:val="18"/>
              </w:rPr>
            </w:pPr>
          </w:p>
        </w:tc>
      </w:tr>
      <w:tr w:rsidR="00ED6B30" w:rsidRPr="00F154A1" w14:paraId="31719B74" w14:textId="77777777" w:rsidTr="0080606E">
        <w:tc>
          <w:tcPr>
            <w:tcW w:w="2972" w:type="dxa"/>
          </w:tcPr>
          <w:p w14:paraId="4BB46B68" w14:textId="77777777" w:rsidR="00ED6B30" w:rsidRPr="00F154A1" w:rsidRDefault="00ED6B30" w:rsidP="0080606E">
            <w:pPr>
              <w:spacing w:before="60" w:after="120"/>
              <w:rPr>
                <w:rFonts w:cs="Arial"/>
                <w:b/>
                <w:bCs/>
                <w:sz w:val="18"/>
              </w:rPr>
            </w:pPr>
            <w:r w:rsidRPr="00F154A1">
              <w:rPr>
                <w:rFonts w:cs="Arial"/>
                <w:b/>
                <w:bCs/>
                <w:sz w:val="18"/>
              </w:rPr>
              <w:t>Victoria</w:t>
            </w:r>
            <w:r>
              <w:rPr>
                <w:rFonts w:cs="Arial"/>
                <w:b/>
                <w:bCs/>
                <w:sz w:val="18"/>
              </w:rPr>
              <w:br/>
            </w:r>
            <w:r w:rsidRPr="00D01E0E">
              <w:rPr>
                <w:rFonts w:cs="Arial"/>
                <w:i/>
                <w:iCs/>
                <w:sz w:val="18"/>
              </w:rPr>
              <w:t>(multiple sites)</w:t>
            </w:r>
          </w:p>
        </w:tc>
        <w:tc>
          <w:tcPr>
            <w:tcW w:w="6521" w:type="dxa"/>
            <w:gridSpan w:val="2"/>
          </w:tcPr>
          <w:p w14:paraId="63894255" w14:textId="77777777" w:rsidR="00ED6B30" w:rsidRDefault="00ED6B30" w:rsidP="0080606E">
            <w:pPr>
              <w:spacing w:before="60" w:after="120"/>
              <w:rPr>
                <w:rFonts w:cs="Arial"/>
                <w:sz w:val="18"/>
              </w:rPr>
            </w:pPr>
            <w:r w:rsidRPr="00F154A1">
              <w:rPr>
                <w:rFonts w:cs="Arial"/>
                <w:sz w:val="18"/>
              </w:rPr>
              <w:t xml:space="preserve">Western </w:t>
            </w:r>
            <w:r>
              <w:rPr>
                <w:rFonts w:cs="Arial"/>
                <w:sz w:val="18"/>
              </w:rPr>
              <w:t>Renewables Link</w:t>
            </w:r>
          </w:p>
          <w:p w14:paraId="23C290A5" w14:textId="77777777" w:rsidR="00ED6B30" w:rsidRDefault="00ED6B30" w:rsidP="0080606E">
            <w:pPr>
              <w:spacing w:before="60" w:after="120"/>
              <w:rPr>
                <w:rFonts w:cs="Arial"/>
                <w:sz w:val="18"/>
              </w:rPr>
            </w:pPr>
            <w:r>
              <w:rPr>
                <w:rFonts w:cs="Arial"/>
                <w:sz w:val="18"/>
              </w:rPr>
              <w:t>Victoria-NSW Interconnector (VNI) West</w:t>
            </w:r>
          </w:p>
          <w:p w14:paraId="7A33D4A4" w14:textId="77777777" w:rsidR="00ED6B30" w:rsidRPr="00F154A1" w:rsidRDefault="00ED6B30" w:rsidP="0080606E">
            <w:pPr>
              <w:spacing w:before="60" w:after="120"/>
              <w:rPr>
                <w:rFonts w:cs="Arial"/>
                <w:b/>
                <w:bCs/>
                <w:sz w:val="18"/>
              </w:rPr>
            </w:pPr>
            <w:r>
              <w:rPr>
                <w:rFonts w:cs="Arial"/>
                <w:sz w:val="18"/>
              </w:rPr>
              <w:t>Marinus Link on-shore route</w:t>
            </w:r>
          </w:p>
        </w:tc>
      </w:tr>
      <w:tr w:rsidR="00ED6B30" w:rsidRPr="00F154A1" w14:paraId="276CCC98" w14:textId="77777777" w:rsidTr="0080606E">
        <w:tc>
          <w:tcPr>
            <w:tcW w:w="2972" w:type="dxa"/>
          </w:tcPr>
          <w:p w14:paraId="6E657EFD" w14:textId="77777777" w:rsidR="00ED6B30" w:rsidRPr="00F154A1" w:rsidRDefault="00ED6B30" w:rsidP="0080606E">
            <w:pPr>
              <w:spacing w:before="60" w:after="120"/>
              <w:rPr>
                <w:rFonts w:cs="Arial"/>
                <w:b/>
                <w:bCs/>
                <w:sz w:val="18"/>
              </w:rPr>
            </w:pPr>
            <w:r>
              <w:rPr>
                <w:rFonts w:cs="Arial"/>
                <w:b/>
                <w:bCs/>
                <w:sz w:val="18"/>
              </w:rPr>
              <w:t>Tasmania</w:t>
            </w:r>
            <w:r>
              <w:rPr>
                <w:rFonts w:cs="Arial"/>
                <w:b/>
                <w:bCs/>
                <w:sz w:val="18"/>
              </w:rPr>
              <w:br/>
            </w:r>
            <w:r w:rsidRPr="00D01E0E">
              <w:rPr>
                <w:rFonts w:cs="Arial"/>
                <w:i/>
                <w:iCs/>
                <w:sz w:val="18"/>
              </w:rPr>
              <w:t>(concerned landholder visit)</w:t>
            </w:r>
          </w:p>
        </w:tc>
        <w:tc>
          <w:tcPr>
            <w:tcW w:w="6521" w:type="dxa"/>
            <w:gridSpan w:val="2"/>
          </w:tcPr>
          <w:p w14:paraId="46C5A58C" w14:textId="77777777" w:rsidR="00ED6B30" w:rsidRPr="00F154A1" w:rsidRDefault="00ED6B30" w:rsidP="0080606E">
            <w:pPr>
              <w:spacing w:before="60" w:after="120"/>
              <w:rPr>
                <w:rFonts w:cs="Arial"/>
                <w:sz w:val="18"/>
              </w:rPr>
            </w:pPr>
            <w:r>
              <w:rPr>
                <w:rFonts w:cs="Arial"/>
                <w:sz w:val="18"/>
              </w:rPr>
              <w:t>North West Transmission Developments project</w:t>
            </w:r>
          </w:p>
        </w:tc>
      </w:tr>
    </w:tbl>
    <w:p w14:paraId="13F1A9CE" w14:textId="77777777" w:rsidR="00ED6B30" w:rsidRDefault="00ED6B30" w:rsidP="00ED6B30">
      <w:pPr>
        <w:pStyle w:val="ListBullet"/>
        <w:numPr>
          <w:ilvl w:val="0"/>
          <w:numId w:val="0"/>
        </w:numPr>
        <w:spacing w:line="264" w:lineRule="auto"/>
        <w:rPr>
          <w:rFonts w:cs="Arial"/>
          <w:lang w:eastAsia="en-AU"/>
        </w:rPr>
      </w:pPr>
    </w:p>
    <w:p w14:paraId="390BFB5C" w14:textId="00A3BBE7" w:rsidR="00ED6B30" w:rsidRDefault="00ED6B30" w:rsidP="00ED6B30">
      <w:pPr>
        <w:pStyle w:val="Heading2"/>
        <w:rPr>
          <w:i/>
          <w:iCs/>
        </w:rPr>
      </w:pPr>
      <w:bookmarkStart w:id="77" w:name="_Toc161672803"/>
      <w:r>
        <w:rPr>
          <w:i/>
          <w:iCs/>
        </w:rPr>
        <w:t>Project-specific meetings and system-level working groups</w:t>
      </w:r>
      <w:bookmarkEnd w:id="77"/>
      <w:r>
        <w:rPr>
          <w:i/>
          <w:iCs/>
        </w:rPr>
        <w:t xml:space="preserve"> </w:t>
      </w:r>
    </w:p>
    <w:p w14:paraId="1BB6C2C1" w14:textId="30420341" w:rsidR="00ED6B30" w:rsidRDefault="0055003D" w:rsidP="00ED6B30">
      <w:pPr>
        <w:rPr>
          <w:rFonts w:eastAsia="Times New Roman" w:cs="Arial"/>
          <w:lang w:eastAsia="en-AU"/>
        </w:rPr>
      </w:pPr>
      <w:bookmarkStart w:id="78" w:name="_Toc131179320"/>
      <w:bookmarkStart w:id="79" w:name="_Toc131424256"/>
      <w:bookmarkStart w:id="80" w:name="_Toc131424441"/>
      <w:bookmarkStart w:id="81" w:name="_Toc131424981"/>
      <w:bookmarkStart w:id="82" w:name="_Toc131502712"/>
      <w:bookmarkStart w:id="83" w:name="_Toc131505151"/>
      <w:bookmarkStart w:id="84" w:name="_Toc131505315"/>
      <w:bookmarkStart w:id="85" w:name="_Toc132641445"/>
      <w:r>
        <w:rPr>
          <w:rFonts w:eastAsia="Times New Roman" w:cs="Arial"/>
          <w:lang w:eastAsia="en-AU"/>
        </w:rPr>
        <w:t>W</w:t>
      </w:r>
      <w:r w:rsidR="00ED6B30">
        <w:rPr>
          <w:rFonts w:eastAsia="Times New Roman" w:cs="Arial"/>
          <w:lang w:eastAsia="en-AU"/>
        </w:rPr>
        <w:t>hen the Office receives a new community complaint about a project or proponent, and sometimes in response to direct engagement with proponents, the Commissioner and the Office may seek and receive informal briefings on proposed projects from proponents. These briefings are invaluable and provide an opportunity for the Commissioner to make suggestions regarding the design and layout of the project (or route), as well as share ideas on likely issues that might arise and/or approaches to best work with landholders, neighbours and the broader community.</w:t>
      </w:r>
    </w:p>
    <w:p w14:paraId="4D5A20C8" w14:textId="05EDF478" w:rsidR="00ED6B30" w:rsidRDefault="00860B74" w:rsidP="00ED6B30">
      <w:pPr>
        <w:rPr>
          <w:rFonts w:eastAsia="Times New Roman" w:cs="Arial"/>
          <w:lang w:eastAsia="en-AU"/>
        </w:rPr>
      </w:pPr>
      <w:bookmarkStart w:id="86" w:name="_Hlk159235585"/>
      <w:r>
        <w:rPr>
          <w:rFonts w:eastAsia="Times New Roman" w:cs="Arial"/>
          <w:lang w:eastAsia="en-AU"/>
        </w:rPr>
        <w:t>I</w:t>
      </w:r>
      <w:r w:rsidR="00ED6B30">
        <w:rPr>
          <w:rFonts w:eastAsia="Times New Roman" w:cs="Arial"/>
          <w:lang w:eastAsia="en-AU"/>
        </w:rPr>
        <w:t>n 2023 the Commissioner and the Office also participated in a range of regular</w:t>
      </w:r>
      <w:r w:rsidR="002478FD">
        <w:rPr>
          <w:rFonts w:eastAsia="Times New Roman" w:cs="Arial"/>
          <w:lang w:eastAsia="en-AU"/>
        </w:rPr>
        <w:t xml:space="preserve"> advisory oversight committees as well as </w:t>
      </w:r>
      <w:r w:rsidR="00ED6B30">
        <w:rPr>
          <w:rFonts w:eastAsia="Times New Roman" w:cs="Arial"/>
          <w:lang w:eastAsia="en-AU"/>
        </w:rPr>
        <w:t>other project-specific forums</w:t>
      </w:r>
      <w:r>
        <w:rPr>
          <w:rFonts w:eastAsia="Times New Roman" w:cs="Arial"/>
          <w:lang w:eastAsia="en-AU"/>
        </w:rPr>
        <w:t xml:space="preserve"> for nationally significant </w:t>
      </w:r>
      <w:r w:rsidR="002478FD">
        <w:rPr>
          <w:rFonts w:eastAsia="Times New Roman" w:cs="Arial"/>
          <w:lang w:eastAsia="en-AU"/>
        </w:rPr>
        <w:t>t</w:t>
      </w:r>
      <w:r>
        <w:rPr>
          <w:rFonts w:eastAsia="Times New Roman" w:cs="Arial"/>
          <w:lang w:eastAsia="en-AU"/>
        </w:rPr>
        <w:t>ransmission developments and related projects.</w:t>
      </w:r>
    </w:p>
    <w:p w14:paraId="7B87D4EF" w14:textId="76D369AB" w:rsidR="00ED6B30" w:rsidRPr="00D913C1" w:rsidRDefault="00ED6B30" w:rsidP="00ED6B30">
      <w:pPr>
        <w:rPr>
          <w:rFonts w:eastAsia="Times New Roman" w:cs="Arial"/>
          <w:color w:val="000000"/>
          <w:lang w:eastAsia="en-AU"/>
        </w:rPr>
      </w:pPr>
      <w:bookmarkStart w:id="87" w:name="_Toc131424255"/>
      <w:bookmarkStart w:id="88" w:name="_Toc131424440"/>
      <w:bookmarkStart w:id="89" w:name="_Toc131424980"/>
      <w:bookmarkStart w:id="90" w:name="_Toc131502711"/>
      <w:bookmarkStart w:id="91" w:name="_Toc131505150"/>
      <w:bookmarkStart w:id="92" w:name="_Toc131505314"/>
      <w:bookmarkStart w:id="93" w:name="_Toc132641444"/>
      <w:bookmarkEnd w:id="78"/>
      <w:bookmarkEnd w:id="79"/>
      <w:bookmarkEnd w:id="80"/>
      <w:bookmarkEnd w:id="81"/>
      <w:bookmarkEnd w:id="82"/>
      <w:bookmarkEnd w:id="83"/>
      <w:bookmarkEnd w:id="84"/>
      <w:bookmarkEnd w:id="85"/>
      <w:bookmarkEnd w:id="86"/>
      <w:r w:rsidRPr="00F3219F">
        <w:rPr>
          <w:rFonts w:eastAsia="Times New Roman" w:cs="Arial"/>
          <w:color w:val="000000"/>
          <w:lang w:eastAsia="en-AU"/>
        </w:rPr>
        <w:t>T</w:t>
      </w:r>
      <w:r w:rsidR="00A136E0">
        <w:rPr>
          <w:rFonts w:eastAsia="Times New Roman" w:cs="Arial"/>
          <w:color w:val="000000"/>
          <w:lang w:eastAsia="en-AU"/>
        </w:rPr>
        <w:t>hroughout 2023, t</w:t>
      </w:r>
      <w:r w:rsidRPr="00F3219F">
        <w:rPr>
          <w:rFonts w:eastAsia="Times New Roman" w:cs="Arial"/>
          <w:color w:val="000000"/>
          <w:lang w:eastAsia="en-AU"/>
        </w:rPr>
        <w:t xml:space="preserve">he Commissioner </w:t>
      </w:r>
      <w:r>
        <w:rPr>
          <w:rFonts w:eastAsia="Times New Roman" w:cs="Arial"/>
          <w:color w:val="000000"/>
          <w:lang w:eastAsia="en-AU"/>
        </w:rPr>
        <w:t>continued to me</w:t>
      </w:r>
      <w:r w:rsidR="00860B74">
        <w:rPr>
          <w:rFonts w:eastAsia="Times New Roman" w:cs="Arial"/>
          <w:color w:val="000000"/>
          <w:lang w:eastAsia="en-AU"/>
        </w:rPr>
        <w:t>e</w:t>
      </w:r>
      <w:r>
        <w:rPr>
          <w:rFonts w:eastAsia="Times New Roman" w:cs="Arial"/>
          <w:color w:val="000000"/>
          <w:lang w:eastAsia="en-AU"/>
        </w:rPr>
        <w:t xml:space="preserve">t </w:t>
      </w:r>
      <w:r w:rsidRPr="00F3219F">
        <w:rPr>
          <w:rFonts w:eastAsia="Times New Roman" w:cs="Arial"/>
          <w:color w:val="000000"/>
          <w:lang w:eastAsia="en-AU"/>
        </w:rPr>
        <w:t xml:space="preserve">with senior </w:t>
      </w:r>
      <w:r>
        <w:rPr>
          <w:rFonts w:eastAsia="Times New Roman" w:cs="Arial"/>
          <w:color w:val="000000"/>
          <w:lang w:eastAsia="en-AU"/>
        </w:rPr>
        <w:t xml:space="preserve">project and state government </w:t>
      </w:r>
      <w:r w:rsidRPr="00F3219F">
        <w:rPr>
          <w:rFonts w:eastAsia="Times New Roman" w:cs="Arial"/>
          <w:color w:val="000000"/>
          <w:lang w:eastAsia="en-AU"/>
        </w:rPr>
        <w:t xml:space="preserve">stakeholders </w:t>
      </w:r>
      <w:r>
        <w:rPr>
          <w:rFonts w:eastAsia="Times New Roman" w:cs="Arial"/>
          <w:color w:val="000000"/>
          <w:lang w:eastAsia="en-AU"/>
        </w:rPr>
        <w:t xml:space="preserve">on other major transmission and renewable energy infrastructure developments, including Transgrid and Marinus Link. In parallel, the Office also </w:t>
      </w:r>
      <w:r>
        <w:rPr>
          <w:rFonts w:eastAsia="Times New Roman" w:cs="Arial"/>
          <w:lang w:eastAsia="en-AU"/>
        </w:rPr>
        <w:t xml:space="preserve">maintained ongoing officer-level operational liaison on open cases and community engagement issues with proponents, and </w:t>
      </w:r>
      <w:r>
        <w:rPr>
          <w:rFonts w:eastAsia="Times New Roman" w:cs="Arial"/>
          <w:color w:val="000000"/>
          <w:lang w:eastAsia="en-AU"/>
        </w:rPr>
        <w:t xml:space="preserve">regularly attended project-level forums such as the </w:t>
      </w:r>
      <w:r w:rsidRPr="00D913C1">
        <w:rPr>
          <w:rFonts w:eastAsia="Times New Roman" w:cs="Arial"/>
          <w:color w:val="000000"/>
          <w:lang w:eastAsia="en-AU"/>
        </w:rPr>
        <w:t>VNI (West) Local Government Monthly Roundtable</w:t>
      </w:r>
      <w:r>
        <w:rPr>
          <w:rFonts w:eastAsia="Times New Roman" w:cs="Arial"/>
          <w:color w:val="000000"/>
          <w:lang w:eastAsia="en-AU"/>
        </w:rPr>
        <w:t>.</w:t>
      </w:r>
    </w:p>
    <w:p w14:paraId="2500C704" w14:textId="77777777" w:rsidR="00ED6B30" w:rsidRDefault="00ED6B30" w:rsidP="00ED6B30">
      <w:pPr>
        <w:spacing w:after="160" w:line="264" w:lineRule="auto"/>
        <w:rPr>
          <w:rFonts w:eastAsia="Times New Roman" w:cs="Arial"/>
          <w:color w:val="000000"/>
          <w:lang w:eastAsia="en-AU"/>
        </w:rPr>
      </w:pPr>
      <w:r>
        <w:rPr>
          <w:rFonts w:eastAsia="Times New Roman" w:cs="Arial"/>
          <w:color w:val="000000"/>
          <w:lang w:eastAsia="en-AU"/>
        </w:rPr>
        <w:t>More broadly, systemic insights from the Commissioner and the Office’s case-handling and ongoing stakeholder engagement also contribute to cross-sectoral transparency and best practice through the Commissioner’s ongoing participation in forums such as:</w:t>
      </w:r>
    </w:p>
    <w:p w14:paraId="29DFB767" w14:textId="77777777" w:rsidR="00ED6B30" w:rsidRDefault="00ED6B30" w:rsidP="00A4794B">
      <w:pPr>
        <w:pStyle w:val="ListParagraph"/>
        <w:numPr>
          <w:ilvl w:val="0"/>
          <w:numId w:val="9"/>
        </w:numPr>
        <w:spacing w:after="160" w:line="264" w:lineRule="auto"/>
        <w:rPr>
          <w:rFonts w:eastAsia="Times New Roman" w:cs="Arial"/>
          <w:color w:val="000000"/>
          <w:lang w:eastAsia="en-AU"/>
        </w:rPr>
      </w:pPr>
      <w:r w:rsidRPr="00B16418">
        <w:rPr>
          <w:rFonts w:eastAsia="Times New Roman" w:cs="Arial"/>
          <w:color w:val="000000"/>
          <w:lang w:eastAsia="en-AU"/>
        </w:rPr>
        <w:t>Quarterly DCCEEW Portfolio Agency Heads meeting</w:t>
      </w:r>
    </w:p>
    <w:p w14:paraId="068BA0D2" w14:textId="19396617" w:rsidR="00ED6B30" w:rsidRPr="00B16418" w:rsidRDefault="00ED6B30" w:rsidP="00A4794B">
      <w:pPr>
        <w:pStyle w:val="ListParagraph"/>
        <w:numPr>
          <w:ilvl w:val="0"/>
          <w:numId w:val="9"/>
        </w:numPr>
        <w:spacing w:after="160" w:line="264" w:lineRule="auto"/>
        <w:rPr>
          <w:rFonts w:eastAsia="Times New Roman" w:cs="Arial"/>
          <w:color w:val="000000"/>
          <w:lang w:eastAsia="en-AU"/>
        </w:rPr>
      </w:pPr>
      <w:r w:rsidRPr="00B16418">
        <w:rPr>
          <w:rFonts w:eastAsia="Times New Roman" w:cs="Arial"/>
          <w:color w:val="000000"/>
          <w:lang w:eastAsia="en-AU"/>
        </w:rPr>
        <w:t xml:space="preserve">Rewiring the Nation Advisory Committee </w:t>
      </w:r>
      <w:r w:rsidRPr="00B16418">
        <w:rPr>
          <w:rFonts w:eastAsia="Times New Roman" w:cs="Arial"/>
          <w:color w:val="000000"/>
          <w:lang w:eastAsia="en-AU"/>
        </w:rPr>
        <w:br/>
        <w:t xml:space="preserve">(alongside the Rewiring the Nation Office, </w:t>
      </w:r>
      <w:r>
        <w:rPr>
          <w:rFonts w:eastAsia="Times New Roman" w:cs="Arial"/>
          <w:color w:val="000000"/>
          <w:lang w:eastAsia="en-AU"/>
        </w:rPr>
        <w:t xml:space="preserve">the </w:t>
      </w:r>
      <w:r w:rsidRPr="00B16418">
        <w:rPr>
          <w:rFonts w:eastAsia="Times New Roman" w:cs="Arial"/>
          <w:color w:val="000000"/>
          <w:lang w:eastAsia="en-AU"/>
        </w:rPr>
        <w:t xml:space="preserve">AEMO and </w:t>
      </w:r>
      <w:r>
        <w:rPr>
          <w:rFonts w:eastAsia="Times New Roman" w:cs="Arial"/>
          <w:color w:val="000000"/>
          <w:lang w:eastAsia="en-AU"/>
        </w:rPr>
        <w:t xml:space="preserve">the </w:t>
      </w:r>
      <w:r w:rsidR="00697450">
        <w:rPr>
          <w:rFonts w:eastAsia="Times New Roman" w:cs="Arial"/>
          <w:color w:val="000000"/>
          <w:lang w:eastAsia="en-AU"/>
        </w:rPr>
        <w:t>Clean Energy Finance Corporation</w:t>
      </w:r>
      <w:r w:rsidRPr="00B16418">
        <w:rPr>
          <w:rFonts w:eastAsia="Times New Roman" w:cs="Arial"/>
          <w:color w:val="000000"/>
          <w:lang w:eastAsia="en-AU"/>
        </w:rPr>
        <w:t>)</w:t>
      </w:r>
    </w:p>
    <w:p w14:paraId="35A546D2" w14:textId="4B271C0F" w:rsidR="00ED6B30" w:rsidRDefault="00ED6B30" w:rsidP="00ED6B30">
      <w:r w:rsidRPr="00F3219F">
        <w:rPr>
          <w:rFonts w:eastAsia="Times New Roman" w:cs="Arial"/>
          <w:color w:val="000000"/>
          <w:lang w:eastAsia="en-AU"/>
        </w:rPr>
        <w:t xml:space="preserve">The Commissioner also </w:t>
      </w:r>
      <w:r>
        <w:rPr>
          <w:rFonts w:eastAsia="Times New Roman" w:cs="Arial"/>
          <w:color w:val="000000"/>
          <w:lang w:eastAsia="en-AU"/>
        </w:rPr>
        <w:t>consults directly with senior energy sector stakeholders with system-level planning and</w:t>
      </w:r>
      <w:r w:rsidR="00C572E7">
        <w:rPr>
          <w:rFonts w:eastAsia="Times New Roman" w:cs="Arial"/>
          <w:color w:val="000000"/>
          <w:lang w:eastAsia="en-AU"/>
        </w:rPr>
        <w:t xml:space="preserve"> regional</w:t>
      </w:r>
      <w:r>
        <w:rPr>
          <w:rFonts w:eastAsia="Times New Roman" w:cs="Arial"/>
          <w:color w:val="000000"/>
          <w:lang w:eastAsia="en-AU"/>
        </w:rPr>
        <w:t xml:space="preserve"> coordination functions, such as VicGrid and EnergyCo.</w:t>
      </w:r>
    </w:p>
    <w:p w14:paraId="209AB86A" w14:textId="77777777" w:rsidR="00ED6B30" w:rsidRPr="003329B0" w:rsidRDefault="00ED6B30" w:rsidP="00ED6B30">
      <w:pPr>
        <w:pStyle w:val="Heading2"/>
        <w:rPr>
          <w:i/>
          <w:iCs/>
        </w:rPr>
      </w:pPr>
      <w:bookmarkStart w:id="94" w:name="_Toc161672804"/>
      <w:bookmarkEnd w:id="87"/>
      <w:bookmarkEnd w:id="88"/>
      <w:bookmarkEnd w:id="89"/>
      <w:bookmarkEnd w:id="90"/>
      <w:bookmarkEnd w:id="91"/>
      <w:bookmarkEnd w:id="92"/>
      <w:bookmarkEnd w:id="93"/>
      <w:r>
        <w:rPr>
          <w:i/>
          <w:iCs/>
        </w:rPr>
        <w:t>Ongoing g</w:t>
      </w:r>
      <w:r w:rsidRPr="003329B0">
        <w:rPr>
          <w:i/>
          <w:iCs/>
        </w:rPr>
        <w:t>overnment</w:t>
      </w:r>
      <w:r>
        <w:rPr>
          <w:i/>
          <w:iCs/>
        </w:rPr>
        <w:t xml:space="preserve"> engagement</w:t>
      </w:r>
      <w:bookmarkEnd w:id="94"/>
    </w:p>
    <w:p w14:paraId="6AA170FA" w14:textId="77777777" w:rsidR="00ED6B30" w:rsidRDefault="00ED6B30" w:rsidP="00ED6B30">
      <w:bookmarkStart w:id="95" w:name="_Toc131424253"/>
      <w:bookmarkStart w:id="96" w:name="_Toc131424438"/>
      <w:bookmarkStart w:id="97" w:name="_Toc131424978"/>
      <w:bookmarkStart w:id="98" w:name="_Toc131502709"/>
      <w:bookmarkStart w:id="99" w:name="_Toc131505148"/>
      <w:bookmarkStart w:id="100" w:name="_Toc131505312"/>
      <w:bookmarkStart w:id="101" w:name="_Toc132641442"/>
      <w:bookmarkStart w:id="102" w:name="_Toc131179319"/>
      <w:r>
        <w:t>T</w:t>
      </w:r>
      <w:r w:rsidRPr="0063692E">
        <w:t>he Commissioner continues to engage regularly with federal, state and local governments and parliamentarians, providing briefings on topics of interest and conveying best practice reforms arising from the Commissioner’s observations and recommendations.</w:t>
      </w:r>
      <w:bookmarkEnd w:id="95"/>
      <w:bookmarkEnd w:id="96"/>
      <w:bookmarkEnd w:id="97"/>
      <w:bookmarkEnd w:id="98"/>
      <w:bookmarkEnd w:id="99"/>
      <w:bookmarkEnd w:id="100"/>
      <w:bookmarkEnd w:id="101"/>
    </w:p>
    <w:p w14:paraId="4E78290C" w14:textId="78B1F250" w:rsidR="00ED6B30" w:rsidRPr="0063692E" w:rsidRDefault="00ED6B30" w:rsidP="00ED6B30">
      <w:r>
        <w:t xml:space="preserve">In 2023, the Commissioner addressed the </w:t>
      </w:r>
      <w:r w:rsidRPr="00BD052F">
        <w:t>Energy and Climate Change Ministerial Council Meeting in Perth</w:t>
      </w:r>
      <w:r>
        <w:t xml:space="preserve"> (on 24 November</w:t>
      </w:r>
      <w:r w:rsidR="001D495B">
        <w:t xml:space="preserve"> 2023</w:t>
      </w:r>
      <w:r>
        <w:t>) and appeared before the Senate Estimates Environment and Communications Legislation Committee (on 23 May</w:t>
      </w:r>
      <w:r w:rsidR="001D495B">
        <w:t xml:space="preserve"> 2023</w:t>
      </w:r>
      <w:r>
        <w:t xml:space="preserve">). The Commissioner’s tabled Opening Statement to the </w:t>
      </w:r>
      <w:r w:rsidR="00EF1B48">
        <w:t>C</w:t>
      </w:r>
      <w:r>
        <w:t>ommittee is available on the AEIC website.</w:t>
      </w:r>
    </w:p>
    <w:p w14:paraId="72CB7F5B" w14:textId="3AE25377" w:rsidR="00ED6B30" w:rsidRPr="00501AD5" w:rsidRDefault="00AE5616" w:rsidP="00ED6B30">
      <w:bookmarkStart w:id="103" w:name="_Toc131424254"/>
      <w:bookmarkStart w:id="104" w:name="_Toc131424439"/>
      <w:bookmarkStart w:id="105" w:name="_Toc131424979"/>
      <w:bookmarkStart w:id="106" w:name="_Toc131502710"/>
      <w:bookmarkStart w:id="107" w:name="_Toc131505149"/>
      <w:bookmarkStart w:id="108" w:name="_Toc131505313"/>
      <w:bookmarkStart w:id="109" w:name="_Toc132641443"/>
      <w:r>
        <w:lastRenderedPageBreak/>
        <w:t>T</w:t>
      </w:r>
      <w:r w:rsidR="00ED6B30" w:rsidRPr="0063692E">
        <w:t xml:space="preserve">he Commissioner </w:t>
      </w:r>
      <w:r w:rsidR="00ED6B30">
        <w:t>and the Office</w:t>
      </w:r>
      <w:r>
        <w:t xml:space="preserve"> also</w:t>
      </w:r>
      <w:r w:rsidR="00ED6B30">
        <w:t xml:space="preserve"> </w:t>
      </w:r>
      <w:r w:rsidR="00ED6B30" w:rsidRPr="0063692E">
        <w:t>worked with government</w:t>
      </w:r>
      <w:r w:rsidR="004A2033">
        <w:t>s</w:t>
      </w:r>
      <w:r w:rsidR="00ED6B30" w:rsidRPr="0063692E">
        <w:t xml:space="preserve"> to assist </w:t>
      </w:r>
      <w:r w:rsidR="002A4035">
        <w:t>in applying</w:t>
      </w:r>
      <w:r w:rsidR="00ED6B30" w:rsidRPr="0063692E">
        <w:t xml:space="preserve"> lessons learned from our experience </w:t>
      </w:r>
      <w:r w:rsidR="002A4035">
        <w:t>to</w:t>
      </w:r>
      <w:r w:rsidR="00ED6B30" w:rsidRPr="0063692E">
        <w:t xml:space="preserve"> other sectors. For example, </w:t>
      </w:r>
      <w:r>
        <w:t>several</w:t>
      </w:r>
      <w:r w:rsidR="004A2033">
        <w:t xml:space="preserve"> </w:t>
      </w:r>
      <w:r w:rsidR="00ED6B30">
        <w:t xml:space="preserve">state government departments sought </w:t>
      </w:r>
      <w:r w:rsidR="00ED6B30" w:rsidRPr="0063692E">
        <w:t>the Commissioner</w:t>
      </w:r>
      <w:r w:rsidR="00ED6B30">
        <w:t xml:space="preserve">’s national perspective in updating and/or developing </w:t>
      </w:r>
      <w:bookmarkEnd w:id="103"/>
      <w:bookmarkEnd w:id="104"/>
      <w:bookmarkEnd w:id="105"/>
      <w:bookmarkEnd w:id="106"/>
      <w:bookmarkEnd w:id="107"/>
      <w:bookmarkEnd w:id="108"/>
      <w:bookmarkEnd w:id="109"/>
      <w:r w:rsidR="00ED6B30">
        <w:t xml:space="preserve">their renewable energy infrastructure policies, regulatory settings, and community engagement efforts. Specific examples of this activity are included in the following </w:t>
      </w:r>
      <w:r w:rsidR="00ED6B30">
        <w:rPr>
          <w:i/>
          <w:iCs/>
        </w:rPr>
        <w:t xml:space="preserve">Transparency and </w:t>
      </w:r>
      <w:r w:rsidR="00562ABC">
        <w:rPr>
          <w:i/>
          <w:iCs/>
        </w:rPr>
        <w:t>B</w:t>
      </w:r>
      <w:r w:rsidR="00ED6B30">
        <w:rPr>
          <w:i/>
          <w:iCs/>
        </w:rPr>
        <w:t xml:space="preserve">est </w:t>
      </w:r>
      <w:r w:rsidR="00562ABC">
        <w:rPr>
          <w:i/>
          <w:iCs/>
        </w:rPr>
        <w:t>P</w:t>
      </w:r>
      <w:r w:rsidR="00ED6B30">
        <w:rPr>
          <w:i/>
          <w:iCs/>
        </w:rPr>
        <w:t>ractice</w:t>
      </w:r>
      <w:r w:rsidR="00ED6B30">
        <w:t xml:space="preserve"> section.</w:t>
      </w:r>
    </w:p>
    <w:p w14:paraId="03E1C9A3" w14:textId="0848D28B" w:rsidR="00ED6B30" w:rsidRDefault="00ED6B30" w:rsidP="00ED6B30">
      <w:r>
        <w:t>Across 2023, t</w:t>
      </w:r>
      <w:r w:rsidRPr="0063692E">
        <w:t xml:space="preserve">he Commissioner </w:t>
      </w:r>
      <w:r>
        <w:t xml:space="preserve">and the Office continued to connect with other state-level energy bodies, such as energy safety regulators and ombudsman services, to identify and explore common emerging systemic issues (such as ensuring the accuracy and improving the quality of public information on asset-specific bushfire and farming safety concerns, and effective case-handling by proponents). </w:t>
      </w:r>
    </w:p>
    <w:p w14:paraId="08012432" w14:textId="77777777" w:rsidR="00ED6B30" w:rsidRPr="003329B0" w:rsidRDefault="00ED6B30" w:rsidP="00ED6B30">
      <w:pPr>
        <w:pStyle w:val="Heading2"/>
        <w:rPr>
          <w:i/>
          <w:iCs/>
        </w:rPr>
      </w:pPr>
      <w:bookmarkStart w:id="110" w:name="_Toc161672805"/>
      <w:bookmarkEnd w:id="102"/>
      <w:r>
        <w:rPr>
          <w:i/>
          <w:iCs/>
        </w:rPr>
        <w:t>Other community, First Nations and industry engagement</w:t>
      </w:r>
      <w:bookmarkEnd w:id="110"/>
    </w:p>
    <w:p w14:paraId="2ED64B8F" w14:textId="219BFD08" w:rsidR="00ED6B30" w:rsidRDefault="00ED6B30" w:rsidP="00ED6B30">
      <w:pPr>
        <w:spacing w:after="120"/>
        <w:rPr>
          <w:rFonts w:eastAsia="Times New Roman" w:cs="Arial"/>
          <w:lang w:eastAsia="en-AU"/>
        </w:rPr>
      </w:pPr>
      <w:r>
        <w:rPr>
          <w:rFonts w:eastAsia="Times New Roman" w:cs="Arial"/>
          <w:lang w:eastAsia="en-AU"/>
        </w:rPr>
        <w:t>The</w:t>
      </w:r>
      <w:r w:rsidRPr="003365AB">
        <w:rPr>
          <w:rFonts w:eastAsia="Times New Roman" w:cs="Arial"/>
          <w:lang w:eastAsia="en-AU"/>
        </w:rPr>
        <w:t xml:space="preserve"> Commissioner</w:t>
      </w:r>
      <w:r>
        <w:rPr>
          <w:rFonts w:eastAsia="Times New Roman" w:cs="Arial"/>
          <w:lang w:eastAsia="en-AU"/>
        </w:rPr>
        <w:t xml:space="preserve"> and the Office also welcome</w:t>
      </w:r>
      <w:r w:rsidR="003D1529">
        <w:rPr>
          <w:rFonts w:eastAsia="Times New Roman" w:cs="Arial"/>
          <w:lang w:eastAsia="en-AU"/>
        </w:rPr>
        <w:t>d</w:t>
      </w:r>
      <w:r>
        <w:rPr>
          <w:rFonts w:eastAsia="Times New Roman" w:cs="Arial"/>
          <w:lang w:eastAsia="en-AU"/>
        </w:rPr>
        <w:t xml:space="preserve"> opportunities to meet with and learn from a diverse range of interested community representative organisations and forums, such as farming bodies and regional renewable energy advocates and forums, </w:t>
      </w:r>
      <w:r w:rsidR="003D1529">
        <w:rPr>
          <w:rFonts w:eastAsia="Times New Roman" w:cs="Arial"/>
          <w:lang w:eastAsia="en-AU"/>
        </w:rPr>
        <w:t>including</w:t>
      </w:r>
      <w:r>
        <w:rPr>
          <w:rFonts w:eastAsia="Times New Roman" w:cs="Arial"/>
          <w:lang w:eastAsia="en-AU"/>
        </w:rPr>
        <w:t xml:space="preserve"> R</w:t>
      </w:r>
      <w:r w:rsidR="003D1529">
        <w:rPr>
          <w:rFonts w:eastAsia="Times New Roman" w:cs="Arial"/>
          <w:lang w:eastAsia="en-AU"/>
        </w:rPr>
        <w:t>E</w:t>
      </w:r>
      <w:r>
        <w:rPr>
          <w:rFonts w:eastAsia="Times New Roman" w:cs="Arial"/>
          <w:lang w:eastAsia="en-AU"/>
        </w:rPr>
        <w:t xml:space="preserve">-Alliance and the </w:t>
      </w:r>
      <w:r w:rsidRPr="006127F1">
        <w:rPr>
          <w:rFonts w:eastAsia="Times New Roman" w:cs="Arial"/>
          <w:lang w:eastAsia="en-AU"/>
        </w:rPr>
        <w:t>Western Victoria Councils Renewable Energy Forum</w:t>
      </w:r>
      <w:r>
        <w:rPr>
          <w:rFonts w:eastAsia="Times New Roman" w:cs="Arial"/>
          <w:lang w:eastAsia="en-AU"/>
        </w:rPr>
        <w:t>.</w:t>
      </w:r>
    </w:p>
    <w:p w14:paraId="6E1D8C08" w14:textId="0739D046" w:rsidR="00ED6B30" w:rsidRPr="001D5A88" w:rsidRDefault="003706CB" w:rsidP="00ED6B30">
      <w:pPr>
        <w:spacing w:after="120"/>
        <w:rPr>
          <w:rFonts w:eastAsia="Times New Roman" w:cs="Arial"/>
          <w:lang w:eastAsia="en-AU"/>
        </w:rPr>
      </w:pPr>
      <w:r>
        <w:rPr>
          <w:rFonts w:eastAsia="Times New Roman" w:cs="Arial"/>
          <w:lang w:eastAsia="en-AU"/>
        </w:rPr>
        <w:t>During</w:t>
      </w:r>
      <w:r w:rsidR="00ED6B30">
        <w:rPr>
          <w:rFonts w:eastAsia="Times New Roman" w:cs="Arial"/>
          <w:lang w:eastAsia="en-AU"/>
        </w:rPr>
        <w:t xml:space="preserve"> 2023</w:t>
      </w:r>
      <w:r w:rsidR="00AE5616">
        <w:rPr>
          <w:rFonts w:eastAsia="Times New Roman" w:cs="Arial"/>
          <w:lang w:eastAsia="en-AU"/>
        </w:rPr>
        <w:t>,</w:t>
      </w:r>
      <w:r w:rsidR="00ED6B30">
        <w:rPr>
          <w:rFonts w:eastAsia="Times New Roman" w:cs="Arial"/>
          <w:lang w:eastAsia="en-AU"/>
        </w:rPr>
        <w:t xml:space="preserve"> </w:t>
      </w:r>
      <w:r w:rsidR="00ED6B30" w:rsidRPr="001D5A88">
        <w:rPr>
          <w:rFonts w:eastAsia="Times New Roman" w:cs="Arial"/>
          <w:lang w:eastAsia="en-AU"/>
        </w:rPr>
        <w:t xml:space="preserve">the Commissioner </w:t>
      </w:r>
      <w:r w:rsidR="00ED6B30">
        <w:rPr>
          <w:rFonts w:eastAsia="Times New Roman" w:cs="Arial"/>
          <w:lang w:eastAsia="en-AU"/>
        </w:rPr>
        <w:t xml:space="preserve">and the Office continued to explore meaningful situation-specific engagement with First Nations </w:t>
      </w:r>
      <w:r>
        <w:rPr>
          <w:rFonts w:eastAsia="Times New Roman" w:cs="Arial"/>
          <w:lang w:eastAsia="en-AU"/>
        </w:rPr>
        <w:t>representative</w:t>
      </w:r>
      <w:r w:rsidR="00ED6B30">
        <w:rPr>
          <w:rFonts w:eastAsia="Times New Roman" w:cs="Arial"/>
          <w:lang w:eastAsia="en-AU"/>
        </w:rPr>
        <w:t xml:space="preserve"> organisations, with a view to supporting the development of </w:t>
      </w:r>
      <w:r w:rsidR="00ED6B30" w:rsidRPr="001D5A88">
        <w:rPr>
          <w:rFonts w:eastAsia="Times New Roman" w:cs="Arial"/>
          <w:lang w:eastAsia="en-AU"/>
        </w:rPr>
        <w:t>effective stakeholder relationship</w:t>
      </w:r>
      <w:r w:rsidR="00ED6B30">
        <w:rPr>
          <w:rFonts w:eastAsia="Times New Roman" w:cs="Arial"/>
          <w:lang w:eastAsia="en-AU"/>
        </w:rPr>
        <w:t xml:space="preserve">s </w:t>
      </w:r>
      <w:r w:rsidR="00ED6B30" w:rsidRPr="001D5A88">
        <w:rPr>
          <w:rFonts w:eastAsia="Times New Roman" w:cs="Arial"/>
          <w:lang w:eastAsia="en-AU"/>
        </w:rPr>
        <w:t xml:space="preserve">in regard to the roll-out of large-scale transmission projects as well as offshore wind. </w:t>
      </w:r>
      <w:r w:rsidR="00ED6B30">
        <w:rPr>
          <w:rFonts w:eastAsia="Times New Roman" w:cs="Arial"/>
          <w:lang w:eastAsia="en-AU"/>
        </w:rPr>
        <w:t>These e</w:t>
      </w:r>
      <w:r w:rsidR="00ED6B30" w:rsidRPr="001D5A88">
        <w:rPr>
          <w:rFonts w:eastAsia="Times New Roman" w:cs="Arial"/>
          <w:lang w:eastAsia="en-AU"/>
        </w:rPr>
        <w:t xml:space="preserve">arly discussions </w:t>
      </w:r>
      <w:r w:rsidR="00ED6B30">
        <w:rPr>
          <w:rFonts w:eastAsia="Times New Roman" w:cs="Arial"/>
          <w:lang w:eastAsia="en-AU"/>
        </w:rPr>
        <w:t xml:space="preserve">continue to suggest </w:t>
      </w:r>
      <w:r w:rsidR="00ED6B30" w:rsidRPr="001D5A88">
        <w:rPr>
          <w:rFonts w:eastAsia="Times New Roman" w:cs="Arial"/>
          <w:lang w:eastAsia="en-AU"/>
        </w:rPr>
        <w:t xml:space="preserve">close alignment in the respective objectives of stakeholders. </w:t>
      </w:r>
      <w:r w:rsidR="0083206B">
        <w:rPr>
          <w:rFonts w:eastAsia="Times New Roman" w:cs="Arial"/>
          <w:lang w:eastAsia="en-AU"/>
        </w:rPr>
        <w:t>First Nations</w:t>
      </w:r>
      <w:r w:rsidR="00ED6B30" w:rsidRPr="001D5A88">
        <w:rPr>
          <w:rFonts w:eastAsia="Times New Roman" w:cs="Arial"/>
          <w:lang w:eastAsia="en-AU"/>
        </w:rPr>
        <w:t xml:space="preserve"> </w:t>
      </w:r>
      <w:r w:rsidR="008221FD">
        <w:rPr>
          <w:rFonts w:eastAsia="Times New Roman" w:cs="Arial"/>
          <w:lang w:eastAsia="en-AU"/>
        </w:rPr>
        <w:t>groups</w:t>
      </w:r>
      <w:r w:rsidR="00ED6B30" w:rsidRPr="001D5A88">
        <w:rPr>
          <w:rFonts w:eastAsia="Times New Roman" w:cs="Arial"/>
          <w:lang w:eastAsia="en-AU"/>
        </w:rPr>
        <w:t xml:space="preserve"> bring to the table an array of skills and capabilities that are materially beneficial to development, construction and operation of new energy infrastructure.</w:t>
      </w:r>
    </w:p>
    <w:p w14:paraId="7E91FC00" w14:textId="3387807E" w:rsidR="00ED6B30" w:rsidRDefault="00ED6B30" w:rsidP="00ED6B30">
      <w:pPr>
        <w:spacing w:after="120"/>
        <w:rPr>
          <w:rFonts w:eastAsia="Times New Roman" w:cs="Arial"/>
          <w:lang w:eastAsia="en-AU"/>
        </w:rPr>
      </w:pPr>
      <w:bookmarkStart w:id="111" w:name="_Hlk160104302"/>
      <w:r>
        <w:rPr>
          <w:rFonts w:eastAsia="Times New Roman" w:cs="Arial"/>
          <w:lang w:eastAsia="en-AU"/>
        </w:rPr>
        <w:t xml:space="preserve">At a sectoral level, in </w:t>
      </w:r>
      <w:r w:rsidRPr="003365AB">
        <w:rPr>
          <w:rFonts w:eastAsia="Times New Roman" w:cs="Arial"/>
          <w:lang w:eastAsia="en-AU"/>
        </w:rPr>
        <w:t>202</w:t>
      </w:r>
      <w:r>
        <w:rPr>
          <w:rFonts w:eastAsia="Times New Roman" w:cs="Arial"/>
          <w:lang w:eastAsia="en-AU"/>
        </w:rPr>
        <w:t xml:space="preserve">3 </w:t>
      </w:r>
      <w:r w:rsidRPr="003365AB">
        <w:rPr>
          <w:rFonts w:eastAsia="Times New Roman" w:cs="Arial"/>
          <w:lang w:eastAsia="en-AU"/>
        </w:rPr>
        <w:t xml:space="preserve">the Commissioner </w:t>
      </w:r>
      <w:r>
        <w:rPr>
          <w:rFonts w:eastAsia="Times New Roman" w:cs="Arial"/>
          <w:lang w:eastAsia="en-AU"/>
        </w:rPr>
        <w:t xml:space="preserve">and the Office </w:t>
      </w:r>
      <w:r w:rsidRPr="003365AB">
        <w:rPr>
          <w:rFonts w:eastAsia="Times New Roman" w:cs="Arial"/>
          <w:lang w:eastAsia="en-AU"/>
        </w:rPr>
        <w:t>continued</w:t>
      </w:r>
      <w:r>
        <w:rPr>
          <w:rFonts w:eastAsia="Times New Roman" w:cs="Arial"/>
          <w:lang w:eastAsia="en-AU"/>
        </w:rPr>
        <w:t xml:space="preserve"> to engage productively</w:t>
      </w:r>
      <w:r w:rsidRPr="003365AB">
        <w:rPr>
          <w:rFonts w:eastAsia="Times New Roman" w:cs="Arial"/>
          <w:lang w:eastAsia="en-AU"/>
        </w:rPr>
        <w:t xml:space="preserve"> with </w:t>
      </w:r>
      <w:r>
        <w:rPr>
          <w:rFonts w:eastAsia="Times New Roman" w:cs="Arial"/>
          <w:lang w:eastAsia="en-AU"/>
        </w:rPr>
        <w:t xml:space="preserve">various renewable </w:t>
      </w:r>
      <w:r w:rsidRPr="003365AB">
        <w:rPr>
          <w:rFonts w:eastAsia="Times New Roman" w:cs="Arial"/>
          <w:lang w:eastAsia="en-AU"/>
        </w:rPr>
        <w:t xml:space="preserve">energy </w:t>
      </w:r>
      <w:r>
        <w:rPr>
          <w:rFonts w:eastAsia="Times New Roman" w:cs="Arial"/>
          <w:lang w:eastAsia="en-AU"/>
        </w:rPr>
        <w:t xml:space="preserve">and industry peak bodies, including better practice initiatives </w:t>
      </w:r>
      <w:bookmarkEnd w:id="111"/>
      <w:r>
        <w:rPr>
          <w:rFonts w:eastAsia="Times New Roman" w:cs="Arial"/>
          <w:lang w:eastAsia="en-AU"/>
        </w:rPr>
        <w:t>(such as the Energy Charter). The</w:t>
      </w:r>
      <w:r w:rsidRPr="003365AB">
        <w:rPr>
          <w:rFonts w:eastAsia="Times New Roman" w:cs="Arial"/>
          <w:lang w:eastAsia="en-AU"/>
        </w:rPr>
        <w:t xml:space="preserve"> Commissioner</w:t>
      </w:r>
      <w:r>
        <w:rPr>
          <w:rFonts w:eastAsia="Times New Roman" w:cs="Arial"/>
          <w:lang w:eastAsia="en-AU"/>
        </w:rPr>
        <w:t xml:space="preserve"> also participated in relevant industry conferences as either a session chair, presenter or panel member and deliver</w:t>
      </w:r>
      <w:r w:rsidR="00717FED">
        <w:rPr>
          <w:rFonts w:eastAsia="Times New Roman" w:cs="Arial"/>
          <w:lang w:eastAsia="en-AU"/>
        </w:rPr>
        <w:t>ed</w:t>
      </w:r>
      <w:r>
        <w:rPr>
          <w:rFonts w:eastAsia="Times New Roman" w:cs="Arial"/>
          <w:lang w:eastAsia="en-AU"/>
        </w:rPr>
        <w:t xml:space="preserve"> webinars and presentations via video conference to specific audiences on a variety of topics which invariably involve</w:t>
      </w:r>
      <w:r w:rsidR="00717FED">
        <w:rPr>
          <w:rFonts w:eastAsia="Times New Roman" w:cs="Arial"/>
          <w:lang w:eastAsia="en-AU"/>
        </w:rPr>
        <w:t>d</w:t>
      </w:r>
      <w:r>
        <w:rPr>
          <w:rFonts w:eastAsia="Times New Roman" w:cs="Arial"/>
          <w:lang w:eastAsia="en-AU"/>
        </w:rPr>
        <w:t xml:space="preserve"> a discussion on best practice engagement. </w:t>
      </w:r>
    </w:p>
    <w:p w14:paraId="417D77D2" w14:textId="3CBB18BA" w:rsidR="00ED6B30" w:rsidRPr="005B575A" w:rsidRDefault="00ED6B30" w:rsidP="00ED6B30">
      <w:pPr>
        <w:spacing w:after="120"/>
        <w:rPr>
          <w:rFonts w:eastAsia="Times New Roman" w:cs="Arial"/>
          <w:lang w:eastAsia="en-AU"/>
        </w:rPr>
      </w:pPr>
      <w:r>
        <w:rPr>
          <w:rFonts w:eastAsia="Times New Roman" w:cs="Arial"/>
          <w:lang w:eastAsia="en-AU"/>
        </w:rPr>
        <w:t xml:space="preserve">For example, at the Clean Energy Council’s 18-19 July 2023 </w:t>
      </w:r>
      <w:r>
        <w:rPr>
          <w:rFonts w:eastAsia="Times New Roman" w:cs="Arial"/>
          <w:i/>
          <w:iCs/>
          <w:lang w:eastAsia="en-AU"/>
        </w:rPr>
        <w:t xml:space="preserve">Australian Clean Energy </w:t>
      </w:r>
      <w:r w:rsidRPr="004F23E7">
        <w:rPr>
          <w:rFonts w:eastAsia="Times New Roman" w:cs="Arial"/>
          <w:i/>
          <w:iCs/>
          <w:lang w:eastAsia="en-AU"/>
        </w:rPr>
        <w:t>Summit</w:t>
      </w:r>
      <w:r>
        <w:rPr>
          <w:rFonts w:eastAsia="Times New Roman" w:cs="Arial"/>
          <w:lang w:eastAsia="en-AU"/>
        </w:rPr>
        <w:t xml:space="preserve"> in Sydney, the Commissioner provid</w:t>
      </w:r>
      <w:r w:rsidR="00E15E2D">
        <w:rPr>
          <w:rFonts w:eastAsia="Times New Roman" w:cs="Arial"/>
          <w:lang w:eastAsia="en-AU"/>
        </w:rPr>
        <w:t>ed</w:t>
      </w:r>
      <w:r>
        <w:rPr>
          <w:rFonts w:eastAsia="Times New Roman" w:cs="Arial"/>
          <w:lang w:eastAsia="en-AU"/>
        </w:rPr>
        <w:t xml:space="preserve"> closing reflections as part of a diverse panel session titled “</w:t>
      </w:r>
      <w:r w:rsidRPr="005B575A">
        <w:rPr>
          <w:rFonts w:eastAsia="Times New Roman" w:cs="Arial"/>
          <w:lang w:eastAsia="en-AU"/>
        </w:rPr>
        <w:t xml:space="preserve">Authentic community voices: </w:t>
      </w:r>
      <w:r>
        <w:rPr>
          <w:rFonts w:eastAsia="Times New Roman" w:cs="Arial"/>
          <w:lang w:eastAsia="en-AU"/>
        </w:rPr>
        <w:t>t</w:t>
      </w:r>
      <w:r w:rsidRPr="005B575A">
        <w:rPr>
          <w:rFonts w:eastAsia="Times New Roman" w:cs="Arial"/>
          <w:lang w:eastAsia="en-AU"/>
        </w:rPr>
        <w:t>he on-ground experience of the energy transition</w:t>
      </w:r>
      <w:r>
        <w:rPr>
          <w:rFonts w:eastAsia="Times New Roman" w:cs="Arial"/>
          <w:lang w:eastAsia="en-AU"/>
        </w:rPr>
        <w:t>”.</w:t>
      </w:r>
    </w:p>
    <w:p w14:paraId="056A9BD1" w14:textId="77777777" w:rsidR="00ED6B30" w:rsidRPr="003329B0" w:rsidRDefault="00ED6B30" w:rsidP="00ED6B30">
      <w:pPr>
        <w:pStyle w:val="Heading2"/>
        <w:rPr>
          <w:i/>
          <w:iCs/>
        </w:rPr>
      </w:pPr>
      <w:bookmarkStart w:id="112" w:name="_Toc161672806"/>
      <w:r>
        <w:rPr>
          <w:i/>
          <w:iCs/>
        </w:rPr>
        <w:t>Cross-sector specialist technical engagement</w:t>
      </w:r>
      <w:bookmarkEnd w:id="112"/>
    </w:p>
    <w:p w14:paraId="65E8634F" w14:textId="19C7BAC2" w:rsidR="00ED6B30" w:rsidRDefault="00ED6B30" w:rsidP="00ED6B30">
      <w:bookmarkStart w:id="113" w:name="_Toc131179326"/>
      <w:bookmarkStart w:id="114" w:name="_Toc131424262"/>
      <w:bookmarkStart w:id="115" w:name="_Toc131424447"/>
      <w:bookmarkStart w:id="116" w:name="_Toc131424987"/>
      <w:bookmarkStart w:id="117" w:name="_Toc131502718"/>
      <w:bookmarkStart w:id="118" w:name="_Toc131505157"/>
      <w:bookmarkStart w:id="119" w:name="_Toc131505321"/>
      <w:bookmarkStart w:id="120" w:name="_Toc132641451"/>
      <w:r w:rsidRPr="00FF33A7">
        <w:t xml:space="preserve">The Commissioner </w:t>
      </w:r>
      <w:r>
        <w:t xml:space="preserve">and the Office have </w:t>
      </w:r>
      <w:r w:rsidRPr="00FF33A7">
        <w:t>continued to liaise with subject matter experts and university researchers to keep abreast of new approaches and findings. In 202</w:t>
      </w:r>
      <w:r>
        <w:t>3</w:t>
      </w:r>
      <w:r w:rsidRPr="00FF33A7">
        <w:t>, the Commissioner held meetings with expert consultants in relation to a range of relevant disciplines required for the design, development, construction, operation and maintenance of projects</w:t>
      </w:r>
      <w:bookmarkEnd w:id="113"/>
      <w:bookmarkEnd w:id="114"/>
      <w:bookmarkEnd w:id="115"/>
      <w:bookmarkEnd w:id="116"/>
      <w:bookmarkEnd w:id="117"/>
      <w:bookmarkEnd w:id="118"/>
      <w:bookmarkEnd w:id="119"/>
      <w:bookmarkEnd w:id="120"/>
      <w:r>
        <w:t>, with a particular exploratory focus on the key role of the legal profession in providing informed and practical assistance to potential landholders and neighbours of proposed projects.</w:t>
      </w:r>
    </w:p>
    <w:p w14:paraId="14242CFD" w14:textId="1243DEE8" w:rsidR="00ED6B30" w:rsidRPr="003329B0" w:rsidRDefault="000B00DC" w:rsidP="00ED6B30">
      <w:pPr>
        <w:pStyle w:val="Heading2"/>
        <w:rPr>
          <w:i/>
          <w:iCs/>
        </w:rPr>
      </w:pPr>
      <w:bookmarkStart w:id="121" w:name="_Toc161672807"/>
      <w:r>
        <w:rPr>
          <w:i/>
          <w:iCs/>
        </w:rPr>
        <w:t>C</w:t>
      </w:r>
      <w:r w:rsidR="00ED6B30" w:rsidRPr="003329B0">
        <w:rPr>
          <w:i/>
          <w:iCs/>
        </w:rPr>
        <w:t xml:space="preserve">ommissioner’s </w:t>
      </w:r>
      <w:r w:rsidR="00ED6B30">
        <w:rPr>
          <w:i/>
          <w:iCs/>
        </w:rPr>
        <w:t>w</w:t>
      </w:r>
      <w:r w:rsidR="00ED6B30" w:rsidRPr="003329B0">
        <w:rPr>
          <w:i/>
          <w:iCs/>
        </w:rPr>
        <w:t>ebsit</w:t>
      </w:r>
      <w:r w:rsidR="00C92655">
        <w:rPr>
          <w:i/>
          <w:iCs/>
        </w:rPr>
        <w:t>e</w:t>
      </w:r>
      <w:bookmarkEnd w:id="121"/>
    </w:p>
    <w:p w14:paraId="4ADEB1F6" w14:textId="31287365" w:rsidR="00ED6B30" w:rsidRDefault="00ED6B30" w:rsidP="00ED6B30">
      <w:r>
        <w:t xml:space="preserve">The Commissioner’s website is a key stakeholder engagement </w:t>
      </w:r>
      <w:r w:rsidR="00330D3F">
        <w:t>resource</w:t>
      </w:r>
      <w:r>
        <w:t xml:space="preserve"> </w:t>
      </w:r>
      <w:r w:rsidR="00056D77">
        <w:t xml:space="preserve">providing information </w:t>
      </w:r>
      <w:r>
        <w:t>a</w:t>
      </w:r>
      <w:r w:rsidR="00056D77">
        <w:t>bout</w:t>
      </w:r>
      <w:r>
        <w:t xml:space="preserve"> all of the Commissioner’s function</w:t>
      </w:r>
      <w:r w:rsidR="002D7F56">
        <w:t>s and areas of engagement</w:t>
      </w:r>
      <w:r>
        <w:t xml:space="preserve">. The </w:t>
      </w:r>
      <w:r w:rsidRPr="008530B9">
        <w:t>website</w:t>
      </w:r>
      <w:r w:rsidRPr="00AE0F0A">
        <w:t xml:space="preserve"> </w:t>
      </w:r>
      <w:r w:rsidRPr="008530B9">
        <w:t xml:space="preserve">provides </w:t>
      </w:r>
      <w:r>
        <w:t xml:space="preserve">both contact and contextual </w:t>
      </w:r>
      <w:r w:rsidRPr="008530B9">
        <w:t>information about the Office</w:t>
      </w:r>
      <w:r>
        <w:t>, including our policies, how to make a complaint, and our key publications.</w:t>
      </w:r>
    </w:p>
    <w:p w14:paraId="5C5E1237" w14:textId="0DAD0690" w:rsidR="00ED6B30" w:rsidRPr="00E41412" w:rsidRDefault="00ED6B30" w:rsidP="00ED6B30">
      <w:r w:rsidRPr="00E41412">
        <w:t xml:space="preserve">The website provides </w:t>
      </w:r>
      <w:r>
        <w:t>information a</w:t>
      </w:r>
      <w:r w:rsidRPr="00E41412">
        <w:t xml:space="preserve">bout </w:t>
      </w:r>
      <w:r>
        <w:t>large-scale renewable energy and</w:t>
      </w:r>
      <w:r w:rsidRPr="00E41412">
        <w:t xml:space="preserve"> </w:t>
      </w:r>
      <w:r>
        <w:t>transmission infrastructure</w:t>
      </w:r>
      <w:r w:rsidRPr="00E41412">
        <w:t xml:space="preserve"> projects. This includes links to resources about these </w:t>
      </w:r>
      <w:r>
        <w:t xml:space="preserve">types of projects </w:t>
      </w:r>
      <w:r w:rsidRPr="00E41412">
        <w:t>as well as information on energy generation, health studies, emergency management, planning authorities and guidelines, compliance authority contact details and commu</w:t>
      </w:r>
      <w:r>
        <w:t>nity engagement best practices.</w:t>
      </w:r>
    </w:p>
    <w:p w14:paraId="4D4DE9D7" w14:textId="2906973F" w:rsidR="00B14CA8" w:rsidRDefault="00ED6B30" w:rsidP="00B14CA8">
      <w:pPr>
        <w:rPr>
          <w:rFonts w:cs="Arial"/>
          <w:lang w:eastAsia="en-AU"/>
        </w:rPr>
      </w:pPr>
      <w:r w:rsidRPr="008530B9">
        <w:rPr>
          <w:rFonts w:cs="Arial"/>
        </w:rPr>
        <w:t xml:space="preserve">The </w:t>
      </w:r>
      <w:r>
        <w:rPr>
          <w:rFonts w:cs="Arial"/>
        </w:rPr>
        <w:t xml:space="preserve">Commissioner’s </w:t>
      </w:r>
      <w:r w:rsidRPr="008530B9">
        <w:rPr>
          <w:rFonts w:cs="Arial"/>
        </w:rPr>
        <w:t xml:space="preserve">website </w:t>
      </w:r>
      <w:r>
        <w:rPr>
          <w:rFonts w:cs="Arial"/>
        </w:rPr>
        <w:t xml:space="preserve">is available </w:t>
      </w:r>
      <w:r w:rsidRPr="008530B9">
        <w:rPr>
          <w:rFonts w:cs="Arial"/>
        </w:rPr>
        <w:t xml:space="preserve">at </w:t>
      </w:r>
      <w:hyperlink r:id="rId73" w:history="1">
        <w:r w:rsidRPr="00F81DDF">
          <w:rPr>
            <w:rStyle w:val="Hyperlink"/>
            <w:rFonts w:cs="Arial"/>
          </w:rPr>
          <w:t>www.aeic.gov.au</w:t>
        </w:r>
      </w:hyperlink>
    </w:p>
    <w:p w14:paraId="0F10E743" w14:textId="77777777" w:rsidR="00B14CA8" w:rsidRDefault="00B14CA8" w:rsidP="00B14CA8">
      <w:pPr>
        <w:rPr>
          <w:rFonts w:cs="Arial"/>
          <w:lang w:eastAsia="en-AU"/>
        </w:rPr>
        <w:sectPr w:rsidR="00B14CA8" w:rsidSect="00D801AB">
          <w:headerReference w:type="even" r:id="rId74"/>
          <w:headerReference w:type="default" r:id="rId75"/>
          <w:footerReference w:type="default" r:id="rId76"/>
          <w:headerReference w:type="first" r:id="rId77"/>
          <w:footerReference w:type="first" r:id="rId78"/>
          <w:pgSz w:w="11906" w:h="16838" w:code="9"/>
          <w:pgMar w:top="720" w:right="720" w:bottom="720" w:left="720" w:header="425" w:footer="425" w:gutter="0"/>
          <w:cols w:space="708"/>
          <w:docGrid w:linePitch="360"/>
        </w:sectPr>
      </w:pPr>
    </w:p>
    <w:p w14:paraId="71BE76C6" w14:textId="77777777" w:rsidR="00ED6B30" w:rsidRDefault="00ED6B30" w:rsidP="00ED6B30">
      <w:pPr>
        <w:pStyle w:val="Heading1"/>
      </w:pPr>
      <w:bookmarkStart w:id="122" w:name="_Toc161672808"/>
      <w:r>
        <w:lastRenderedPageBreak/>
        <w:t>TRANSPARENCY AND BEST PRACTICE</w:t>
      </w:r>
      <w:bookmarkEnd w:id="122"/>
    </w:p>
    <w:p w14:paraId="32DF73E1" w14:textId="52851D72" w:rsidR="00ED6B30" w:rsidRDefault="00ED6B30" w:rsidP="00ED6B30">
      <w:r w:rsidRPr="004D3557">
        <w:t xml:space="preserve">This section of the </w:t>
      </w:r>
      <w:r w:rsidR="00087B09">
        <w:t>report</w:t>
      </w:r>
      <w:r w:rsidRPr="004D3557">
        <w:t xml:space="preserve"> </w:t>
      </w:r>
      <w:r>
        <w:t xml:space="preserve">provides a structured overview of the Commissioner’s key activities, targeted initiatives, and other collaborative efforts to work with stakeholders </w:t>
      </w:r>
      <w:r w:rsidR="00777100">
        <w:t xml:space="preserve">in 2023 </w:t>
      </w:r>
      <w:r>
        <w:t xml:space="preserve">to improve transparency and promote best practices in the governance, development and management of </w:t>
      </w:r>
      <w:r w:rsidR="00087B09">
        <w:t xml:space="preserve">large-scale </w:t>
      </w:r>
      <w:r>
        <w:t xml:space="preserve">wind farms, solar farms, transmission lines and energy storage facilities. </w:t>
      </w:r>
    </w:p>
    <w:p w14:paraId="1AF2A090" w14:textId="2707AB31" w:rsidR="00777100" w:rsidRDefault="00777100" w:rsidP="00ED6B30">
      <w:r>
        <w:t xml:space="preserve">Previous Annual Reports have also included a separate Appendix comprised of the Commissioner’s observations and recommendations for the large-scale renewable energy industry. The 2022 update of that reference material is available online at: </w:t>
      </w:r>
      <w:hyperlink r:id="rId79" w:history="1">
        <w:r w:rsidRPr="00A920C0">
          <w:rPr>
            <w:rStyle w:val="Hyperlink"/>
          </w:rPr>
          <w:t>https://www.aeic.gov.au/observations-and-recommendations</w:t>
        </w:r>
      </w:hyperlink>
      <w:r>
        <w:t xml:space="preserve"> </w:t>
      </w:r>
    </w:p>
    <w:p w14:paraId="416D5295" w14:textId="3D449D5B" w:rsidR="00ED6B30" w:rsidRDefault="00ED6B30" w:rsidP="00ED6B30">
      <w:pPr>
        <w:pStyle w:val="Heading2"/>
        <w:rPr>
          <w:i/>
          <w:iCs/>
        </w:rPr>
      </w:pPr>
      <w:bookmarkStart w:id="123" w:name="_Toc161672809"/>
      <w:r>
        <w:rPr>
          <w:i/>
          <w:iCs/>
        </w:rPr>
        <w:t>2023 Community Engagement</w:t>
      </w:r>
      <w:r w:rsidR="005B2749">
        <w:rPr>
          <w:i/>
          <w:iCs/>
        </w:rPr>
        <w:t xml:space="preserve"> Review</w:t>
      </w:r>
      <w:bookmarkEnd w:id="123"/>
    </w:p>
    <w:p w14:paraId="1A0601C9" w14:textId="07D65D90" w:rsidR="00ED6B30" w:rsidRPr="005162BC" w:rsidRDefault="00ED6B30" w:rsidP="00ED6B30">
      <w:r w:rsidRPr="005162BC">
        <w:t xml:space="preserve">On 4 July 2023, the Minister for Climate Change and Energy announced a review </w:t>
      </w:r>
      <w:r w:rsidR="005B2749">
        <w:t>into</w:t>
      </w:r>
      <w:r w:rsidRPr="005162BC">
        <w:t xml:space="preserve"> community engagement as it relates to the energy transition and asked the Commissioner to lead that</w:t>
      </w:r>
      <w:r>
        <w:t xml:space="preserve"> work.</w:t>
      </w:r>
    </w:p>
    <w:p w14:paraId="737F45D2" w14:textId="7B40D1E5" w:rsidR="00ED6B30" w:rsidRPr="005162BC" w:rsidRDefault="00ED6B30" w:rsidP="00ED6B30">
      <w:r w:rsidRPr="005162BC">
        <w:t xml:space="preserve">The Review considered community attitudes towards the development of renewable energy infrastructure (including new major transmission infrastructure) through </w:t>
      </w:r>
      <w:r>
        <w:t xml:space="preserve">wide-ranging </w:t>
      </w:r>
      <w:r w:rsidRPr="005162BC">
        <w:t xml:space="preserve">consultation </w:t>
      </w:r>
      <w:r>
        <w:t xml:space="preserve">that </w:t>
      </w:r>
      <w:r w:rsidRPr="005162BC">
        <w:t>includ</w:t>
      </w:r>
      <w:r w:rsidR="00087B09">
        <w:t>ed</w:t>
      </w:r>
      <w:r w:rsidRPr="005162BC">
        <w:t>:</w:t>
      </w:r>
    </w:p>
    <w:p w14:paraId="74A68644" w14:textId="438BBFAD" w:rsidR="00ED6B30" w:rsidRPr="00D364DD" w:rsidRDefault="00AE5616" w:rsidP="00A4794B">
      <w:pPr>
        <w:pStyle w:val="ListParagraph"/>
        <w:numPr>
          <w:ilvl w:val="0"/>
          <w:numId w:val="14"/>
        </w:numPr>
        <w:spacing w:after="0" w:line="336" w:lineRule="auto"/>
        <w:contextualSpacing/>
        <w:rPr>
          <w:rFonts w:cs="Arial"/>
        </w:rPr>
      </w:pPr>
      <w:r w:rsidRPr="00D364DD">
        <w:rPr>
          <w:rFonts w:cs="Arial"/>
        </w:rPr>
        <w:t>O</w:t>
      </w:r>
      <w:r w:rsidR="00ED6B30" w:rsidRPr="00D364DD">
        <w:rPr>
          <w:rFonts w:cs="Arial"/>
        </w:rPr>
        <w:t>ver 75 meetings with more than 700 participants</w:t>
      </w:r>
      <w:r>
        <w:rPr>
          <w:rFonts w:cs="Arial"/>
        </w:rPr>
        <w:t>,</w:t>
      </w:r>
      <w:r w:rsidR="00ED6B30" w:rsidRPr="00D364DD">
        <w:rPr>
          <w:rFonts w:cs="Arial"/>
        </w:rPr>
        <w:t xml:space="preserve"> </w:t>
      </w:r>
    </w:p>
    <w:p w14:paraId="3379DE02" w14:textId="77777777" w:rsidR="00ED6B30" w:rsidRDefault="00ED6B30" w:rsidP="00A4794B">
      <w:pPr>
        <w:pStyle w:val="ListParagraph"/>
        <w:numPr>
          <w:ilvl w:val="0"/>
          <w:numId w:val="14"/>
        </w:numPr>
        <w:spacing w:after="0" w:line="336" w:lineRule="auto"/>
        <w:contextualSpacing/>
        <w:rPr>
          <w:rFonts w:cs="Arial"/>
        </w:rPr>
      </w:pPr>
      <w:r w:rsidRPr="00D364DD">
        <w:rPr>
          <w:rFonts w:cs="Arial"/>
        </w:rPr>
        <w:t>over 500 submissions</w:t>
      </w:r>
      <w:r>
        <w:rPr>
          <w:rFonts w:cs="Arial"/>
        </w:rPr>
        <w:t>,</w:t>
      </w:r>
      <w:r w:rsidRPr="00D364DD">
        <w:rPr>
          <w:rFonts w:cs="Arial"/>
        </w:rPr>
        <w:t xml:space="preserve"> and </w:t>
      </w:r>
    </w:p>
    <w:p w14:paraId="6546BD94" w14:textId="77777777" w:rsidR="00ED6B30" w:rsidRDefault="00ED6B30" w:rsidP="00A4794B">
      <w:pPr>
        <w:pStyle w:val="ListParagraph"/>
        <w:numPr>
          <w:ilvl w:val="0"/>
          <w:numId w:val="14"/>
        </w:numPr>
        <w:spacing w:after="0" w:line="336" w:lineRule="auto"/>
        <w:contextualSpacing/>
        <w:rPr>
          <w:rFonts w:cs="Arial"/>
        </w:rPr>
      </w:pPr>
      <w:r w:rsidRPr="00D364DD">
        <w:rPr>
          <w:rFonts w:cs="Arial"/>
        </w:rPr>
        <w:t>over 250 survey responses.</w:t>
      </w:r>
    </w:p>
    <w:p w14:paraId="65E3C236" w14:textId="77777777" w:rsidR="00ED6B30" w:rsidRDefault="00ED6B30" w:rsidP="00ED6B30">
      <w:r>
        <w:t>The input from participants was essential to the Review and will continue to inform the Commissioner’s work promoting best practice and transparency for industry and government.</w:t>
      </w:r>
    </w:p>
    <w:p w14:paraId="7444D9E0" w14:textId="2053EA59" w:rsidR="00ED6B30" w:rsidRDefault="00ED6B30" w:rsidP="00ED6B30">
      <w:bookmarkStart w:id="124" w:name="_Hlk161669175"/>
      <w:r w:rsidRPr="00D364DD">
        <w:t xml:space="preserve">In December 2023, </w:t>
      </w:r>
      <w:r>
        <w:t>the Commissioner</w:t>
      </w:r>
      <w:r w:rsidRPr="00D364DD">
        <w:t xml:space="preserve"> delivered the Review Report to the Minister. The </w:t>
      </w:r>
      <w:r>
        <w:t>Minister released the r</w:t>
      </w:r>
      <w:r w:rsidRPr="00D364DD">
        <w:t>eport on 2 February 2024, along with the Australian Government’s initial response</w:t>
      </w:r>
      <w:r w:rsidR="004A38D2">
        <w:t xml:space="preserve"> </w:t>
      </w:r>
      <w:r w:rsidRPr="00D364DD">
        <w:t xml:space="preserve">accepting, </w:t>
      </w:r>
      <w:r w:rsidR="004A38D2">
        <w:br/>
      </w:r>
      <w:r w:rsidRPr="00D364DD">
        <w:t>in</w:t>
      </w:r>
      <w:r>
        <w:t>-</w:t>
      </w:r>
      <w:r w:rsidRPr="00D364DD">
        <w:t>principle, all nine recommendations.</w:t>
      </w:r>
      <w:r w:rsidR="004A38D2">
        <w:t xml:space="preserve"> </w:t>
      </w:r>
      <w:r w:rsidRPr="00D364DD">
        <w:t>The recommendations, when implemented</w:t>
      </w:r>
      <w:r w:rsidR="004A38D2">
        <w:t xml:space="preserve"> by relevant jurisdictions</w:t>
      </w:r>
      <w:r w:rsidRPr="00D364DD">
        <w:t xml:space="preserve">, are designed to achieve ongoing excellence in community engagement and, more broadly, excellence in the execution of the energy transition. </w:t>
      </w:r>
      <w:r>
        <w:t xml:space="preserve">An overview of the recommendations can be found at </w:t>
      </w:r>
      <w:r w:rsidRPr="00D364DD">
        <w:rPr>
          <w:b/>
          <w:bCs/>
        </w:rPr>
        <w:t>Appendix</w:t>
      </w:r>
      <w:r>
        <w:t xml:space="preserve"> </w:t>
      </w:r>
      <w:r w:rsidR="005F3E30" w:rsidRPr="005F3E30">
        <w:rPr>
          <w:b/>
          <w:bCs/>
        </w:rPr>
        <w:t>B</w:t>
      </w:r>
      <w:r>
        <w:t xml:space="preserve"> and the </w:t>
      </w:r>
      <w:r w:rsidR="00B163B1">
        <w:t>r</w:t>
      </w:r>
      <w:r>
        <w:t>eport is available on the Commissioner’s website.</w:t>
      </w:r>
    </w:p>
    <w:p w14:paraId="7EF74949" w14:textId="67779F3E" w:rsidR="005B4799" w:rsidRDefault="005B4799" w:rsidP="005B4799">
      <w:r>
        <w:t xml:space="preserve">Recognising that implementation of these recommendations involves distinct responsibilities across different levels of government, collaborative work is currently underway through the </w:t>
      </w:r>
      <w:r w:rsidRPr="004A38D2">
        <w:t>Energy and Climate Change Ministerial Council (ECMC)</w:t>
      </w:r>
      <w:r>
        <w:t xml:space="preserve"> to take the</w:t>
      </w:r>
      <w:r w:rsidR="000B00DC">
        <w:t xml:space="preserve"> recommendations</w:t>
      </w:r>
      <w:r>
        <w:t xml:space="preserve"> forward.</w:t>
      </w:r>
    </w:p>
    <w:p w14:paraId="2E0A67C4" w14:textId="77777777" w:rsidR="00ED6B30" w:rsidRPr="003B0A0E" w:rsidRDefault="00ED6B30" w:rsidP="003B0A0E">
      <w:pPr>
        <w:pStyle w:val="Heading2"/>
        <w:rPr>
          <w:i/>
          <w:iCs/>
        </w:rPr>
      </w:pPr>
      <w:bookmarkStart w:id="125" w:name="_Toc161672810"/>
      <w:bookmarkEnd w:id="124"/>
      <w:r w:rsidRPr="003B0A0E">
        <w:rPr>
          <w:i/>
          <w:iCs/>
        </w:rPr>
        <w:t>Onshore wind and solar farms</w:t>
      </w:r>
      <w:bookmarkEnd w:id="125"/>
    </w:p>
    <w:p w14:paraId="603B8EFC" w14:textId="474D8D5A" w:rsidR="00ED6B30" w:rsidRDefault="00ED6B30" w:rsidP="00ED6B30">
      <w:pPr>
        <w:rPr>
          <w:rFonts w:eastAsia="Arial" w:cs="Arial"/>
        </w:rPr>
      </w:pPr>
      <w:r w:rsidRPr="00AE0D87">
        <w:rPr>
          <w:rFonts w:eastAsia="Arial" w:cs="Arial"/>
        </w:rPr>
        <w:t xml:space="preserve">Due to the </w:t>
      </w:r>
      <w:r w:rsidR="00777100">
        <w:rPr>
          <w:rFonts w:eastAsia="Arial" w:cs="Arial"/>
        </w:rPr>
        <w:t>comparatively longer history in Australia</w:t>
      </w:r>
      <w:r w:rsidRPr="00AE0D87">
        <w:rPr>
          <w:rFonts w:eastAsia="Arial" w:cs="Arial"/>
        </w:rPr>
        <w:t xml:space="preserve"> in developing and operating </w:t>
      </w:r>
      <w:r w:rsidRPr="00777100">
        <w:rPr>
          <w:rFonts w:eastAsia="Arial" w:cs="Arial"/>
          <w:i/>
          <w:iCs/>
        </w:rPr>
        <w:t>onshore</w:t>
      </w:r>
      <w:r w:rsidRPr="00AE0D87">
        <w:rPr>
          <w:rFonts w:eastAsia="Arial" w:cs="Arial"/>
        </w:rPr>
        <w:t xml:space="preserve"> wind and solar farm assets, </w:t>
      </w:r>
      <w:r>
        <w:rPr>
          <w:rFonts w:eastAsia="Arial" w:cs="Arial"/>
        </w:rPr>
        <w:t>the Commissioner and the Office have largely engaged with potential systemic issues for onshore wind and solar farms through our direct case handling and stakeholder engagement workstreams.</w:t>
      </w:r>
    </w:p>
    <w:p w14:paraId="67E95002" w14:textId="016C9E73" w:rsidR="00ED6B30" w:rsidRDefault="00ED6B30" w:rsidP="00ED6B30">
      <w:pPr>
        <w:rPr>
          <w:rFonts w:eastAsia="Arial" w:cs="Arial"/>
        </w:rPr>
      </w:pPr>
      <w:r>
        <w:rPr>
          <w:rFonts w:eastAsia="Arial" w:cs="Arial"/>
        </w:rPr>
        <w:t xml:space="preserve">It should however be noted that areas of ongoing community concern – such as </w:t>
      </w:r>
      <w:r w:rsidR="00777100">
        <w:rPr>
          <w:rFonts w:eastAsia="Arial" w:cs="Arial"/>
        </w:rPr>
        <w:t xml:space="preserve">the prospecting of wind and solar sites along new transmission corridors, local </w:t>
      </w:r>
      <w:r>
        <w:rPr>
          <w:rFonts w:eastAsia="Arial" w:cs="Arial"/>
        </w:rPr>
        <w:t xml:space="preserve">cumulative impact and effective regional planning – have been part of discussions within </w:t>
      </w:r>
      <w:r w:rsidRPr="00AE0D87">
        <w:rPr>
          <w:rFonts w:eastAsia="Arial" w:cs="Arial"/>
        </w:rPr>
        <w:t>the broader context</w:t>
      </w:r>
      <w:r>
        <w:rPr>
          <w:rFonts w:eastAsia="Arial" w:cs="Arial"/>
        </w:rPr>
        <w:t>s</w:t>
      </w:r>
      <w:r w:rsidRPr="00AE0D87">
        <w:rPr>
          <w:rFonts w:eastAsia="Arial" w:cs="Arial"/>
        </w:rPr>
        <w:t xml:space="preserve"> of both the </w:t>
      </w:r>
      <w:r w:rsidRPr="005B650A">
        <w:rPr>
          <w:rFonts w:eastAsia="Arial" w:cs="Arial"/>
          <w:i/>
          <w:iCs/>
        </w:rPr>
        <w:t>Community Engagement</w:t>
      </w:r>
      <w:r>
        <w:rPr>
          <w:rFonts w:eastAsia="Arial" w:cs="Arial"/>
          <w:i/>
        </w:rPr>
        <w:t xml:space="preserve"> </w:t>
      </w:r>
      <w:r w:rsidR="005B2749">
        <w:rPr>
          <w:rFonts w:eastAsia="Arial" w:cs="Arial"/>
          <w:i/>
          <w:iCs/>
        </w:rPr>
        <w:t>Review</w:t>
      </w:r>
      <w:r w:rsidRPr="00AE0D87">
        <w:rPr>
          <w:rFonts w:eastAsia="Arial" w:cs="Arial"/>
        </w:rPr>
        <w:t xml:space="preserve"> (</w:t>
      </w:r>
      <w:r>
        <w:rPr>
          <w:rFonts w:eastAsia="Arial" w:cs="Arial"/>
        </w:rPr>
        <w:t xml:space="preserve">see </w:t>
      </w:r>
      <w:r w:rsidRPr="00AE0D87">
        <w:rPr>
          <w:rFonts w:eastAsia="Arial" w:cs="Arial"/>
        </w:rPr>
        <w:t xml:space="preserve">above) and various jurisdiction-specific </w:t>
      </w:r>
      <w:r>
        <w:rPr>
          <w:rFonts w:eastAsia="Arial" w:cs="Arial"/>
        </w:rPr>
        <w:t>reforms and initiatives</w:t>
      </w:r>
      <w:r w:rsidRPr="00AE0D87">
        <w:rPr>
          <w:rFonts w:eastAsia="Arial" w:cs="Arial"/>
        </w:rPr>
        <w:t xml:space="preserve"> (see </w:t>
      </w:r>
      <w:r w:rsidRPr="00AE0D87">
        <w:rPr>
          <w:rFonts w:eastAsia="Arial" w:cs="Arial"/>
          <w:i/>
          <w:iCs/>
        </w:rPr>
        <w:t>Other best practice feedback and formal public submissions</w:t>
      </w:r>
      <w:r w:rsidRPr="00AE0D87">
        <w:rPr>
          <w:rFonts w:eastAsia="Arial" w:cs="Arial"/>
        </w:rPr>
        <w:t>)</w:t>
      </w:r>
      <w:r>
        <w:rPr>
          <w:rFonts w:eastAsia="Arial" w:cs="Arial"/>
        </w:rPr>
        <w:t>.</w:t>
      </w:r>
    </w:p>
    <w:p w14:paraId="7CAF3D3B" w14:textId="4875FD3E" w:rsidR="00ED6B30" w:rsidRPr="0053622D" w:rsidRDefault="00ED6B30" w:rsidP="003B0A0E">
      <w:pPr>
        <w:pStyle w:val="Heading2"/>
        <w:rPr>
          <w:rStyle w:val="Heading3Char"/>
          <w:b/>
          <w:i w:val="0"/>
        </w:rPr>
      </w:pPr>
      <w:bookmarkStart w:id="126" w:name="_Toc161672811"/>
      <w:r w:rsidRPr="0053622D">
        <w:rPr>
          <w:rStyle w:val="Heading3Char"/>
          <w:b/>
        </w:rPr>
        <w:t>Offshore wind</w:t>
      </w:r>
      <w:bookmarkEnd w:id="126"/>
    </w:p>
    <w:p w14:paraId="69CCFED6" w14:textId="73D68533" w:rsidR="00ED6B30" w:rsidRPr="00021D24" w:rsidRDefault="00ED6B30" w:rsidP="00ED6B30">
      <w:pPr>
        <w:rPr>
          <w:rFonts w:cs="Arial"/>
        </w:rPr>
      </w:pPr>
      <w:r w:rsidRPr="00021D24">
        <w:rPr>
          <w:rFonts w:cs="Arial"/>
        </w:rPr>
        <w:t xml:space="preserve">2023 was a year of significant progress for offshore wind energy in Australia. </w:t>
      </w:r>
      <w:r>
        <w:rPr>
          <w:rFonts w:cs="Arial"/>
        </w:rPr>
        <w:t xml:space="preserve">Across both federal and state levels of government, </w:t>
      </w:r>
      <w:r w:rsidR="009F2BED">
        <w:rPr>
          <w:rFonts w:cs="Arial"/>
        </w:rPr>
        <w:t>w</w:t>
      </w:r>
      <w:r>
        <w:rPr>
          <w:rFonts w:cs="Arial"/>
        </w:rPr>
        <w:t xml:space="preserve">ork continued </w:t>
      </w:r>
      <w:r w:rsidR="00D64CF3">
        <w:rPr>
          <w:rFonts w:cs="Arial"/>
        </w:rPr>
        <w:t>to</w:t>
      </w:r>
      <w:r>
        <w:rPr>
          <w:rFonts w:cs="Arial"/>
        </w:rPr>
        <w:t xml:space="preserve"> explor</w:t>
      </w:r>
      <w:r w:rsidR="00D64CF3">
        <w:rPr>
          <w:rFonts w:cs="Arial"/>
        </w:rPr>
        <w:t>e</w:t>
      </w:r>
      <w:r>
        <w:rPr>
          <w:rFonts w:cs="Arial"/>
        </w:rPr>
        <w:t xml:space="preserve"> the suitability of different regions </w:t>
      </w:r>
      <w:r w:rsidR="005E4B90">
        <w:rPr>
          <w:rFonts w:cs="Arial"/>
        </w:rPr>
        <w:t>for</w:t>
      </w:r>
      <w:r>
        <w:rPr>
          <w:rFonts w:cs="Arial"/>
        </w:rPr>
        <w:t xml:space="preserve"> offshore renewable energy</w:t>
      </w:r>
      <w:r w:rsidR="00907760">
        <w:rPr>
          <w:rFonts w:cs="Arial"/>
        </w:rPr>
        <w:t xml:space="preserve"> and to address </w:t>
      </w:r>
      <w:r>
        <w:rPr>
          <w:rFonts w:cs="Arial"/>
        </w:rPr>
        <w:t>potential development challenges and onshore implications (such as transmission requirements).</w:t>
      </w:r>
    </w:p>
    <w:p w14:paraId="78594210" w14:textId="22FF6E5E" w:rsidR="00ED6B30" w:rsidRPr="00021D24" w:rsidRDefault="00ED6B30" w:rsidP="00ED6B30">
      <w:pPr>
        <w:rPr>
          <w:rFonts w:cs="Arial"/>
        </w:rPr>
      </w:pPr>
      <w:r w:rsidRPr="00021D24">
        <w:rPr>
          <w:rFonts w:cs="Arial"/>
        </w:rPr>
        <w:lastRenderedPageBreak/>
        <w:t xml:space="preserve">In July 2023, the Minister of Climate Change and Energy declared an area in the Hunter region in New South Wales (NSW) as suitable for offshore renewable energy. </w:t>
      </w:r>
      <w:r>
        <w:rPr>
          <w:rFonts w:cs="Arial"/>
        </w:rPr>
        <w:t xml:space="preserve">At the time of </w:t>
      </w:r>
      <w:r w:rsidR="00352037">
        <w:rPr>
          <w:rFonts w:cs="Arial"/>
        </w:rPr>
        <w:t xml:space="preserve">finalising </w:t>
      </w:r>
      <w:r>
        <w:rPr>
          <w:rFonts w:cs="Arial"/>
        </w:rPr>
        <w:t>this report</w:t>
      </w:r>
      <w:r w:rsidR="00352037">
        <w:rPr>
          <w:rFonts w:cs="Arial"/>
        </w:rPr>
        <w:t xml:space="preserve"> in 2024</w:t>
      </w:r>
      <w:r>
        <w:rPr>
          <w:rFonts w:cs="Arial"/>
        </w:rPr>
        <w:t xml:space="preserve">, </w:t>
      </w:r>
      <w:r w:rsidRPr="00021D24">
        <w:rPr>
          <w:rFonts w:cs="Arial"/>
        </w:rPr>
        <w:t xml:space="preserve">the Southern Ocean region in </w:t>
      </w:r>
      <w:r w:rsidRPr="00BB762A">
        <w:rPr>
          <w:rFonts w:cs="Arial"/>
        </w:rPr>
        <w:t>Victoria</w:t>
      </w:r>
      <w:r w:rsidR="00611A67">
        <w:rPr>
          <w:rFonts w:cs="Arial"/>
        </w:rPr>
        <w:t xml:space="preserve"> </w:t>
      </w:r>
      <w:r w:rsidR="00352037" w:rsidRPr="00BB762A">
        <w:rPr>
          <w:rFonts w:cs="Arial"/>
        </w:rPr>
        <w:t>has</w:t>
      </w:r>
      <w:r w:rsidR="00352037">
        <w:rPr>
          <w:rFonts w:cs="Arial"/>
        </w:rPr>
        <w:t xml:space="preserve"> </w:t>
      </w:r>
      <w:r w:rsidR="000C5C1E">
        <w:rPr>
          <w:rFonts w:cs="Arial"/>
        </w:rPr>
        <w:t>also been declared</w:t>
      </w:r>
      <w:r w:rsidRPr="00021D24">
        <w:rPr>
          <w:rFonts w:cs="Arial"/>
        </w:rPr>
        <w:t xml:space="preserve">, </w:t>
      </w:r>
      <w:r w:rsidR="00D0782F">
        <w:rPr>
          <w:rFonts w:cs="Arial"/>
        </w:rPr>
        <w:t xml:space="preserve">while other </w:t>
      </w:r>
      <w:r w:rsidR="00D27939">
        <w:rPr>
          <w:rFonts w:cs="Arial"/>
        </w:rPr>
        <w:t xml:space="preserve">proposed </w:t>
      </w:r>
      <w:r w:rsidR="00487B47">
        <w:rPr>
          <w:rFonts w:cs="Arial"/>
        </w:rPr>
        <w:t xml:space="preserve">areas </w:t>
      </w:r>
      <w:r w:rsidR="008A0CBA">
        <w:rPr>
          <w:rFonts w:cs="Arial"/>
        </w:rPr>
        <w:t>off t</w:t>
      </w:r>
      <w:r w:rsidRPr="00021D24">
        <w:rPr>
          <w:rFonts w:cs="Arial"/>
        </w:rPr>
        <w:t>he</w:t>
      </w:r>
      <w:r w:rsidR="008A0CBA">
        <w:rPr>
          <w:rFonts w:cs="Arial"/>
        </w:rPr>
        <w:t xml:space="preserve"> Bunbury region in WA, the </w:t>
      </w:r>
      <w:r w:rsidRPr="00021D24">
        <w:rPr>
          <w:rFonts w:cs="Arial"/>
        </w:rPr>
        <w:t>Illawarra region in NSW</w:t>
      </w:r>
      <w:r w:rsidR="00487B47">
        <w:rPr>
          <w:rFonts w:cs="Arial"/>
        </w:rPr>
        <w:t xml:space="preserve">, </w:t>
      </w:r>
      <w:r w:rsidRPr="00021D24">
        <w:rPr>
          <w:rFonts w:cs="Arial"/>
        </w:rPr>
        <w:t xml:space="preserve">and in the Bass Strait off the coast of Northern Tasmania, </w:t>
      </w:r>
      <w:r>
        <w:rPr>
          <w:rFonts w:cs="Arial"/>
        </w:rPr>
        <w:t xml:space="preserve">are at various stages of consideration. </w:t>
      </w:r>
    </w:p>
    <w:p w14:paraId="59257BF5" w14:textId="77777777" w:rsidR="00ED6B30" w:rsidRPr="007E45FC" w:rsidRDefault="00ED6B30" w:rsidP="00ED6B30">
      <w:pPr>
        <w:pStyle w:val="Heading4"/>
      </w:pPr>
      <w:r w:rsidRPr="007E45FC">
        <w:t>Key activities</w:t>
      </w:r>
    </w:p>
    <w:p w14:paraId="0E1147DD" w14:textId="11B2BDB2" w:rsidR="00ED6B30" w:rsidRDefault="00ED6B30" w:rsidP="00ED6B30">
      <w:pPr>
        <w:spacing w:line="264" w:lineRule="auto"/>
        <w:rPr>
          <w:rFonts w:cs="Arial"/>
          <w:color w:val="000000"/>
        </w:rPr>
      </w:pPr>
      <w:r>
        <w:rPr>
          <w:rFonts w:eastAsia="Times New Roman" w:cs="Arial"/>
          <w:color w:val="000000"/>
          <w:lang w:eastAsia="en-AU"/>
        </w:rPr>
        <w:t xml:space="preserve">As the </w:t>
      </w:r>
      <w:r w:rsidRPr="004C0151">
        <w:rPr>
          <w:rFonts w:cs="Arial"/>
        </w:rPr>
        <w:t xml:space="preserve">Australian offshore wind industry is </w:t>
      </w:r>
      <w:r>
        <w:rPr>
          <w:rFonts w:cs="Arial"/>
        </w:rPr>
        <w:t>still in</w:t>
      </w:r>
      <w:r w:rsidRPr="004C0151">
        <w:rPr>
          <w:rFonts w:cs="Arial"/>
        </w:rPr>
        <w:t xml:space="preserve"> its formative stages</w:t>
      </w:r>
      <w:r w:rsidR="000B457C">
        <w:rPr>
          <w:rFonts w:cs="Arial"/>
          <w:lang w:val="en"/>
        </w:rPr>
        <w:t xml:space="preserve">, </w:t>
      </w:r>
      <w:r w:rsidRPr="004C0151">
        <w:rPr>
          <w:rFonts w:cs="Arial"/>
          <w:lang w:val="en"/>
        </w:rPr>
        <w:t xml:space="preserve">there is limited guidance on how to engage effectively with communities when developing an offshore wind project. </w:t>
      </w:r>
      <w:r>
        <w:rPr>
          <w:rFonts w:cs="Arial"/>
        </w:rPr>
        <w:t xml:space="preserve">Throughout 2023, the Commissioner and the Office continued to work with key stakeholders including industry, </w:t>
      </w:r>
      <w:r>
        <w:rPr>
          <w:rFonts w:cs="Arial"/>
          <w:color w:val="000000"/>
          <w:szCs w:val="20"/>
        </w:rPr>
        <w:t xml:space="preserve">government </w:t>
      </w:r>
      <w:r>
        <w:rPr>
          <w:rFonts w:cs="Arial"/>
          <w:color w:val="000000"/>
        </w:rPr>
        <w:t xml:space="preserve">agencies and local communities to understand and address challenges within the offshore wind energy sector. </w:t>
      </w:r>
    </w:p>
    <w:p w14:paraId="0F1867C6" w14:textId="253735A3" w:rsidR="00ED6B30" w:rsidRPr="001B55E8" w:rsidRDefault="00ED6B30" w:rsidP="00ED6B30">
      <w:r w:rsidRPr="001B55E8">
        <w:t xml:space="preserve">In August 2023, a representative from the Office attended </w:t>
      </w:r>
      <w:r>
        <w:t xml:space="preserve">a series of </w:t>
      </w:r>
      <w:r w:rsidRPr="001B55E8">
        <w:t>drop-in session</w:t>
      </w:r>
      <w:r>
        <w:t>s run by D</w:t>
      </w:r>
      <w:r w:rsidR="00382D2B">
        <w:t>C</w:t>
      </w:r>
      <w:r>
        <w:t xml:space="preserve">CEEW </w:t>
      </w:r>
      <w:r w:rsidRPr="001B55E8">
        <w:t>for the</w:t>
      </w:r>
      <w:r w:rsidR="00611A67">
        <w:t xml:space="preserve"> then</w:t>
      </w:r>
      <w:r w:rsidRPr="001B55E8">
        <w:t xml:space="preserve"> proposed area of the Southern Ocean region in Victoria and South Australia. </w:t>
      </w:r>
      <w:r w:rsidRPr="001B55E8">
        <w:rPr>
          <w:shd w:val="clear" w:color="auto" w:fill="FFFFFF"/>
        </w:rPr>
        <w:t xml:space="preserve">Over 700 community members from the region participated in </w:t>
      </w:r>
      <w:r>
        <w:rPr>
          <w:shd w:val="clear" w:color="auto" w:fill="FFFFFF"/>
        </w:rPr>
        <w:t>five</w:t>
      </w:r>
      <w:r w:rsidRPr="001B55E8">
        <w:rPr>
          <w:shd w:val="clear" w:color="auto" w:fill="FFFFFF"/>
        </w:rPr>
        <w:t xml:space="preserve"> drop-in sessions from 1 August to 3 August 2023. The sessions were held in Warrnambool (Victoria</w:t>
      </w:r>
      <w:r w:rsidR="00611A67">
        <w:rPr>
          <w:shd w:val="clear" w:color="auto" w:fill="FFFFFF"/>
        </w:rPr>
        <w:t>)</w:t>
      </w:r>
      <w:r w:rsidRPr="001B55E8">
        <w:rPr>
          <w:shd w:val="clear" w:color="auto" w:fill="FFFFFF"/>
        </w:rPr>
        <w:t>, Port Fairy (Victoria), Portland (Victoria), Mount Gambier (South Australia) and Port MacDonnell (South Australia).</w:t>
      </w:r>
      <w:r w:rsidRPr="001B55E8">
        <w:t xml:space="preserve">  </w:t>
      </w:r>
    </w:p>
    <w:p w14:paraId="3651C084" w14:textId="18F5B264" w:rsidR="00ED6B30" w:rsidRDefault="00ED6B30" w:rsidP="00ED6B30">
      <w:pPr>
        <w:rPr>
          <w:lang w:val="en"/>
        </w:rPr>
      </w:pPr>
      <w:r w:rsidRPr="007E45FC">
        <w:rPr>
          <w:lang w:val="en"/>
        </w:rPr>
        <w:t>In October 2023, the Commissioner published a</w:t>
      </w:r>
      <w:r w:rsidR="005C3BF9">
        <w:rPr>
          <w:lang w:val="en"/>
        </w:rPr>
        <w:t xml:space="preserve"> guideline</w:t>
      </w:r>
      <w:r w:rsidR="003F0A99">
        <w:rPr>
          <w:lang w:val="en"/>
        </w:rPr>
        <w:t xml:space="preserve"> </w:t>
      </w:r>
      <w:r w:rsidRPr="007E45FC">
        <w:rPr>
          <w:lang w:val="en"/>
        </w:rPr>
        <w:t>for industry and communities</w:t>
      </w:r>
      <w:r w:rsidR="003F0A99">
        <w:rPr>
          <w:lang w:val="en"/>
        </w:rPr>
        <w:t>, en</w:t>
      </w:r>
      <w:r w:rsidRPr="007E45FC">
        <w:rPr>
          <w:lang w:val="en"/>
        </w:rPr>
        <w:t xml:space="preserve">titled </w:t>
      </w:r>
      <w:bookmarkStart w:id="127" w:name="_Hlk160442118"/>
      <w:r w:rsidRPr="007E45FC">
        <w:rPr>
          <w:i/>
          <w:iCs/>
          <w:lang w:val="en"/>
        </w:rPr>
        <w:t>Considerations for Offshore Wind Industry on Community Engagement</w:t>
      </w:r>
      <w:bookmarkEnd w:id="127"/>
      <w:r w:rsidRPr="007E45FC">
        <w:rPr>
          <w:lang w:val="en"/>
        </w:rPr>
        <w:t>.</w:t>
      </w:r>
      <w:r>
        <w:rPr>
          <w:lang w:val="en"/>
        </w:rPr>
        <w:t xml:space="preserve"> </w:t>
      </w:r>
      <w:r w:rsidR="003F0A99">
        <w:rPr>
          <w:lang w:val="en"/>
        </w:rPr>
        <w:t xml:space="preserve"> </w:t>
      </w:r>
      <w:r>
        <w:rPr>
          <w:lang w:val="en"/>
        </w:rPr>
        <w:t xml:space="preserve">It is intended as a general background reference </w:t>
      </w:r>
      <w:r w:rsidRPr="007E45FC">
        <w:rPr>
          <w:lang w:val="en"/>
        </w:rPr>
        <w:t>t</w:t>
      </w:r>
      <w:r>
        <w:rPr>
          <w:lang w:val="en"/>
        </w:rPr>
        <w:t>o</w:t>
      </w:r>
      <w:r w:rsidRPr="007E45FC">
        <w:rPr>
          <w:lang w:val="en"/>
        </w:rPr>
        <w:t xml:space="preserve"> improve community and stakeholder understanding of the approval processes and the interfaces between offshore regulatory requirements and the project development process.</w:t>
      </w:r>
    </w:p>
    <w:p w14:paraId="79535A85" w14:textId="0D33C7A3" w:rsidR="00ED6B30" w:rsidRDefault="00ED6B30" w:rsidP="00ED6B30">
      <w:pPr>
        <w:rPr>
          <w:lang w:val="en"/>
        </w:rPr>
      </w:pPr>
      <w:r>
        <w:rPr>
          <w:lang w:val="en"/>
        </w:rPr>
        <w:t xml:space="preserve">The </w:t>
      </w:r>
      <w:r w:rsidR="003F0A99">
        <w:rPr>
          <w:lang w:val="en"/>
        </w:rPr>
        <w:t>guideline</w:t>
      </w:r>
      <w:r>
        <w:rPr>
          <w:lang w:val="en"/>
        </w:rPr>
        <w:t xml:space="preserve"> is available on the Commissioner’s website, and i</w:t>
      </w:r>
      <w:r w:rsidRPr="007E45FC">
        <w:rPr>
          <w:lang w:val="en"/>
        </w:rPr>
        <w:t>t includes seven key principles for community engagement that proponents should consider as they investigate and develop offshore wind projects</w:t>
      </w:r>
      <w:r>
        <w:rPr>
          <w:lang w:val="en"/>
        </w:rPr>
        <w:t>:</w:t>
      </w:r>
    </w:p>
    <w:p w14:paraId="0DC4A6F7" w14:textId="1421E048"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a</w:t>
      </w:r>
      <w:r w:rsidR="00ED6B30" w:rsidRPr="002B5FF0">
        <w:rPr>
          <w:rFonts w:cs="Arial"/>
          <w:lang w:val="en"/>
        </w:rPr>
        <w:t>ddress specific local concerns and make information easily accessible</w:t>
      </w:r>
    </w:p>
    <w:p w14:paraId="4C4614F1" w14:textId="5F9088E5"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p</w:t>
      </w:r>
      <w:r w:rsidR="00ED6B30" w:rsidRPr="002B5FF0">
        <w:rPr>
          <w:rFonts w:cs="Arial"/>
          <w:lang w:val="en"/>
        </w:rPr>
        <w:t>lan engagement to avoid over-consultation</w:t>
      </w:r>
    </w:p>
    <w:p w14:paraId="379E38C5" w14:textId="311C2414"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c</w:t>
      </w:r>
      <w:r w:rsidR="00ED6B30" w:rsidRPr="002B5FF0">
        <w:rPr>
          <w:rFonts w:cs="Arial"/>
          <w:lang w:val="en"/>
        </w:rPr>
        <w:t>onsider potential cumulative and additional impacts</w:t>
      </w:r>
    </w:p>
    <w:p w14:paraId="4BF4A187" w14:textId="7A508683"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b</w:t>
      </w:r>
      <w:r w:rsidR="00ED6B30" w:rsidRPr="002B5FF0">
        <w:rPr>
          <w:rFonts w:cs="Arial"/>
          <w:lang w:val="en"/>
        </w:rPr>
        <w:t>uild ongoing relationships with First Nations communities</w:t>
      </w:r>
    </w:p>
    <w:p w14:paraId="02E58838" w14:textId="45D91C0F"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e</w:t>
      </w:r>
      <w:r w:rsidR="00ED6B30" w:rsidRPr="002B5FF0">
        <w:rPr>
          <w:rFonts w:cs="Arial"/>
          <w:lang w:val="en"/>
        </w:rPr>
        <w:t>ngage the community to solve problems and collaborate on solutions</w:t>
      </w:r>
    </w:p>
    <w:p w14:paraId="3AA78D75" w14:textId="33922C5D"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d</w:t>
      </w:r>
      <w:r w:rsidR="00ED6B30" w:rsidRPr="002B5FF0">
        <w:rPr>
          <w:rFonts w:cs="Arial"/>
          <w:lang w:val="en"/>
        </w:rPr>
        <w:t>evelop a meaningful community benefit plan</w:t>
      </w:r>
    </w:p>
    <w:p w14:paraId="48EA956D" w14:textId="2A245ABB" w:rsidR="00ED6B30" w:rsidRPr="002B5FF0" w:rsidRDefault="00494076" w:rsidP="00A4794B">
      <w:pPr>
        <w:pStyle w:val="ListParagraph"/>
        <w:numPr>
          <w:ilvl w:val="0"/>
          <w:numId w:val="15"/>
        </w:numPr>
        <w:tabs>
          <w:tab w:val="left" w:pos="720"/>
        </w:tabs>
        <w:spacing w:before="120" w:after="120" w:line="360" w:lineRule="auto"/>
        <w:rPr>
          <w:rFonts w:cs="Arial"/>
          <w:lang w:val="en"/>
        </w:rPr>
      </w:pPr>
      <w:r>
        <w:rPr>
          <w:rFonts w:cs="Arial"/>
          <w:lang w:val="en"/>
        </w:rPr>
        <w:t>h</w:t>
      </w:r>
      <w:r w:rsidR="00ED6B30" w:rsidRPr="002B5FF0">
        <w:rPr>
          <w:rFonts w:cs="Arial"/>
          <w:lang w:val="en"/>
        </w:rPr>
        <w:t>ave an effective complaint handling procedure</w:t>
      </w:r>
    </w:p>
    <w:p w14:paraId="6A7351DC" w14:textId="4791D845" w:rsidR="00ED6B30" w:rsidRPr="007E45FC" w:rsidRDefault="00ED6B30" w:rsidP="00ED6B30">
      <w:r>
        <w:rPr>
          <w:lang w:val="en"/>
        </w:rPr>
        <w:t xml:space="preserve">Alongside the development of this resource, the Commissioner and the Office met </w:t>
      </w:r>
      <w:r w:rsidRPr="007E45FC">
        <w:t>with community members affected by proposed and declared areas suitable for offshore wind and facilitated direct dialogue with relevant government agencies.</w:t>
      </w:r>
      <w:r>
        <w:t xml:space="preserve"> More broadly, the Commissioner and the Office c</w:t>
      </w:r>
      <w:r w:rsidRPr="007E45FC">
        <w:t>ontinued discussions with First Nations organisations to facilitate building an effective stakeholder relationship with First Nations groups in regard to offshore wind projects</w:t>
      </w:r>
      <w:r>
        <w:t xml:space="preserve">. Throughout the year informal feedback was also provided to government departments and private </w:t>
      </w:r>
      <w:r w:rsidRPr="007E45FC">
        <w:t xml:space="preserve">developers </w:t>
      </w:r>
      <w:r>
        <w:t xml:space="preserve">on issues such as </w:t>
      </w:r>
      <w:r w:rsidRPr="007E45FC">
        <w:t>engagement plans, enquiry and complaint management</w:t>
      </w:r>
      <w:r>
        <w:t>,</w:t>
      </w:r>
      <w:r w:rsidRPr="007E45FC">
        <w:t xml:space="preserve"> and stakeholder mapping.</w:t>
      </w:r>
    </w:p>
    <w:p w14:paraId="651847E6" w14:textId="77777777" w:rsidR="00ED6B30" w:rsidRDefault="00ED6B30" w:rsidP="00ED6B30">
      <w:pPr>
        <w:pStyle w:val="Heading4"/>
      </w:pPr>
      <w:r w:rsidRPr="004C0151">
        <w:lastRenderedPageBreak/>
        <w:t>Next steps</w:t>
      </w:r>
    </w:p>
    <w:p w14:paraId="6F8B40BB" w14:textId="12DB460C" w:rsidR="00ED6B30" w:rsidRDefault="00ED6B30" w:rsidP="00ED6B30">
      <w:pPr>
        <w:spacing w:after="0"/>
        <w:rPr>
          <w:rFonts w:cs="Arial"/>
        </w:rPr>
      </w:pPr>
      <w:r w:rsidRPr="00973B4A">
        <w:rPr>
          <w:rFonts w:cs="Arial"/>
        </w:rPr>
        <w:t>In 2024, offshore wind energy will continue to be a priority focus for the</w:t>
      </w:r>
      <w:r w:rsidR="004A2033">
        <w:rPr>
          <w:rFonts w:cs="Arial"/>
        </w:rPr>
        <w:t xml:space="preserve"> Office</w:t>
      </w:r>
      <w:r w:rsidRPr="00973B4A">
        <w:rPr>
          <w:rFonts w:cs="Arial"/>
        </w:rPr>
        <w:t xml:space="preserve">. The proposed and declared offshore areas will continue to progress through the various regulatory and development processes, attracting the development of ancillary services to support the offshore wind energy infrastructure. </w:t>
      </w:r>
    </w:p>
    <w:p w14:paraId="4C3F41A4" w14:textId="77777777" w:rsidR="00ED6B30" w:rsidRDefault="00ED6B30" w:rsidP="00ED6B30">
      <w:pPr>
        <w:spacing w:after="0"/>
        <w:rPr>
          <w:rFonts w:cs="Arial"/>
        </w:rPr>
      </w:pPr>
    </w:p>
    <w:p w14:paraId="31C60639" w14:textId="4C286DD1" w:rsidR="00ED6B30" w:rsidRDefault="004A2033" w:rsidP="00ED6B30">
      <w:pPr>
        <w:spacing w:after="0"/>
        <w:rPr>
          <w:rFonts w:eastAsia="Times New Roman" w:cs="Arial"/>
        </w:rPr>
      </w:pPr>
      <w:r>
        <w:rPr>
          <w:rFonts w:cs="Arial"/>
        </w:rPr>
        <w:t xml:space="preserve">It is anticipated that the Office will continue </w:t>
      </w:r>
      <w:r w:rsidR="00ED6B30" w:rsidRPr="00973B4A">
        <w:rPr>
          <w:rFonts w:cs="Arial"/>
        </w:rPr>
        <w:t>to facilitate direct dialogue between community, government and industry and promote best practice and transparency for government and industry</w:t>
      </w:r>
      <w:r w:rsidR="00ED6B30">
        <w:rPr>
          <w:rFonts w:cs="Arial"/>
        </w:rPr>
        <w:t xml:space="preserve"> throughout the development of the offshore wind energy sector. </w:t>
      </w:r>
      <w:r>
        <w:rPr>
          <w:rFonts w:cs="Arial"/>
        </w:rPr>
        <w:t>This may include u</w:t>
      </w:r>
      <w:r w:rsidR="00ED6B30">
        <w:rPr>
          <w:rFonts w:cs="Arial"/>
        </w:rPr>
        <w:t>pdat</w:t>
      </w:r>
      <w:r>
        <w:rPr>
          <w:rFonts w:cs="Arial"/>
        </w:rPr>
        <w:t>ing</w:t>
      </w:r>
      <w:r w:rsidR="00ED6B30">
        <w:rPr>
          <w:rFonts w:cs="Arial"/>
        </w:rPr>
        <w:t xml:space="preserve"> the </w:t>
      </w:r>
      <w:r w:rsidR="00ED6B30" w:rsidRPr="00D30F57">
        <w:rPr>
          <w:rFonts w:cs="Arial"/>
          <w:i/>
          <w:iCs/>
        </w:rPr>
        <w:t>Considerations for Offshore Wind Industry on Community Engagement</w:t>
      </w:r>
      <w:r w:rsidR="00ED6B30">
        <w:rPr>
          <w:rFonts w:cs="Arial"/>
          <w:i/>
          <w:iCs/>
        </w:rPr>
        <w:t xml:space="preserve"> </w:t>
      </w:r>
      <w:r w:rsidR="00ED6B30" w:rsidRPr="00677A27">
        <w:rPr>
          <w:rFonts w:eastAsia="Times New Roman" w:cs="Arial"/>
        </w:rPr>
        <w:t>as the offshore wind industry in Australia continues to develop.</w:t>
      </w:r>
      <w:r w:rsidR="00ED6B30">
        <w:rPr>
          <w:rFonts w:eastAsia="Times New Roman" w:cs="Arial"/>
        </w:rPr>
        <w:t xml:space="preserve"> </w:t>
      </w:r>
    </w:p>
    <w:p w14:paraId="14E983CA" w14:textId="77777777" w:rsidR="00ED6B30" w:rsidRPr="00973B4A" w:rsidRDefault="00ED6B30" w:rsidP="00ED6B30">
      <w:pPr>
        <w:spacing w:after="0"/>
        <w:rPr>
          <w:rFonts w:cs="Arial"/>
        </w:rPr>
      </w:pPr>
    </w:p>
    <w:p w14:paraId="5D719002" w14:textId="77777777" w:rsidR="00ED6B30" w:rsidRPr="003B0A0E" w:rsidRDefault="00ED6B30" w:rsidP="003B0A0E">
      <w:pPr>
        <w:pStyle w:val="Heading2"/>
        <w:rPr>
          <w:i/>
          <w:iCs/>
        </w:rPr>
      </w:pPr>
      <w:bookmarkStart w:id="128" w:name="_Toc161672812"/>
      <w:r w:rsidRPr="003B0A0E">
        <w:rPr>
          <w:i/>
          <w:iCs/>
        </w:rPr>
        <w:t>Energy storage</w:t>
      </w:r>
      <w:bookmarkEnd w:id="128"/>
    </w:p>
    <w:p w14:paraId="68AE7C55" w14:textId="72FF96AD" w:rsidR="00ED6B30" w:rsidRPr="00421650" w:rsidRDefault="00ED6B30" w:rsidP="00ED6B30">
      <w:pPr>
        <w:pStyle w:val="NormalWeb"/>
        <w:shd w:val="clear" w:color="auto" w:fill="FFFFFF"/>
        <w:spacing w:before="0" w:beforeAutospacing="0" w:line="276" w:lineRule="auto"/>
        <w:rPr>
          <w:rFonts w:ascii="Arial" w:hAnsi="Arial" w:cs="Arial"/>
          <w:sz w:val="22"/>
          <w:szCs w:val="22"/>
        </w:rPr>
      </w:pPr>
      <w:r w:rsidRPr="00421650">
        <w:rPr>
          <w:rFonts w:ascii="Arial" w:hAnsi="Arial" w:cs="Arial"/>
          <w:bCs/>
          <w:sz w:val="22"/>
          <w:szCs w:val="22"/>
        </w:rPr>
        <w:t xml:space="preserve">In addition to </w:t>
      </w:r>
      <w:r>
        <w:rPr>
          <w:rFonts w:ascii="Arial" w:hAnsi="Arial" w:cs="Arial"/>
          <w:bCs/>
          <w:sz w:val="22"/>
          <w:szCs w:val="22"/>
        </w:rPr>
        <w:t xml:space="preserve">new </w:t>
      </w:r>
      <w:r w:rsidRPr="00421650">
        <w:rPr>
          <w:rFonts w:ascii="Arial" w:hAnsi="Arial" w:cs="Arial"/>
          <w:bCs/>
          <w:sz w:val="22"/>
          <w:szCs w:val="22"/>
        </w:rPr>
        <w:t xml:space="preserve">energy generation and transmission infrastructure, the energy transition requires the development of new large-scale energy storage facilities to ensure energy security </w:t>
      </w:r>
      <w:r w:rsidRPr="00421650">
        <w:rPr>
          <w:rFonts w:ascii="Arial" w:hAnsi="Arial" w:cs="Arial"/>
          <w:sz w:val="22"/>
          <w:szCs w:val="22"/>
        </w:rPr>
        <w:t xml:space="preserve">in the event of </w:t>
      </w:r>
      <w:r>
        <w:rPr>
          <w:rFonts w:ascii="Arial" w:hAnsi="Arial" w:cs="Arial"/>
          <w:sz w:val="22"/>
          <w:szCs w:val="22"/>
        </w:rPr>
        <w:t xml:space="preserve">uneven solar </w:t>
      </w:r>
      <w:r w:rsidRPr="00421650">
        <w:rPr>
          <w:rFonts w:ascii="Arial" w:hAnsi="Arial" w:cs="Arial"/>
          <w:sz w:val="22"/>
          <w:szCs w:val="22"/>
        </w:rPr>
        <w:t>or wind generation</w:t>
      </w:r>
      <w:r w:rsidRPr="00421650">
        <w:rPr>
          <w:rFonts w:ascii="Arial" w:hAnsi="Arial" w:cs="Arial"/>
          <w:bCs/>
          <w:sz w:val="22"/>
          <w:szCs w:val="22"/>
        </w:rPr>
        <w:t xml:space="preserve">. </w:t>
      </w:r>
      <w:r w:rsidRPr="00421650">
        <w:rPr>
          <w:rFonts w:ascii="Arial" w:hAnsi="Arial" w:cs="Arial"/>
          <w:sz w:val="22"/>
          <w:szCs w:val="22"/>
          <w:shd w:val="clear" w:color="auto" w:fill="FFFFFF"/>
        </w:rPr>
        <w:t xml:space="preserve">Pumped hydro and battery storage </w:t>
      </w:r>
      <w:r>
        <w:rPr>
          <w:rFonts w:ascii="Arial" w:hAnsi="Arial" w:cs="Arial"/>
          <w:sz w:val="22"/>
          <w:szCs w:val="22"/>
          <w:shd w:val="clear" w:color="auto" w:fill="FFFFFF"/>
        </w:rPr>
        <w:t xml:space="preserve">projects </w:t>
      </w:r>
      <w:r w:rsidRPr="00421650">
        <w:rPr>
          <w:rFonts w:ascii="Arial" w:hAnsi="Arial" w:cs="Arial"/>
          <w:sz w:val="22"/>
          <w:szCs w:val="22"/>
          <w:shd w:val="clear" w:color="auto" w:fill="FFFFFF"/>
        </w:rPr>
        <w:t>are increasingly be</w:t>
      </w:r>
      <w:r>
        <w:rPr>
          <w:rFonts w:ascii="Arial" w:hAnsi="Arial" w:cs="Arial"/>
          <w:sz w:val="22"/>
          <w:szCs w:val="22"/>
          <w:shd w:val="clear" w:color="auto" w:fill="FFFFFF"/>
        </w:rPr>
        <w:t xml:space="preserve">ing proposed as standalone contributions to </w:t>
      </w:r>
      <w:r w:rsidRPr="00421650">
        <w:rPr>
          <w:rFonts w:ascii="Arial" w:hAnsi="Arial" w:cs="Arial"/>
          <w:sz w:val="22"/>
          <w:szCs w:val="22"/>
          <w:shd w:val="clear" w:color="auto" w:fill="FFFFFF"/>
        </w:rPr>
        <w:t>firming up supply from renewable energy sources</w:t>
      </w:r>
      <w:r>
        <w:rPr>
          <w:rFonts w:ascii="Arial" w:hAnsi="Arial" w:cs="Arial"/>
          <w:sz w:val="22"/>
          <w:szCs w:val="22"/>
          <w:shd w:val="clear" w:color="auto" w:fill="FFFFFF"/>
        </w:rPr>
        <w:t xml:space="preserve">, while generation </w:t>
      </w:r>
      <w:r w:rsidRPr="00421650">
        <w:rPr>
          <w:rFonts w:ascii="Arial" w:hAnsi="Arial" w:cs="Arial"/>
          <w:sz w:val="22"/>
          <w:szCs w:val="22"/>
          <w:shd w:val="clear" w:color="auto" w:fill="FFFFFF"/>
        </w:rPr>
        <w:t xml:space="preserve">developers are also factoring large-scale batteries into </w:t>
      </w:r>
      <w:r>
        <w:rPr>
          <w:rFonts w:ascii="Arial" w:hAnsi="Arial" w:cs="Arial"/>
          <w:sz w:val="22"/>
          <w:szCs w:val="22"/>
          <w:shd w:val="clear" w:color="auto" w:fill="FFFFFF"/>
        </w:rPr>
        <w:t>wind and solar projects</w:t>
      </w:r>
      <w:r w:rsidR="004D6F6F">
        <w:rPr>
          <w:rFonts w:ascii="Arial" w:hAnsi="Arial" w:cs="Arial"/>
          <w:sz w:val="22"/>
          <w:szCs w:val="22"/>
          <w:shd w:val="clear" w:color="auto" w:fill="FFFFFF"/>
        </w:rPr>
        <w:t xml:space="preserve"> from the outset</w:t>
      </w:r>
      <w:r w:rsidRPr="00421650">
        <w:rPr>
          <w:rFonts w:ascii="Arial" w:hAnsi="Arial" w:cs="Arial"/>
          <w:sz w:val="22"/>
          <w:szCs w:val="22"/>
          <w:shd w:val="clear" w:color="auto" w:fill="FFFFFF"/>
        </w:rPr>
        <w:t xml:space="preserve">.  </w:t>
      </w:r>
    </w:p>
    <w:p w14:paraId="08E4C065" w14:textId="5C0A730D" w:rsidR="00ED6B30" w:rsidRPr="00421650" w:rsidRDefault="00ED6B30" w:rsidP="00ED6B30">
      <w:pPr>
        <w:pStyle w:val="NormalWeb"/>
        <w:shd w:val="clear" w:color="auto" w:fill="FFFFFF"/>
        <w:spacing w:before="0" w:beforeAutospacing="0" w:line="276" w:lineRule="auto"/>
        <w:rPr>
          <w:rFonts w:ascii="Arial" w:hAnsi="Arial" w:cs="Arial"/>
          <w:sz w:val="22"/>
          <w:szCs w:val="22"/>
        </w:rPr>
      </w:pPr>
      <w:r>
        <w:rPr>
          <w:rFonts w:ascii="Arial" w:hAnsi="Arial" w:cs="Arial"/>
          <w:sz w:val="22"/>
          <w:szCs w:val="22"/>
          <w:shd w:val="clear" w:color="auto" w:fill="FFFFFF"/>
        </w:rPr>
        <w:t>The Office is aware that a number of large-scale energy storage projects are in-development, and that there is some community concern with the considerable impact on the local surroundings of large p</w:t>
      </w:r>
      <w:r w:rsidRPr="00421650">
        <w:rPr>
          <w:rFonts w:ascii="Arial" w:hAnsi="Arial" w:cs="Arial"/>
          <w:sz w:val="22"/>
          <w:szCs w:val="22"/>
          <w:shd w:val="clear" w:color="auto" w:fill="FFFFFF"/>
        </w:rPr>
        <w:t xml:space="preserve">umped hydro </w:t>
      </w:r>
      <w:r>
        <w:rPr>
          <w:rFonts w:ascii="Arial" w:hAnsi="Arial" w:cs="Arial"/>
          <w:sz w:val="22"/>
          <w:szCs w:val="22"/>
          <w:shd w:val="clear" w:color="auto" w:fill="FFFFFF"/>
        </w:rPr>
        <w:t xml:space="preserve">projects. These projects can involve complex earthwork and tunnelling, </w:t>
      </w:r>
      <w:r w:rsidR="00703763">
        <w:rPr>
          <w:rFonts w:ascii="Arial" w:hAnsi="Arial" w:cs="Arial"/>
          <w:sz w:val="22"/>
          <w:szCs w:val="22"/>
          <w:shd w:val="clear" w:color="auto" w:fill="FFFFFF"/>
        </w:rPr>
        <w:t>require</w:t>
      </w:r>
      <w:r>
        <w:rPr>
          <w:rFonts w:ascii="Arial" w:hAnsi="Arial" w:cs="Arial"/>
          <w:sz w:val="22"/>
          <w:szCs w:val="22"/>
          <w:shd w:val="clear" w:color="auto" w:fill="FFFFFF"/>
        </w:rPr>
        <w:t xml:space="preserve"> new transmission connections, and require careful planning and effective ongoing community engagement. </w:t>
      </w:r>
    </w:p>
    <w:p w14:paraId="4AB58B4D" w14:textId="77777777" w:rsidR="00ED6B30" w:rsidRPr="00421650" w:rsidRDefault="00ED6B30" w:rsidP="00ED6B30">
      <w:pPr>
        <w:pStyle w:val="Heading4"/>
      </w:pPr>
      <w:r w:rsidRPr="00421650">
        <w:t>Key activities</w:t>
      </w:r>
    </w:p>
    <w:p w14:paraId="31ADF40C" w14:textId="0B1A4F87" w:rsidR="00ED6B30" w:rsidRPr="00421650" w:rsidRDefault="00ED6B30" w:rsidP="00ED6B30">
      <w:r w:rsidRPr="00421650">
        <w:t xml:space="preserve">In 2023, the </w:t>
      </w:r>
      <w:r w:rsidR="003A16A9">
        <w:t>Office</w:t>
      </w:r>
      <w:r w:rsidRPr="00421650">
        <w:t xml:space="preserve"> saw an increase in cases about new proposed pumped</w:t>
      </w:r>
      <w:r w:rsidR="003A16A9">
        <w:t>-</w:t>
      </w:r>
      <w:r w:rsidRPr="00421650">
        <w:t xml:space="preserve">hydro projects. </w:t>
      </w:r>
      <w:r w:rsidR="007C6128">
        <w:rPr>
          <w:rStyle w:val="ui-provider"/>
        </w:rPr>
        <w:t>The Com</w:t>
      </w:r>
      <w:r w:rsidR="003F43A9">
        <w:rPr>
          <w:rStyle w:val="ui-provider"/>
        </w:rPr>
        <w:t>missioner</w:t>
      </w:r>
      <w:r w:rsidR="007C6128" w:rsidRPr="00421650">
        <w:rPr>
          <w:rStyle w:val="ui-provider"/>
        </w:rPr>
        <w:t xml:space="preserve"> </w:t>
      </w:r>
      <w:r w:rsidRPr="00421650">
        <w:rPr>
          <w:rStyle w:val="ui-provider"/>
        </w:rPr>
        <w:t xml:space="preserve">met with community and landowner representatives to discuss concerns, particularly around environmental </w:t>
      </w:r>
      <w:r w:rsidRPr="00421650">
        <w:t xml:space="preserve">and construction impacts of large projects that are in the early stages of development and more specific issues about transmission connections.  </w:t>
      </w:r>
    </w:p>
    <w:p w14:paraId="1442550B" w14:textId="64913988" w:rsidR="00ED6B30" w:rsidRPr="00421650" w:rsidRDefault="00ED6B30" w:rsidP="00ED6B30">
      <w:r w:rsidRPr="00421650">
        <w:rPr>
          <w:rStyle w:val="ui-provider"/>
        </w:rPr>
        <w:t xml:space="preserve">The </w:t>
      </w:r>
      <w:r w:rsidR="003A16A9">
        <w:rPr>
          <w:rStyle w:val="ui-provider"/>
        </w:rPr>
        <w:t>Off</w:t>
      </w:r>
      <w:r w:rsidR="00555DAD">
        <w:rPr>
          <w:rStyle w:val="ui-provider"/>
        </w:rPr>
        <w:t>ice a</w:t>
      </w:r>
      <w:r w:rsidRPr="00421650">
        <w:rPr>
          <w:rStyle w:val="ui-provider"/>
        </w:rPr>
        <w:t xml:space="preserve">lso had direct engagement with project proponents to discuss community concerns as well as assist them </w:t>
      </w:r>
      <w:r w:rsidR="00E60584">
        <w:rPr>
          <w:rStyle w:val="ui-provider"/>
        </w:rPr>
        <w:t>to</w:t>
      </w:r>
      <w:r w:rsidRPr="00421650">
        <w:rPr>
          <w:rStyle w:val="ui-provider"/>
        </w:rPr>
        <w:t xml:space="preserve"> develop</w:t>
      </w:r>
      <w:r w:rsidR="00E60584">
        <w:rPr>
          <w:rStyle w:val="ui-provider"/>
        </w:rPr>
        <w:t xml:space="preserve"> and improve</w:t>
      </w:r>
      <w:r w:rsidRPr="00421650">
        <w:rPr>
          <w:rStyle w:val="ui-provider"/>
        </w:rPr>
        <w:t xml:space="preserve"> complaint handling processes. </w:t>
      </w:r>
      <w:r w:rsidR="00A94A03">
        <w:rPr>
          <w:rStyle w:val="ui-provider"/>
        </w:rPr>
        <w:t>For example, i</w:t>
      </w:r>
      <w:r w:rsidRPr="00421650">
        <w:t>n July 2023, the Commissioner met with the CEO of Queensland Hydro in Brisbane, to be briefed on the Borumba and the Pioneer-Burdekin pumped hydro projects</w:t>
      </w:r>
      <w:r w:rsidR="00907760">
        <w:t xml:space="preserve">. Further discussions with the Office contributed to the finalisation of their </w:t>
      </w:r>
      <w:r w:rsidR="00907760" w:rsidRPr="00907760">
        <w:t>Complaint Handling Policy (CHP) and procedure</w:t>
      </w:r>
      <w:r w:rsidR="00907760">
        <w:t xml:space="preserve">, which is available online at: </w:t>
      </w:r>
      <w:hyperlink r:id="rId80" w:history="1">
        <w:r w:rsidR="00907760" w:rsidRPr="00A920C0">
          <w:rPr>
            <w:rStyle w:val="Hyperlink"/>
          </w:rPr>
          <w:t>https://qldhydro.com.au/contact-us/feedback-and-complaints/</w:t>
        </w:r>
      </w:hyperlink>
      <w:r w:rsidR="00907760">
        <w:t xml:space="preserve"> . </w:t>
      </w:r>
    </w:p>
    <w:p w14:paraId="4FC53860" w14:textId="77777777" w:rsidR="00ED6B30" w:rsidRPr="00421650" w:rsidRDefault="00ED6B30" w:rsidP="00ED6B30">
      <w:pPr>
        <w:pStyle w:val="Heading4"/>
      </w:pPr>
      <w:r w:rsidRPr="00421650">
        <w:t>Next steps</w:t>
      </w:r>
    </w:p>
    <w:p w14:paraId="5C108940" w14:textId="2A8A8495" w:rsidR="00ED6B30" w:rsidRPr="00421650" w:rsidRDefault="00ED6B30" w:rsidP="00ED6B30">
      <w:pPr>
        <w:rPr>
          <w:shd w:val="clear" w:color="auto" w:fill="FFFFFF"/>
        </w:rPr>
      </w:pPr>
      <w:r w:rsidRPr="00421650">
        <w:t xml:space="preserve">In 2024 the </w:t>
      </w:r>
      <w:r w:rsidR="005F3E30">
        <w:t>Office</w:t>
      </w:r>
      <w:r w:rsidRPr="00421650">
        <w:t xml:space="preserve"> </w:t>
      </w:r>
      <w:r w:rsidR="00E60584">
        <w:t>will</w:t>
      </w:r>
      <w:r w:rsidRPr="00421650">
        <w:t xml:space="preserve"> continue engaging with government, industry and community about energy storage infrastructure, as energy storage will be a growing area of focus in coming years. </w:t>
      </w:r>
      <w:r w:rsidRPr="00421650">
        <w:rPr>
          <w:rStyle w:val="normaltextrun"/>
          <w:rFonts w:cs="Arial"/>
          <w:bdr w:val="none" w:sz="0" w:space="0" w:color="auto" w:frame="1"/>
        </w:rPr>
        <w:t xml:space="preserve">The </w:t>
      </w:r>
      <w:r w:rsidR="005F3E30">
        <w:rPr>
          <w:rStyle w:val="normaltextrun"/>
          <w:rFonts w:cs="Arial"/>
          <w:bdr w:val="none" w:sz="0" w:space="0" w:color="auto" w:frame="1"/>
        </w:rPr>
        <w:t xml:space="preserve">Office will </w:t>
      </w:r>
      <w:r w:rsidRPr="00421650">
        <w:rPr>
          <w:rStyle w:val="normaltextrun"/>
          <w:rFonts w:cs="Arial"/>
          <w:bdr w:val="none" w:sz="0" w:space="0" w:color="auto" w:frame="1"/>
        </w:rPr>
        <w:t>continu</w:t>
      </w:r>
      <w:r w:rsidR="005F3E30">
        <w:rPr>
          <w:rStyle w:val="normaltextrun"/>
          <w:rFonts w:cs="Arial"/>
          <w:bdr w:val="none" w:sz="0" w:space="0" w:color="auto" w:frame="1"/>
        </w:rPr>
        <w:t xml:space="preserve">e to </w:t>
      </w:r>
      <w:r w:rsidRPr="00421650">
        <w:rPr>
          <w:rStyle w:val="normaltextrun"/>
          <w:rFonts w:cs="Arial"/>
          <w:bdr w:val="none" w:sz="0" w:space="0" w:color="auto" w:frame="1"/>
        </w:rPr>
        <w:t>fa</w:t>
      </w:r>
      <w:r w:rsidRPr="00421650">
        <w:t>cilitat</w:t>
      </w:r>
      <w:r w:rsidR="005F3E30">
        <w:t>e</w:t>
      </w:r>
      <w:r w:rsidRPr="00421650">
        <w:t xml:space="preserve"> the referral and resolution of complaint</w:t>
      </w:r>
      <w:r w:rsidR="00E60584">
        <w:t>s</w:t>
      </w:r>
      <w:r w:rsidR="005F3E30">
        <w:t xml:space="preserve"> and promot</w:t>
      </w:r>
      <w:r w:rsidR="00146895">
        <w:t>e</w:t>
      </w:r>
      <w:r w:rsidR="00382D2B">
        <w:t xml:space="preserve"> transparency and </w:t>
      </w:r>
      <w:r w:rsidRPr="00421650">
        <w:rPr>
          <w:rStyle w:val="normaltextrun"/>
          <w:rFonts w:cs="Arial"/>
          <w:bdr w:val="none" w:sz="0" w:space="0" w:color="auto" w:frame="1"/>
        </w:rPr>
        <w:t xml:space="preserve">best practice </w:t>
      </w:r>
      <w:r w:rsidR="005F3E30">
        <w:rPr>
          <w:rStyle w:val="normaltextrun"/>
          <w:rFonts w:cs="Arial"/>
          <w:bdr w:val="none" w:sz="0" w:space="0" w:color="auto" w:frame="1"/>
        </w:rPr>
        <w:t xml:space="preserve">by </w:t>
      </w:r>
      <w:r w:rsidRPr="00421650">
        <w:rPr>
          <w:rStyle w:val="normaltextrun"/>
          <w:rFonts w:cs="Arial"/>
          <w:bdr w:val="none" w:sz="0" w:space="0" w:color="auto" w:frame="1"/>
        </w:rPr>
        <w:t>government</w:t>
      </w:r>
      <w:r w:rsidR="005F3E30">
        <w:rPr>
          <w:rStyle w:val="normaltextrun"/>
          <w:rFonts w:cs="Arial"/>
          <w:bdr w:val="none" w:sz="0" w:space="0" w:color="auto" w:frame="1"/>
        </w:rPr>
        <w:t>s</w:t>
      </w:r>
      <w:r w:rsidRPr="00421650">
        <w:rPr>
          <w:rStyle w:val="normaltextrun"/>
          <w:rFonts w:cs="Arial"/>
          <w:bdr w:val="none" w:sz="0" w:space="0" w:color="auto" w:frame="1"/>
        </w:rPr>
        <w:t xml:space="preserve"> and industry throughout the development of these projects.</w:t>
      </w:r>
    </w:p>
    <w:p w14:paraId="016E35F1" w14:textId="77777777" w:rsidR="00ED6B30" w:rsidRPr="003B0A0E" w:rsidRDefault="00ED6B30" w:rsidP="003B0A0E">
      <w:pPr>
        <w:pStyle w:val="Heading2"/>
        <w:rPr>
          <w:i/>
          <w:iCs/>
        </w:rPr>
      </w:pPr>
      <w:bookmarkStart w:id="129" w:name="_Toc161672813"/>
      <w:r w:rsidRPr="003B0A0E">
        <w:rPr>
          <w:i/>
          <w:iCs/>
        </w:rPr>
        <w:t>Transmission</w:t>
      </w:r>
      <w:bookmarkEnd w:id="129"/>
    </w:p>
    <w:p w14:paraId="7C182248" w14:textId="17F4FE11" w:rsidR="00ED6B30" w:rsidRDefault="00ED6B30" w:rsidP="00ED6B30">
      <w:pPr>
        <w:spacing w:line="264" w:lineRule="auto"/>
        <w:rPr>
          <w:rFonts w:cs="Arial"/>
        </w:rPr>
      </w:pPr>
      <w:r w:rsidRPr="002112DA">
        <w:rPr>
          <w:rFonts w:cs="Arial"/>
        </w:rPr>
        <w:t xml:space="preserve">The energy transition requires </w:t>
      </w:r>
      <w:r>
        <w:rPr>
          <w:rFonts w:cs="Arial"/>
        </w:rPr>
        <w:t xml:space="preserve">the development of </w:t>
      </w:r>
      <w:r w:rsidRPr="002112DA">
        <w:rPr>
          <w:rFonts w:cs="Arial"/>
        </w:rPr>
        <w:t>new transmission infrastructure in parallel with new generation and storage capacity.</w:t>
      </w:r>
      <w:r>
        <w:rPr>
          <w:rFonts w:cs="Arial"/>
        </w:rPr>
        <w:t xml:space="preserve"> As widely noted, </w:t>
      </w:r>
      <w:r w:rsidRPr="00947B2E">
        <w:rPr>
          <w:rFonts w:cs="Arial"/>
        </w:rPr>
        <w:t>AEMO</w:t>
      </w:r>
      <w:r w:rsidRPr="002112DA">
        <w:rPr>
          <w:rFonts w:cs="Arial"/>
        </w:rPr>
        <w:t xml:space="preserve"> anticipates that the </w:t>
      </w:r>
      <w:r>
        <w:rPr>
          <w:rFonts w:cs="Arial"/>
        </w:rPr>
        <w:t xml:space="preserve">east coast </w:t>
      </w:r>
      <w:r w:rsidRPr="002112DA">
        <w:rPr>
          <w:rFonts w:cs="Arial"/>
        </w:rPr>
        <w:t xml:space="preserve">National </w:t>
      </w:r>
      <w:r>
        <w:rPr>
          <w:rFonts w:cs="Arial"/>
        </w:rPr>
        <w:t>Electricity</w:t>
      </w:r>
      <w:r w:rsidRPr="002112DA">
        <w:rPr>
          <w:rFonts w:cs="Arial"/>
        </w:rPr>
        <w:t xml:space="preserve"> </w:t>
      </w:r>
      <w:r>
        <w:rPr>
          <w:rFonts w:cs="Arial"/>
        </w:rPr>
        <w:t>Market</w:t>
      </w:r>
      <w:r w:rsidRPr="002112DA">
        <w:rPr>
          <w:rFonts w:cs="Arial"/>
        </w:rPr>
        <w:t xml:space="preserve"> (</w:t>
      </w:r>
      <w:r w:rsidRPr="00947B2E">
        <w:rPr>
          <w:rFonts w:cs="Arial"/>
        </w:rPr>
        <w:t>NEM</w:t>
      </w:r>
      <w:r w:rsidRPr="002112DA">
        <w:rPr>
          <w:rFonts w:cs="Arial"/>
        </w:rPr>
        <w:t xml:space="preserve">) will require </w:t>
      </w:r>
      <w:r w:rsidRPr="00C127D6">
        <w:rPr>
          <w:rFonts w:cs="Arial"/>
        </w:rPr>
        <w:t>approximately 10,000 km of</w:t>
      </w:r>
      <w:r w:rsidRPr="002112DA">
        <w:rPr>
          <w:rFonts w:cs="Arial"/>
        </w:rPr>
        <w:t xml:space="preserve"> new transmission infrastructure</w:t>
      </w:r>
      <w:r>
        <w:rPr>
          <w:rFonts w:cs="Arial"/>
        </w:rPr>
        <w:t xml:space="preserve">. </w:t>
      </w:r>
    </w:p>
    <w:p w14:paraId="44E82C27" w14:textId="5B5AEC58" w:rsidR="00ED6B30" w:rsidRDefault="00ED6B30" w:rsidP="00ED6B30">
      <w:pPr>
        <w:spacing w:line="264" w:lineRule="auto"/>
        <w:rPr>
          <w:rFonts w:cs="Arial"/>
        </w:rPr>
      </w:pPr>
      <w:r>
        <w:rPr>
          <w:rFonts w:cs="Arial"/>
        </w:rPr>
        <w:t>While this</w:t>
      </w:r>
      <w:r w:rsidRPr="002112DA">
        <w:rPr>
          <w:rFonts w:cs="Arial"/>
        </w:rPr>
        <w:t xml:space="preserve"> infrastructure will unlock constrained network capacity and </w:t>
      </w:r>
      <w:r>
        <w:rPr>
          <w:rFonts w:cs="Arial"/>
        </w:rPr>
        <w:t xml:space="preserve">create </w:t>
      </w:r>
      <w:r w:rsidRPr="002112DA">
        <w:rPr>
          <w:rFonts w:cs="Arial"/>
        </w:rPr>
        <w:t xml:space="preserve">new geography </w:t>
      </w:r>
      <w:r>
        <w:rPr>
          <w:rFonts w:cs="Arial"/>
        </w:rPr>
        <w:t xml:space="preserve">and opportunities </w:t>
      </w:r>
      <w:r w:rsidRPr="002112DA">
        <w:rPr>
          <w:rFonts w:cs="Arial"/>
        </w:rPr>
        <w:t xml:space="preserve">for </w:t>
      </w:r>
      <w:r>
        <w:rPr>
          <w:rFonts w:cs="Arial"/>
        </w:rPr>
        <w:t>generation</w:t>
      </w:r>
      <w:r w:rsidR="00146895">
        <w:rPr>
          <w:rFonts w:cs="Arial"/>
        </w:rPr>
        <w:t xml:space="preserve"> and storage</w:t>
      </w:r>
      <w:r>
        <w:rPr>
          <w:rFonts w:cs="Arial"/>
        </w:rPr>
        <w:t xml:space="preserve"> </w:t>
      </w:r>
      <w:r w:rsidRPr="002112DA">
        <w:rPr>
          <w:rFonts w:cs="Arial"/>
        </w:rPr>
        <w:t>development</w:t>
      </w:r>
      <w:r>
        <w:rPr>
          <w:rFonts w:cs="Arial"/>
        </w:rPr>
        <w:t xml:space="preserve"> and regional economic activity, the planning and delivery challenge is considerable. It is </w:t>
      </w:r>
      <w:r w:rsidRPr="002112DA">
        <w:rPr>
          <w:rFonts w:cs="Arial"/>
        </w:rPr>
        <w:t xml:space="preserve">several decades </w:t>
      </w:r>
      <w:r>
        <w:rPr>
          <w:rFonts w:cs="Arial"/>
        </w:rPr>
        <w:t xml:space="preserve">since transmission infrastructure has been </w:t>
      </w:r>
      <w:r>
        <w:rPr>
          <w:rFonts w:cs="Arial"/>
        </w:rPr>
        <w:lastRenderedPageBreak/>
        <w:t xml:space="preserve">developed on this scale in </w:t>
      </w:r>
      <w:r w:rsidRPr="002112DA">
        <w:rPr>
          <w:rFonts w:cs="Arial"/>
        </w:rPr>
        <w:t>Australia</w:t>
      </w:r>
      <w:r>
        <w:rPr>
          <w:rFonts w:cs="Arial"/>
        </w:rPr>
        <w:t xml:space="preserve">. </w:t>
      </w:r>
      <w:r w:rsidRPr="002112DA">
        <w:rPr>
          <w:rFonts w:cs="Arial"/>
        </w:rPr>
        <w:t>Many challenges are therefore compounded by a lack of institutional experience</w:t>
      </w:r>
      <w:r>
        <w:rPr>
          <w:rFonts w:cs="Arial"/>
        </w:rPr>
        <w:t xml:space="preserve"> across</w:t>
      </w:r>
      <w:r w:rsidRPr="002112DA">
        <w:rPr>
          <w:rFonts w:cs="Arial"/>
        </w:rPr>
        <w:t xml:space="preserve"> industry and government. </w:t>
      </w:r>
    </w:p>
    <w:p w14:paraId="19F2AD43" w14:textId="0EAF9661" w:rsidR="00ED6B30" w:rsidRDefault="00ED6B30" w:rsidP="00ED6B30">
      <w:pPr>
        <w:spacing w:line="264" w:lineRule="auto"/>
        <w:rPr>
          <w:rFonts w:cs="Arial"/>
        </w:rPr>
      </w:pPr>
      <w:r w:rsidRPr="002112DA">
        <w:rPr>
          <w:rFonts w:cs="Arial"/>
        </w:rPr>
        <w:t xml:space="preserve">The Commissioner’s activities in 2023 included a </w:t>
      </w:r>
      <w:r>
        <w:rPr>
          <w:rFonts w:cs="Arial"/>
        </w:rPr>
        <w:t xml:space="preserve">continued </w:t>
      </w:r>
      <w:r w:rsidRPr="002112DA">
        <w:rPr>
          <w:rFonts w:cs="Arial"/>
        </w:rPr>
        <w:t xml:space="preserve">focus on </w:t>
      </w:r>
      <w:r>
        <w:rPr>
          <w:rFonts w:cs="Arial"/>
        </w:rPr>
        <w:t xml:space="preserve">working with proponents </w:t>
      </w:r>
      <w:r w:rsidR="00B86B39">
        <w:rPr>
          <w:rFonts w:cs="Arial"/>
        </w:rPr>
        <w:t>to</w:t>
      </w:r>
      <w:r>
        <w:rPr>
          <w:rFonts w:cs="Arial"/>
        </w:rPr>
        <w:t xml:space="preserve"> </w:t>
      </w:r>
      <w:r w:rsidRPr="002112DA">
        <w:rPr>
          <w:rFonts w:cs="Arial"/>
        </w:rPr>
        <w:t>improv</w:t>
      </w:r>
      <w:r w:rsidR="00B86B39">
        <w:rPr>
          <w:rFonts w:cs="Arial"/>
        </w:rPr>
        <w:t>e</w:t>
      </w:r>
      <w:r w:rsidRPr="002112DA">
        <w:rPr>
          <w:rFonts w:cs="Arial"/>
        </w:rPr>
        <w:t xml:space="preserve"> </w:t>
      </w:r>
      <w:r>
        <w:rPr>
          <w:rFonts w:cs="Arial"/>
        </w:rPr>
        <w:t xml:space="preserve">their </w:t>
      </w:r>
      <w:r w:rsidRPr="002112DA">
        <w:rPr>
          <w:rFonts w:cs="Arial"/>
        </w:rPr>
        <w:t>processes for route selection, land</w:t>
      </w:r>
      <w:r>
        <w:rPr>
          <w:rFonts w:cs="Arial"/>
        </w:rPr>
        <w:t xml:space="preserve">holder engagement and communication, and site-level </w:t>
      </w:r>
      <w:r w:rsidRPr="002112DA">
        <w:rPr>
          <w:rFonts w:cs="Arial"/>
        </w:rPr>
        <w:t xml:space="preserve">access and easement acquisition. </w:t>
      </w:r>
    </w:p>
    <w:p w14:paraId="0DED95B2" w14:textId="77777777" w:rsidR="00ED6B30" w:rsidRPr="007E45FC" w:rsidRDefault="00ED6B30" w:rsidP="00ED6B30">
      <w:pPr>
        <w:pStyle w:val="Heading4"/>
      </w:pPr>
      <w:r w:rsidRPr="007E45FC">
        <w:t>Key activities</w:t>
      </w:r>
    </w:p>
    <w:p w14:paraId="6E948389" w14:textId="0128C0B6" w:rsidR="00ED6B30" w:rsidRDefault="00ED6B30" w:rsidP="00ED6B30">
      <w:pPr>
        <w:spacing w:line="264" w:lineRule="auto"/>
        <w:rPr>
          <w:rFonts w:eastAsia="Times New Roman" w:cs="Arial"/>
          <w:color w:val="000000"/>
          <w:lang w:eastAsia="en-AU"/>
        </w:rPr>
      </w:pPr>
      <w:r w:rsidRPr="00324B49">
        <w:rPr>
          <w:rFonts w:eastAsia="Times New Roman" w:cs="Arial"/>
          <w:color w:val="000000"/>
          <w:lang w:eastAsia="en-AU"/>
        </w:rPr>
        <w:t xml:space="preserve">The Commissioner’s </w:t>
      </w:r>
      <w:r>
        <w:rPr>
          <w:rFonts w:eastAsia="Times New Roman" w:cs="Arial"/>
          <w:color w:val="000000"/>
          <w:lang w:eastAsia="en-AU"/>
        </w:rPr>
        <w:t xml:space="preserve">ongoing work </w:t>
      </w:r>
      <w:r w:rsidRPr="00324B49">
        <w:rPr>
          <w:rFonts w:eastAsia="Times New Roman" w:cs="Arial"/>
          <w:color w:val="000000"/>
          <w:lang w:eastAsia="en-AU"/>
        </w:rPr>
        <w:t xml:space="preserve">receiving and referring complaints from concerned community members </w:t>
      </w:r>
      <w:r>
        <w:rPr>
          <w:rFonts w:eastAsia="Times New Roman" w:cs="Arial"/>
          <w:color w:val="000000"/>
          <w:lang w:eastAsia="en-AU"/>
        </w:rPr>
        <w:t xml:space="preserve">has </w:t>
      </w:r>
      <w:r w:rsidRPr="00324B49">
        <w:rPr>
          <w:rFonts w:eastAsia="Times New Roman" w:cs="Arial"/>
          <w:color w:val="000000"/>
          <w:lang w:eastAsia="en-AU"/>
        </w:rPr>
        <w:t>provided</w:t>
      </w:r>
      <w:r>
        <w:rPr>
          <w:rFonts w:eastAsia="Times New Roman" w:cs="Arial"/>
          <w:color w:val="000000"/>
          <w:lang w:eastAsia="en-AU"/>
        </w:rPr>
        <w:t xml:space="preserve"> a real-time and practical opportunity to work with key proponents on how they respond to </w:t>
      </w:r>
      <w:r w:rsidRPr="00324B49">
        <w:rPr>
          <w:rFonts w:eastAsia="Times New Roman" w:cs="Arial"/>
          <w:color w:val="000000"/>
          <w:lang w:eastAsia="en-AU"/>
        </w:rPr>
        <w:t>community experiences</w:t>
      </w:r>
      <w:r>
        <w:rPr>
          <w:rFonts w:eastAsia="Times New Roman" w:cs="Arial"/>
          <w:color w:val="000000"/>
          <w:lang w:eastAsia="en-AU"/>
        </w:rPr>
        <w:t xml:space="preserve"> with</w:t>
      </w:r>
      <w:r w:rsidRPr="00324B49">
        <w:rPr>
          <w:rFonts w:eastAsia="Times New Roman" w:cs="Arial"/>
          <w:color w:val="000000"/>
          <w:lang w:eastAsia="en-AU"/>
        </w:rPr>
        <w:t xml:space="preserve"> </w:t>
      </w:r>
      <w:r>
        <w:rPr>
          <w:rFonts w:eastAsia="Times New Roman" w:cs="Arial"/>
          <w:color w:val="000000"/>
          <w:lang w:eastAsia="en-AU"/>
        </w:rPr>
        <w:t xml:space="preserve">new </w:t>
      </w:r>
      <w:r w:rsidRPr="00324B49">
        <w:rPr>
          <w:rFonts w:eastAsia="Times New Roman" w:cs="Arial"/>
          <w:color w:val="000000"/>
          <w:lang w:eastAsia="en-AU"/>
        </w:rPr>
        <w:t>transmission infrastructure development</w:t>
      </w:r>
      <w:r>
        <w:rPr>
          <w:rFonts w:eastAsia="Times New Roman" w:cs="Arial"/>
          <w:color w:val="000000"/>
          <w:lang w:eastAsia="en-AU"/>
        </w:rPr>
        <w:t>.</w:t>
      </w:r>
    </w:p>
    <w:p w14:paraId="52870F9C" w14:textId="5155D077" w:rsidR="00ED6B30" w:rsidRDefault="00ED6B30" w:rsidP="00ED6B30">
      <w:pPr>
        <w:spacing w:line="264" w:lineRule="auto"/>
        <w:rPr>
          <w:rFonts w:cs="Arial"/>
        </w:rPr>
      </w:pPr>
      <w:r>
        <w:rPr>
          <w:rFonts w:eastAsia="Times New Roman" w:cs="Arial"/>
          <w:color w:val="000000"/>
          <w:lang w:eastAsia="en-AU"/>
        </w:rPr>
        <w:t xml:space="preserve">As highlighted in the </w:t>
      </w:r>
      <w:r w:rsidR="00907760">
        <w:rPr>
          <w:rFonts w:eastAsia="Times New Roman" w:cs="Arial"/>
          <w:i/>
          <w:iCs/>
          <w:color w:val="000000"/>
          <w:lang w:eastAsia="en-AU"/>
        </w:rPr>
        <w:t xml:space="preserve">Case </w:t>
      </w:r>
      <w:r>
        <w:rPr>
          <w:rFonts w:eastAsia="Times New Roman" w:cs="Arial"/>
          <w:i/>
          <w:iCs/>
          <w:color w:val="000000"/>
          <w:lang w:eastAsia="en-AU"/>
        </w:rPr>
        <w:t xml:space="preserve">data </w:t>
      </w:r>
      <w:r w:rsidRPr="004117BC">
        <w:rPr>
          <w:rFonts w:eastAsia="Times New Roman" w:cs="Arial"/>
          <w:color w:val="000000"/>
          <w:lang w:eastAsia="en-AU"/>
        </w:rPr>
        <w:t xml:space="preserve">section, </w:t>
      </w:r>
      <w:r w:rsidRPr="004117BC">
        <w:rPr>
          <w:rFonts w:cs="Arial"/>
        </w:rPr>
        <w:t>in 2023 the Commissioner received 5</w:t>
      </w:r>
      <w:r w:rsidR="004117BC" w:rsidRPr="004117BC">
        <w:rPr>
          <w:rFonts w:cs="Arial"/>
        </w:rPr>
        <w:t>5</w:t>
      </w:r>
      <w:r w:rsidRPr="004117BC">
        <w:rPr>
          <w:rFonts w:cs="Arial"/>
        </w:rPr>
        <w:t xml:space="preserve"> cases related to major transmission projects, </w:t>
      </w:r>
      <w:r w:rsidR="004117BC" w:rsidRPr="004117BC">
        <w:rPr>
          <w:rFonts w:cs="Arial"/>
        </w:rPr>
        <w:t xml:space="preserve">37 </w:t>
      </w:r>
      <w:r w:rsidRPr="004117BC">
        <w:rPr>
          <w:rFonts w:cs="Arial"/>
        </w:rPr>
        <w:t>percent of all complaints received. Related visits to several key project sites and meetings with landholder and community</w:t>
      </w:r>
      <w:r w:rsidRPr="002112DA">
        <w:rPr>
          <w:rFonts w:cs="Arial"/>
        </w:rPr>
        <w:t xml:space="preserve"> representatives </w:t>
      </w:r>
      <w:r>
        <w:rPr>
          <w:rFonts w:cs="Arial"/>
        </w:rPr>
        <w:t xml:space="preserve">along proposed corridors for these </w:t>
      </w:r>
      <w:r w:rsidRPr="002112DA">
        <w:rPr>
          <w:rFonts w:cs="Arial"/>
        </w:rPr>
        <w:t>major projects</w:t>
      </w:r>
      <w:r>
        <w:rPr>
          <w:rFonts w:cs="Arial"/>
        </w:rPr>
        <w:t xml:space="preserve"> also </w:t>
      </w:r>
      <w:r w:rsidRPr="002112DA">
        <w:rPr>
          <w:rFonts w:cs="Arial"/>
        </w:rPr>
        <w:t xml:space="preserve">provided the Commissioner with the opportunity to </w:t>
      </w:r>
      <w:r>
        <w:rPr>
          <w:rFonts w:cs="Arial"/>
        </w:rPr>
        <w:t xml:space="preserve">hear directly from potentially affected </w:t>
      </w:r>
      <w:r w:rsidRPr="002112DA">
        <w:rPr>
          <w:rFonts w:cs="Arial"/>
        </w:rPr>
        <w:t>community members.</w:t>
      </w:r>
    </w:p>
    <w:p w14:paraId="226EC2CB" w14:textId="2CC38C3F" w:rsidR="00ED6B30" w:rsidRPr="002112DA" w:rsidRDefault="00ED6B30" w:rsidP="00ED6B30">
      <w:pPr>
        <w:spacing w:line="264" w:lineRule="auto"/>
        <w:rPr>
          <w:rFonts w:cs="Arial"/>
        </w:rPr>
      </w:pPr>
      <w:r>
        <w:rPr>
          <w:rFonts w:cs="Arial"/>
        </w:rPr>
        <w:t xml:space="preserve">In addition to contributing these insights through project-level governance meetings and other initiatives noted in </w:t>
      </w:r>
      <w:r w:rsidR="003442F4">
        <w:rPr>
          <w:rFonts w:cs="Arial"/>
        </w:rPr>
        <w:t xml:space="preserve">the </w:t>
      </w:r>
      <w:r>
        <w:rPr>
          <w:rFonts w:cs="Arial"/>
          <w:i/>
          <w:iCs/>
        </w:rPr>
        <w:t xml:space="preserve">Stakeholder engagement </w:t>
      </w:r>
      <w:r>
        <w:rPr>
          <w:rFonts w:cs="Arial"/>
        </w:rPr>
        <w:t>section of this report, t</w:t>
      </w:r>
      <w:r w:rsidRPr="002112DA">
        <w:rPr>
          <w:rFonts w:cs="Arial"/>
        </w:rPr>
        <w:t xml:space="preserve">he Commissioner </w:t>
      </w:r>
      <w:r>
        <w:rPr>
          <w:rFonts w:cs="Arial"/>
        </w:rPr>
        <w:t xml:space="preserve">also </w:t>
      </w:r>
      <w:r w:rsidRPr="002112DA">
        <w:rPr>
          <w:rFonts w:cs="Arial"/>
        </w:rPr>
        <w:t xml:space="preserve">made </w:t>
      </w:r>
      <w:r>
        <w:rPr>
          <w:rFonts w:cs="Arial"/>
        </w:rPr>
        <w:t xml:space="preserve">public </w:t>
      </w:r>
      <w:r w:rsidRPr="002112DA">
        <w:rPr>
          <w:rFonts w:cs="Arial"/>
        </w:rPr>
        <w:t xml:space="preserve">contributions to several </w:t>
      </w:r>
      <w:r>
        <w:rPr>
          <w:rFonts w:cs="Arial"/>
        </w:rPr>
        <w:t xml:space="preserve">transmission-specific </w:t>
      </w:r>
      <w:r w:rsidRPr="002112DA">
        <w:rPr>
          <w:rFonts w:cs="Arial"/>
        </w:rPr>
        <w:t>consultations</w:t>
      </w:r>
      <w:r>
        <w:rPr>
          <w:rFonts w:cs="Arial"/>
        </w:rPr>
        <w:t xml:space="preserve"> </w:t>
      </w:r>
      <w:r w:rsidRPr="002112DA">
        <w:rPr>
          <w:rFonts w:cs="Arial"/>
        </w:rPr>
        <w:t>in 2023</w:t>
      </w:r>
      <w:r>
        <w:rPr>
          <w:rFonts w:cs="Arial"/>
        </w:rPr>
        <w:t>:</w:t>
      </w:r>
    </w:p>
    <w:p w14:paraId="0E33A789" w14:textId="5D4E727B" w:rsidR="00ED6B30" w:rsidRPr="003442F4" w:rsidRDefault="003442F4" w:rsidP="00A4794B">
      <w:pPr>
        <w:pStyle w:val="ListParagraph"/>
        <w:numPr>
          <w:ilvl w:val="0"/>
          <w:numId w:val="16"/>
        </w:numPr>
        <w:spacing w:after="0"/>
        <w:rPr>
          <w:rFonts w:cs="Arial"/>
        </w:rPr>
      </w:pPr>
      <w:r>
        <w:rPr>
          <w:rFonts w:eastAsiaTheme="minorHAnsi" w:cs="Arial"/>
          <w:kern w:val="2"/>
          <w14:ligatures w14:val="standardContextual"/>
        </w:rPr>
        <w:t>t</w:t>
      </w:r>
      <w:r w:rsidR="00ED6B30" w:rsidRPr="002112DA">
        <w:rPr>
          <w:rFonts w:eastAsiaTheme="minorHAnsi" w:cs="Arial"/>
          <w:kern w:val="2"/>
          <w14:ligatures w14:val="standardContextual"/>
        </w:rPr>
        <w:t xml:space="preserve">he NSW inquiry into the </w:t>
      </w:r>
      <w:r w:rsidR="00ED6B30" w:rsidRPr="002112DA">
        <w:rPr>
          <w:rFonts w:eastAsiaTheme="minorHAnsi" w:cs="Arial"/>
          <w:i/>
          <w:iCs/>
          <w:kern w:val="2"/>
          <w14:ligatures w14:val="standardContextual"/>
        </w:rPr>
        <w:t>Feasibility of undergrounding the transmission infrastructure for renewable energy projects</w:t>
      </w:r>
      <w:r w:rsidR="00ED6B30">
        <w:rPr>
          <w:rFonts w:eastAsiaTheme="minorHAnsi" w:cs="Arial"/>
          <w:kern w:val="2"/>
          <w14:ligatures w14:val="standardContextual"/>
        </w:rPr>
        <w:t xml:space="preserve">, through both </w:t>
      </w:r>
      <w:r w:rsidR="00ED6B30" w:rsidRPr="002112DA">
        <w:rPr>
          <w:rFonts w:eastAsiaTheme="minorHAnsi" w:cs="Arial"/>
          <w:kern w:val="2"/>
          <w14:ligatures w14:val="standardContextual"/>
        </w:rPr>
        <w:t>in</w:t>
      </w:r>
      <w:r w:rsidR="00ED6B30">
        <w:rPr>
          <w:rFonts w:eastAsiaTheme="minorHAnsi" w:cs="Arial"/>
          <w:kern w:val="2"/>
          <w14:ligatures w14:val="standardContextual"/>
        </w:rPr>
        <w:t>-</w:t>
      </w:r>
      <w:r w:rsidR="00ED6B30" w:rsidRPr="002112DA">
        <w:rPr>
          <w:rFonts w:eastAsiaTheme="minorHAnsi" w:cs="Arial"/>
          <w:kern w:val="2"/>
          <w14:ligatures w14:val="standardContextual"/>
        </w:rPr>
        <w:t>person</w:t>
      </w:r>
      <w:r w:rsidR="00ED6B30">
        <w:rPr>
          <w:rFonts w:eastAsiaTheme="minorHAnsi" w:cs="Arial"/>
          <w:kern w:val="2"/>
          <w14:ligatures w14:val="standardContextual"/>
        </w:rPr>
        <w:t xml:space="preserve"> </w:t>
      </w:r>
      <w:r w:rsidR="00ED6B30" w:rsidRPr="002112DA">
        <w:rPr>
          <w:rFonts w:eastAsiaTheme="minorHAnsi" w:cs="Arial"/>
          <w:kern w:val="2"/>
          <w14:ligatures w14:val="standardContextual"/>
        </w:rPr>
        <w:t>and written evidence</w:t>
      </w:r>
      <w:r>
        <w:rPr>
          <w:rFonts w:eastAsiaTheme="minorHAnsi" w:cs="Arial"/>
          <w:kern w:val="2"/>
          <w14:ligatures w14:val="standardContextual"/>
        </w:rPr>
        <w:t>.</w:t>
      </w:r>
    </w:p>
    <w:p w14:paraId="3FC485DC" w14:textId="77777777" w:rsidR="003442F4" w:rsidRPr="00B1126E" w:rsidRDefault="003442F4" w:rsidP="003442F4">
      <w:pPr>
        <w:pStyle w:val="ListParagraph"/>
        <w:numPr>
          <w:ilvl w:val="0"/>
          <w:numId w:val="0"/>
        </w:numPr>
        <w:spacing w:after="0"/>
        <w:ind w:left="720"/>
        <w:rPr>
          <w:rFonts w:cs="Arial"/>
        </w:rPr>
      </w:pPr>
    </w:p>
    <w:p w14:paraId="6EAEF8AD" w14:textId="556B2ACA" w:rsidR="00ED6B30" w:rsidRDefault="003442F4" w:rsidP="00A4794B">
      <w:pPr>
        <w:pStyle w:val="ListParagraph"/>
        <w:numPr>
          <w:ilvl w:val="0"/>
          <w:numId w:val="16"/>
        </w:numPr>
        <w:spacing w:after="0"/>
        <w:rPr>
          <w:rFonts w:eastAsiaTheme="minorHAnsi" w:cs="Arial"/>
          <w:kern w:val="2"/>
          <w14:ligatures w14:val="standardContextual"/>
        </w:rPr>
      </w:pPr>
      <w:r>
        <w:rPr>
          <w:rFonts w:eastAsiaTheme="minorHAnsi" w:cs="Arial"/>
          <w:kern w:val="2"/>
          <w14:ligatures w14:val="standardContextual"/>
        </w:rPr>
        <w:t>t</w:t>
      </w:r>
      <w:r w:rsidR="00ED6B30">
        <w:rPr>
          <w:rFonts w:eastAsiaTheme="minorHAnsi" w:cs="Arial"/>
          <w:kern w:val="2"/>
          <w14:ligatures w14:val="standardContextual"/>
        </w:rPr>
        <w:t xml:space="preserve">he Victorian </w:t>
      </w:r>
      <w:r w:rsidR="00ED6B30" w:rsidRPr="002112DA">
        <w:rPr>
          <w:rFonts w:eastAsiaTheme="minorHAnsi" w:cs="Arial"/>
          <w:kern w:val="2"/>
          <w14:ligatures w14:val="standardContextual"/>
        </w:rPr>
        <w:t>E</w:t>
      </w:r>
      <w:r w:rsidR="00ED6B30">
        <w:rPr>
          <w:rFonts w:eastAsiaTheme="minorHAnsi" w:cs="Arial"/>
          <w:kern w:val="2"/>
          <w14:ligatures w14:val="standardContextual"/>
        </w:rPr>
        <w:t xml:space="preserve">ssential Services Commission’s </w:t>
      </w:r>
      <w:r w:rsidR="00ED6B30" w:rsidRPr="002112DA">
        <w:rPr>
          <w:rFonts w:eastAsiaTheme="minorHAnsi" w:cs="Arial"/>
          <w:i/>
          <w:iCs/>
          <w:kern w:val="2"/>
          <w14:ligatures w14:val="standardContextual"/>
        </w:rPr>
        <w:t>Land Access Code of Practice</w:t>
      </w:r>
      <w:r w:rsidR="00ED6B30" w:rsidRPr="002112DA">
        <w:rPr>
          <w:rFonts w:eastAsiaTheme="minorHAnsi" w:cs="Arial"/>
          <w:kern w:val="2"/>
          <w14:ligatures w14:val="standardContextual"/>
        </w:rPr>
        <w:t>, including public submissions on the initial Consultation Paper and the Draft Decision</w:t>
      </w:r>
      <w:r>
        <w:rPr>
          <w:rFonts w:eastAsiaTheme="minorHAnsi" w:cs="Arial"/>
          <w:kern w:val="2"/>
          <w14:ligatures w14:val="standardContextual"/>
        </w:rPr>
        <w:t>.</w:t>
      </w:r>
    </w:p>
    <w:p w14:paraId="4986F0BE" w14:textId="77777777" w:rsidR="00ED6B30" w:rsidRPr="002112DA" w:rsidRDefault="00ED6B30" w:rsidP="00ED6B30">
      <w:pPr>
        <w:pStyle w:val="ListParagraph"/>
        <w:numPr>
          <w:ilvl w:val="0"/>
          <w:numId w:val="0"/>
        </w:numPr>
        <w:spacing w:after="0"/>
        <w:ind w:left="720"/>
        <w:rPr>
          <w:rFonts w:eastAsiaTheme="minorHAnsi" w:cs="Arial"/>
          <w:kern w:val="2"/>
          <w14:ligatures w14:val="standardContextual"/>
        </w:rPr>
      </w:pPr>
    </w:p>
    <w:p w14:paraId="58CE9871" w14:textId="679EE0EF" w:rsidR="00ED6B30" w:rsidRPr="00E72843" w:rsidRDefault="003442F4" w:rsidP="00A4794B">
      <w:pPr>
        <w:pStyle w:val="ListParagraph"/>
        <w:numPr>
          <w:ilvl w:val="0"/>
          <w:numId w:val="16"/>
        </w:numPr>
        <w:spacing w:after="0"/>
        <w:rPr>
          <w:rFonts w:cs="Arial"/>
        </w:rPr>
      </w:pPr>
      <w:r>
        <w:rPr>
          <w:rFonts w:cs="Arial"/>
        </w:rPr>
        <w:t>t</w:t>
      </w:r>
      <w:r w:rsidR="00ED6B30">
        <w:rPr>
          <w:rFonts w:cs="Arial"/>
        </w:rPr>
        <w:t xml:space="preserve">he Australian Energy Regulator’s </w:t>
      </w:r>
      <w:r w:rsidR="00ED6B30" w:rsidRPr="00E72843">
        <w:rPr>
          <w:rFonts w:cs="Arial"/>
          <w:i/>
          <w:iCs/>
        </w:rPr>
        <w:t>Directions Paper on Social Licence for Energy Transmission Projects</w:t>
      </w:r>
      <w:r>
        <w:rPr>
          <w:rFonts w:cs="Arial"/>
        </w:rPr>
        <w:t xml:space="preserve">, </w:t>
      </w:r>
      <w:r w:rsidR="00ED6B30">
        <w:rPr>
          <w:rFonts w:cs="Arial"/>
        </w:rPr>
        <w:t>through a public submission.</w:t>
      </w:r>
    </w:p>
    <w:p w14:paraId="08BB04B7" w14:textId="77777777" w:rsidR="00ED6B30" w:rsidRDefault="00ED6B30" w:rsidP="00ED6B30">
      <w:pPr>
        <w:spacing w:after="0"/>
        <w:rPr>
          <w:rFonts w:cs="Arial"/>
        </w:rPr>
      </w:pPr>
    </w:p>
    <w:p w14:paraId="09B095E8" w14:textId="2C817003" w:rsidR="00ED6B30" w:rsidRDefault="00ED6B30" w:rsidP="00ED6B30">
      <w:pPr>
        <w:spacing w:after="0"/>
        <w:rPr>
          <w:rFonts w:cs="Arial"/>
        </w:rPr>
      </w:pPr>
      <w:r w:rsidRPr="005502AD">
        <w:rPr>
          <w:rFonts w:cs="Arial"/>
        </w:rPr>
        <w:t xml:space="preserve">The </w:t>
      </w:r>
      <w:r>
        <w:rPr>
          <w:rFonts w:cs="Arial"/>
        </w:rPr>
        <w:t>Office’s ongoing direct collaborative work with industry and government to improve community engagement practices also included:</w:t>
      </w:r>
    </w:p>
    <w:p w14:paraId="5BB19B00" w14:textId="77777777" w:rsidR="00274858" w:rsidRDefault="00274858" w:rsidP="00ED6B30">
      <w:pPr>
        <w:spacing w:after="0"/>
        <w:rPr>
          <w:rFonts w:cs="Arial"/>
        </w:rPr>
      </w:pPr>
    </w:p>
    <w:p w14:paraId="19E6F22B" w14:textId="65DEACBB" w:rsidR="00274858" w:rsidRPr="00274858" w:rsidRDefault="00274858" w:rsidP="00274858">
      <w:pPr>
        <w:pStyle w:val="ListParagraph"/>
        <w:numPr>
          <w:ilvl w:val="0"/>
          <w:numId w:val="19"/>
        </w:numPr>
        <w:spacing w:after="0"/>
        <w:rPr>
          <w:rFonts w:cs="Arial"/>
        </w:rPr>
      </w:pPr>
      <w:r>
        <w:rPr>
          <w:rFonts w:cs="Arial"/>
        </w:rPr>
        <w:t xml:space="preserve">participating </w:t>
      </w:r>
      <w:r>
        <w:rPr>
          <w:rFonts w:eastAsiaTheme="minorHAnsi" w:cs="Arial"/>
          <w:kern w:val="2"/>
          <w14:ligatures w14:val="standardContextual"/>
        </w:rPr>
        <w:t>in</w:t>
      </w:r>
      <w:r w:rsidRPr="002112DA">
        <w:rPr>
          <w:rFonts w:eastAsiaTheme="minorHAnsi" w:cs="Arial"/>
          <w:kern w:val="2"/>
          <w14:ligatures w14:val="standardContextual"/>
        </w:rPr>
        <w:t xml:space="preserve"> the development and launch of the Energy Charter’s </w:t>
      </w:r>
      <w:r w:rsidRPr="002112DA">
        <w:rPr>
          <w:rFonts w:eastAsiaTheme="minorHAnsi" w:cs="Arial"/>
          <w:i/>
          <w:iCs/>
          <w:kern w:val="2"/>
          <w14:ligatures w14:val="standardContextual"/>
        </w:rPr>
        <w:t>Better Practice Social Licence Guideline</w:t>
      </w:r>
      <w:r w:rsidR="000A3CD2">
        <w:rPr>
          <w:rFonts w:eastAsiaTheme="minorHAnsi" w:cs="Arial"/>
          <w:kern w:val="2"/>
          <w14:ligatures w14:val="standardContextual"/>
        </w:rPr>
        <w:t>.</w:t>
      </w:r>
    </w:p>
    <w:p w14:paraId="2852564E" w14:textId="552DEAB0" w:rsidR="00274858" w:rsidRPr="00274858" w:rsidRDefault="00274858" w:rsidP="00274858">
      <w:pPr>
        <w:pStyle w:val="ListParagraph"/>
        <w:numPr>
          <w:ilvl w:val="0"/>
          <w:numId w:val="0"/>
        </w:numPr>
        <w:spacing w:after="0"/>
        <w:ind w:left="720"/>
        <w:rPr>
          <w:rFonts w:cs="Arial"/>
        </w:rPr>
      </w:pPr>
    </w:p>
    <w:p w14:paraId="153E2754" w14:textId="2F9038F1" w:rsidR="000A3CD2" w:rsidRDefault="000A3CD2" w:rsidP="000A3CD2">
      <w:pPr>
        <w:pStyle w:val="ListParagraph"/>
        <w:numPr>
          <w:ilvl w:val="0"/>
          <w:numId w:val="19"/>
        </w:numPr>
        <w:spacing w:after="0"/>
        <w:rPr>
          <w:rFonts w:cs="Arial"/>
        </w:rPr>
      </w:pPr>
      <w:r w:rsidRPr="000A3CD2">
        <w:rPr>
          <w:rFonts w:cs="Arial"/>
        </w:rPr>
        <w:t>c</w:t>
      </w:r>
      <w:r w:rsidR="00274858" w:rsidRPr="000A3CD2">
        <w:rPr>
          <w:rFonts w:cs="Arial"/>
        </w:rPr>
        <w:t>ontributin</w:t>
      </w:r>
      <w:r w:rsidRPr="000A3CD2">
        <w:rPr>
          <w:rFonts w:cs="Arial"/>
        </w:rPr>
        <w:t xml:space="preserve">g </w:t>
      </w:r>
      <w:r w:rsidRPr="00D31816">
        <w:rPr>
          <w:rFonts w:cs="Arial"/>
        </w:rPr>
        <w:t>to the development by TasNetworks of a multi-day land agent training program attended by frontline staff from projects across Australia</w:t>
      </w:r>
      <w:r>
        <w:rPr>
          <w:rFonts w:cs="Arial"/>
        </w:rPr>
        <w:t>.</w:t>
      </w:r>
    </w:p>
    <w:p w14:paraId="50B1DDF0" w14:textId="77777777" w:rsidR="000A3CD2" w:rsidRPr="000A3CD2" w:rsidRDefault="000A3CD2" w:rsidP="000A3CD2">
      <w:pPr>
        <w:pStyle w:val="ListParagraph"/>
        <w:numPr>
          <w:ilvl w:val="0"/>
          <w:numId w:val="0"/>
        </w:numPr>
        <w:spacing w:after="0"/>
        <w:ind w:left="720"/>
        <w:rPr>
          <w:rFonts w:cs="Arial"/>
        </w:rPr>
      </w:pPr>
    </w:p>
    <w:p w14:paraId="7E9AD72F" w14:textId="79114177" w:rsidR="000A3CD2" w:rsidRDefault="000A3CD2" w:rsidP="000A3CD2">
      <w:pPr>
        <w:pStyle w:val="ListParagraph"/>
        <w:numPr>
          <w:ilvl w:val="0"/>
          <w:numId w:val="19"/>
        </w:numPr>
        <w:spacing w:after="0"/>
        <w:rPr>
          <w:rFonts w:cs="Arial"/>
        </w:rPr>
      </w:pPr>
      <w:r>
        <w:rPr>
          <w:rFonts w:cs="Arial"/>
        </w:rPr>
        <w:t>supporting the Energy Charter’s collaborative leadership on proponent’s landholder engagement practices, through a further multi-day event.</w:t>
      </w:r>
    </w:p>
    <w:p w14:paraId="7F9DF989" w14:textId="77777777" w:rsidR="000A3CD2" w:rsidRPr="000A3CD2" w:rsidRDefault="000A3CD2" w:rsidP="000A3CD2">
      <w:pPr>
        <w:pStyle w:val="ListParagraph"/>
        <w:numPr>
          <w:ilvl w:val="0"/>
          <w:numId w:val="0"/>
        </w:numPr>
        <w:spacing w:after="0"/>
        <w:ind w:left="720"/>
        <w:rPr>
          <w:rFonts w:cs="Arial"/>
        </w:rPr>
      </w:pPr>
    </w:p>
    <w:p w14:paraId="24F50161" w14:textId="67F31E17" w:rsidR="000A3CD2" w:rsidRDefault="000A3CD2" w:rsidP="001E02C7">
      <w:pPr>
        <w:pStyle w:val="ListParagraph"/>
        <w:numPr>
          <w:ilvl w:val="0"/>
          <w:numId w:val="19"/>
        </w:numPr>
        <w:spacing w:after="0"/>
        <w:rPr>
          <w:rFonts w:cs="Arial"/>
        </w:rPr>
      </w:pPr>
      <w:r>
        <w:rPr>
          <w:rFonts w:cs="Arial"/>
        </w:rPr>
        <w:t>ongoing</w:t>
      </w:r>
      <w:r w:rsidRPr="000A3CD2">
        <w:rPr>
          <w:rFonts w:cs="Arial"/>
        </w:rPr>
        <w:t xml:space="preserve"> </w:t>
      </w:r>
      <w:r>
        <w:rPr>
          <w:rFonts w:cs="Arial"/>
        </w:rPr>
        <w:t>d</w:t>
      </w:r>
      <w:r w:rsidRPr="00DF2283">
        <w:rPr>
          <w:rFonts w:cs="Arial"/>
        </w:rPr>
        <w:t xml:space="preserve">irect engagement with proponents to develop, review and refine complaint handling processes, internal and public facing guidelines and protocols related to land access and easement acquisition, and other </w:t>
      </w:r>
      <w:r w:rsidRPr="000A3CD2">
        <w:rPr>
          <w:rFonts w:cs="Arial"/>
        </w:rPr>
        <w:t>best practice community engagement.</w:t>
      </w:r>
    </w:p>
    <w:p w14:paraId="038D8A58" w14:textId="77777777" w:rsidR="000A3CD2" w:rsidRPr="000A3CD2" w:rsidRDefault="000A3CD2" w:rsidP="000A3CD2">
      <w:pPr>
        <w:pStyle w:val="ListParagraph"/>
        <w:numPr>
          <w:ilvl w:val="0"/>
          <w:numId w:val="0"/>
        </w:numPr>
        <w:spacing w:after="0"/>
        <w:ind w:left="720"/>
        <w:rPr>
          <w:rFonts w:cs="Arial"/>
        </w:rPr>
      </w:pPr>
    </w:p>
    <w:p w14:paraId="074B7DAC" w14:textId="0B06EA78" w:rsidR="00907760" w:rsidRPr="00907760" w:rsidRDefault="000A3CD2" w:rsidP="00907760">
      <w:pPr>
        <w:pStyle w:val="ListParagraph"/>
        <w:numPr>
          <w:ilvl w:val="0"/>
          <w:numId w:val="19"/>
        </w:numPr>
        <w:spacing w:after="0"/>
        <w:rPr>
          <w:rFonts w:cs="Arial"/>
          <w:i/>
          <w:iCs/>
        </w:rPr>
      </w:pPr>
      <w:r>
        <w:rPr>
          <w:rFonts w:cs="Arial"/>
        </w:rPr>
        <w:t>other</w:t>
      </w:r>
      <w:r w:rsidRPr="000A3CD2">
        <w:rPr>
          <w:rFonts w:cs="Arial"/>
        </w:rPr>
        <w:t xml:space="preserve"> </w:t>
      </w:r>
      <w:r>
        <w:rPr>
          <w:rFonts w:cs="Arial"/>
        </w:rPr>
        <w:t>d</w:t>
      </w:r>
      <w:r w:rsidRPr="00DC4DFF">
        <w:rPr>
          <w:rFonts w:cs="Arial"/>
        </w:rPr>
        <w:t>irect engagement on public facing guidelines and information sheets developed by government and other agencies</w:t>
      </w:r>
      <w:r w:rsidR="00FC0AFD">
        <w:rPr>
          <w:rFonts w:cs="Arial"/>
        </w:rPr>
        <w:t xml:space="preserve">, </w:t>
      </w:r>
      <w:r w:rsidRPr="00DC4DFF">
        <w:rPr>
          <w:rFonts w:cs="Arial"/>
        </w:rPr>
        <w:t xml:space="preserve">such as the work by Energy Safe Victoria (ESV) and the Country Fire Authority (CFA) to develop a current and factual brochure entitled </w:t>
      </w:r>
      <w:r w:rsidRPr="00697450">
        <w:rPr>
          <w:rFonts w:cs="Arial"/>
          <w:i/>
          <w:iCs/>
        </w:rPr>
        <w:t>Electricity Transmission Lines – Bushfire Management and Community Safety.</w:t>
      </w:r>
      <w:r w:rsidR="00907760">
        <w:rPr>
          <w:rFonts w:cs="Arial"/>
          <w:i/>
          <w:iCs/>
        </w:rPr>
        <w:br/>
      </w:r>
    </w:p>
    <w:p w14:paraId="2E20F3A2" w14:textId="145F303D" w:rsidR="005F7E3D" w:rsidRPr="00352439" w:rsidRDefault="005F7E3D" w:rsidP="005F7E3D">
      <w:pPr>
        <w:pStyle w:val="ListParagraph"/>
        <w:numPr>
          <w:ilvl w:val="0"/>
          <w:numId w:val="19"/>
        </w:numPr>
        <w:spacing w:line="264" w:lineRule="auto"/>
        <w:rPr>
          <w:rFonts w:cs="Arial"/>
        </w:rPr>
      </w:pPr>
      <w:r>
        <w:rPr>
          <w:rFonts w:cs="Arial"/>
        </w:rPr>
        <w:lastRenderedPageBreak/>
        <w:t>consulting on m</w:t>
      </w:r>
      <w:r w:rsidRPr="00352439">
        <w:rPr>
          <w:rFonts w:cs="Arial"/>
        </w:rPr>
        <w:t xml:space="preserve">ultiple Victorian Government initiatives through VicGrid, including </w:t>
      </w:r>
      <w:r>
        <w:rPr>
          <w:rFonts w:cs="Arial"/>
        </w:rPr>
        <w:t xml:space="preserve">regional benefits components of </w:t>
      </w:r>
      <w:r w:rsidRPr="00352439">
        <w:rPr>
          <w:rFonts w:cs="Arial"/>
        </w:rPr>
        <w:t>the Victorian Transmission Investment Framework (VTIF)</w:t>
      </w:r>
      <w:r>
        <w:rPr>
          <w:rFonts w:cs="Arial"/>
        </w:rPr>
        <w:t xml:space="preserve"> and community engagement on planning for the transmission requirements for offshore wind.</w:t>
      </w:r>
    </w:p>
    <w:p w14:paraId="412F5A0E" w14:textId="698910A8" w:rsidR="005F7E3D" w:rsidRPr="00413AF3" w:rsidRDefault="00D218E5" w:rsidP="005F7E3D">
      <w:pPr>
        <w:pStyle w:val="ListParagraph"/>
        <w:numPr>
          <w:ilvl w:val="0"/>
          <w:numId w:val="19"/>
        </w:numPr>
        <w:rPr>
          <w:rFonts w:eastAsia="Times New Roman" w:cs="Arial"/>
          <w:color w:val="000000"/>
          <w:lang w:eastAsia="en-AU"/>
        </w:rPr>
      </w:pPr>
      <w:bookmarkStart w:id="130" w:name="_Hlk159235479"/>
      <w:r>
        <w:rPr>
          <w:rFonts w:eastAsia="Times New Roman" w:cs="Arial"/>
          <w:color w:val="000000"/>
          <w:lang w:eastAsia="en-AU"/>
        </w:rPr>
        <w:t xml:space="preserve">participating in the </w:t>
      </w:r>
      <w:r w:rsidR="005F7E3D" w:rsidRPr="002B5763">
        <w:rPr>
          <w:rFonts w:eastAsia="Times New Roman" w:cs="Arial"/>
          <w:color w:val="000000"/>
          <w:lang w:eastAsia="en-AU"/>
        </w:rPr>
        <w:t xml:space="preserve">Stakeholder Reference Group </w:t>
      </w:r>
      <w:r w:rsidR="005F7E3D" w:rsidRPr="00413AF3">
        <w:rPr>
          <w:rFonts w:eastAsia="Times New Roman"/>
        </w:rPr>
        <w:t xml:space="preserve">for the Commonwealth DCCEEW-led project to develop national </w:t>
      </w:r>
      <w:r w:rsidR="005F7E3D" w:rsidRPr="00413AF3">
        <w:rPr>
          <w:rFonts w:eastAsia="Times New Roman"/>
          <w:i/>
          <w:iCs/>
        </w:rPr>
        <w:t>Guidelines for Community Engagement and Benefit Sharing for Electricity Transmission Projects</w:t>
      </w:r>
      <w:r>
        <w:rPr>
          <w:rFonts w:eastAsia="Times New Roman"/>
        </w:rPr>
        <w:t>.</w:t>
      </w:r>
    </w:p>
    <w:p w14:paraId="509E9A82" w14:textId="20129857" w:rsidR="005F7E3D" w:rsidRPr="00E81C66" w:rsidRDefault="00D218E5" w:rsidP="005F7E3D">
      <w:pPr>
        <w:pStyle w:val="ListParagraph"/>
        <w:numPr>
          <w:ilvl w:val="0"/>
          <w:numId w:val="19"/>
        </w:numPr>
        <w:rPr>
          <w:rFonts w:eastAsiaTheme="minorHAnsi" w:cs="Arial"/>
          <w:kern w:val="2"/>
          <w14:ligatures w14:val="standardContextual"/>
        </w:rPr>
      </w:pPr>
      <w:r>
        <w:rPr>
          <w:rFonts w:eastAsia="Times New Roman" w:cs="Arial"/>
          <w:color w:val="000000"/>
          <w:lang w:eastAsia="en-AU"/>
        </w:rPr>
        <w:t xml:space="preserve">participating in the </w:t>
      </w:r>
      <w:r w:rsidR="005F7E3D">
        <w:rPr>
          <w:rFonts w:eastAsiaTheme="minorHAnsi" w:cs="Arial"/>
          <w:kern w:val="2"/>
          <w14:ligatures w14:val="standardContextual"/>
        </w:rPr>
        <w:t xml:space="preserve">Collaborators Working Group for the Energy Charter’s </w:t>
      </w:r>
      <w:r w:rsidR="005F7E3D">
        <w:rPr>
          <w:rFonts w:eastAsiaTheme="minorHAnsi" w:cs="Arial"/>
          <w:i/>
          <w:iCs/>
          <w:kern w:val="2"/>
          <w14:ligatures w14:val="standardContextual"/>
        </w:rPr>
        <w:t>Evaluating Undergrounding Transmission</w:t>
      </w:r>
      <w:r w:rsidR="005F7E3D">
        <w:rPr>
          <w:rFonts w:eastAsiaTheme="minorHAnsi" w:cs="Arial"/>
          <w:kern w:val="2"/>
          <w14:ligatures w14:val="standardContextual"/>
        </w:rPr>
        <w:t xml:space="preserve"> project, which aims to bring greater transparency to how the viability of underground and overhead transmission options are evaluated. </w:t>
      </w:r>
    </w:p>
    <w:bookmarkEnd w:id="130"/>
    <w:p w14:paraId="7A2C7B80" w14:textId="77777777" w:rsidR="00ED6B30" w:rsidRDefault="00ED6B30" w:rsidP="00ED6B30">
      <w:pPr>
        <w:spacing w:after="0"/>
        <w:rPr>
          <w:rFonts w:cs="Arial"/>
        </w:rPr>
      </w:pPr>
      <w:r w:rsidRPr="002112DA">
        <w:rPr>
          <w:rFonts w:cs="Arial"/>
        </w:rPr>
        <w:t xml:space="preserve">The Commissioner </w:t>
      </w:r>
      <w:r>
        <w:rPr>
          <w:rFonts w:cs="Arial"/>
        </w:rPr>
        <w:t>also continued to m</w:t>
      </w:r>
      <w:r w:rsidRPr="00DC4DFF">
        <w:rPr>
          <w:rFonts w:cs="Arial"/>
        </w:rPr>
        <w:t>e</w:t>
      </w:r>
      <w:r>
        <w:rPr>
          <w:rFonts w:cs="Arial"/>
        </w:rPr>
        <w:t>e</w:t>
      </w:r>
      <w:r w:rsidRPr="00DC4DFF">
        <w:rPr>
          <w:rFonts w:cs="Arial"/>
        </w:rPr>
        <w:t xml:space="preserve">t with state and federal departments and agencies to discuss </w:t>
      </w:r>
      <w:r w:rsidRPr="00DC4DFF">
        <w:rPr>
          <w:rFonts w:cs="Arial"/>
          <w:bCs/>
          <w:lang w:eastAsia="en-AU"/>
        </w:rPr>
        <w:t>long-term transmission grid planning and the management of cumulative impacts and other community issues across jurisdictions</w:t>
      </w:r>
      <w:r w:rsidRPr="00DC4DFF">
        <w:rPr>
          <w:rFonts w:cs="Arial"/>
        </w:rPr>
        <w:t xml:space="preserve">. </w:t>
      </w:r>
    </w:p>
    <w:p w14:paraId="178AE041" w14:textId="77777777" w:rsidR="00ED6B30" w:rsidRPr="00DC4DFF" w:rsidRDefault="00ED6B30" w:rsidP="00ED6B30">
      <w:pPr>
        <w:spacing w:after="0"/>
        <w:rPr>
          <w:rFonts w:eastAsia="Arial" w:cs="Arial"/>
          <w:color w:val="000000"/>
        </w:rPr>
      </w:pPr>
    </w:p>
    <w:p w14:paraId="45C9CFBE" w14:textId="77777777" w:rsidR="00ED6B30" w:rsidRDefault="00ED6B30" w:rsidP="00ED6B30">
      <w:pPr>
        <w:pStyle w:val="Heading4"/>
      </w:pPr>
      <w:r w:rsidRPr="004C0151">
        <w:t>Next steps</w:t>
      </w:r>
    </w:p>
    <w:p w14:paraId="2C491ED6" w14:textId="1FE5C49C" w:rsidR="00ED6B30" w:rsidRDefault="00ED6B30" w:rsidP="003B0A0E">
      <w:pPr>
        <w:spacing w:after="0"/>
        <w:rPr>
          <w:rFonts w:cs="Arial"/>
        </w:rPr>
      </w:pPr>
      <w:r>
        <w:rPr>
          <w:rFonts w:cs="Arial"/>
        </w:rPr>
        <w:t xml:space="preserve">In 2024, transmission will continue to be a key area of focus for the </w:t>
      </w:r>
      <w:r w:rsidR="00737942">
        <w:rPr>
          <w:rFonts w:cs="Arial"/>
        </w:rPr>
        <w:t>Office</w:t>
      </w:r>
      <w:r>
        <w:rPr>
          <w:rFonts w:cs="Arial"/>
        </w:rPr>
        <w:t xml:space="preserve">. Projects such as HumeLink, Western Renewables Link (WRL), VNI-West, Marinus Link, Project Energy Connect (PEC) and North West Transmission Developments (Tasmania) will have major milestones to complete in 2024. Additionally, governments continue to plan for the energy transition through the identification of Renewable Energy Zones (REZs) and Offshore Wind Areas which will require the development of supporting transmission infrastructure. The </w:t>
      </w:r>
      <w:r w:rsidR="00AB104D">
        <w:rPr>
          <w:rFonts w:cs="Arial"/>
        </w:rPr>
        <w:t xml:space="preserve">Office will continue </w:t>
      </w:r>
      <w:r>
        <w:rPr>
          <w:rFonts w:cs="Arial"/>
        </w:rPr>
        <w:t>to promote best practice and transparency for government and industry throughout the development of these projects.</w:t>
      </w:r>
    </w:p>
    <w:p w14:paraId="3B96E799" w14:textId="77777777" w:rsidR="003B0A0E" w:rsidRPr="003B0A0E" w:rsidRDefault="003B0A0E" w:rsidP="003B0A0E">
      <w:pPr>
        <w:spacing w:after="0"/>
        <w:rPr>
          <w:rFonts w:cs="Arial"/>
        </w:rPr>
      </w:pPr>
    </w:p>
    <w:p w14:paraId="0C30B6FC" w14:textId="77777777" w:rsidR="00ED6B30" w:rsidRPr="003329B0" w:rsidRDefault="00ED6B30" w:rsidP="00ED6B30">
      <w:pPr>
        <w:pStyle w:val="Heading2"/>
        <w:rPr>
          <w:i/>
          <w:iCs/>
        </w:rPr>
      </w:pPr>
      <w:bookmarkStart w:id="131" w:name="_Toc161672814"/>
      <w:bookmarkStart w:id="132" w:name="_Hlk159237969"/>
      <w:r>
        <w:rPr>
          <w:i/>
          <w:iCs/>
        </w:rPr>
        <w:t>Other best practice feedback and formal public s</w:t>
      </w:r>
      <w:r w:rsidRPr="003329B0">
        <w:rPr>
          <w:i/>
          <w:iCs/>
        </w:rPr>
        <w:t>ubmissions</w:t>
      </w:r>
      <w:bookmarkEnd w:id="131"/>
    </w:p>
    <w:bookmarkEnd w:id="132"/>
    <w:p w14:paraId="43E8A0B6" w14:textId="77777777" w:rsidR="00ED6B30" w:rsidRDefault="00ED6B30" w:rsidP="00ED6B30">
      <w:pPr>
        <w:spacing w:line="264" w:lineRule="auto"/>
        <w:rPr>
          <w:rFonts w:cs="Arial"/>
        </w:rPr>
      </w:pPr>
      <w:r>
        <w:rPr>
          <w:rFonts w:cs="Arial"/>
        </w:rPr>
        <w:t xml:space="preserve">As highlighted in the previous </w:t>
      </w:r>
      <w:r>
        <w:rPr>
          <w:rFonts w:cs="Arial"/>
          <w:i/>
          <w:iCs/>
        </w:rPr>
        <w:t xml:space="preserve">Stakeholder </w:t>
      </w:r>
      <w:r w:rsidRPr="004D3557">
        <w:rPr>
          <w:rFonts w:cs="Arial"/>
          <w:i/>
          <w:iCs/>
        </w:rPr>
        <w:t>Engagement</w:t>
      </w:r>
      <w:r>
        <w:rPr>
          <w:rFonts w:cs="Arial"/>
        </w:rPr>
        <w:t xml:space="preserve"> section, t</w:t>
      </w:r>
      <w:r w:rsidRPr="004D3557">
        <w:rPr>
          <w:rFonts w:cs="Arial"/>
        </w:rPr>
        <w:t>hroughout</w:t>
      </w:r>
      <w:r>
        <w:rPr>
          <w:rFonts w:cs="Arial"/>
        </w:rPr>
        <w:t xml:space="preserve"> 2023 the</w:t>
      </w:r>
      <w:r w:rsidRPr="003C06CA">
        <w:rPr>
          <w:rFonts w:cs="Arial"/>
        </w:rPr>
        <w:t xml:space="preserve"> </w:t>
      </w:r>
      <w:r>
        <w:rPr>
          <w:rFonts w:cs="Arial"/>
        </w:rPr>
        <w:t xml:space="preserve">Commissioner and the </w:t>
      </w:r>
      <w:r w:rsidRPr="003C06CA">
        <w:rPr>
          <w:rFonts w:cs="Arial"/>
        </w:rPr>
        <w:t>Office</w:t>
      </w:r>
      <w:r>
        <w:rPr>
          <w:rFonts w:cs="Arial"/>
        </w:rPr>
        <w:t xml:space="preserve"> continue to meet with and seek to provide constructive feedback to a range of state and federal government departments and agencies, and other national energy market bodies. </w:t>
      </w:r>
    </w:p>
    <w:p w14:paraId="4E6A44AD" w14:textId="77777777" w:rsidR="00ED6B30" w:rsidRDefault="00ED6B30" w:rsidP="00ED6B30">
      <w:pPr>
        <w:spacing w:line="264" w:lineRule="auto"/>
        <w:rPr>
          <w:rFonts w:cs="Arial"/>
        </w:rPr>
      </w:pPr>
      <w:r>
        <w:rPr>
          <w:rFonts w:cs="Arial"/>
        </w:rPr>
        <w:t>In 2023, this included:</w:t>
      </w:r>
    </w:p>
    <w:p w14:paraId="5DD98387" w14:textId="77777777" w:rsidR="00ED6B30" w:rsidRDefault="00ED6B30" w:rsidP="00A4794B">
      <w:pPr>
        <w:pStyle w:val="ListParagraph"/>
        <w:numPr>
          <w:ilvl w:val="0"/>
          <w:numId w:val="13"/>
        </w:numPr>
        <w:spacing w:line="264" w:lineRule="auto"/>
        <w:rPr>
          <w:rFonts w:cs="Arial"/>
        </w:rPr>
      </w:pPr>
      <w:r>
        <w:rPr>
          <w:rFonts w:cs="Arial"/>
        </w:rPr>
        <w:t>NSW Government’s draft renewable energy policy framework</w:t>
      </w:r>
    </w:p>
    <w:p w14:paraId="7C97B458" w14:textId="260AFA0F" w:rsidR="00ED6B30" w:rsidRDefault="00ED6B30" w:rsidP="00A4794B">
      <w:pPr>
        <w:pStyle w:val="ListParagraph"/>
        <w:numPr>
          <w:ilvl w:val="0"/>
          <w:numId w:val="13"/>
        </w:numPr>
        <w:spacing w:line="264" w:lineRule="auto"/>
        <w:rPr>
          <w:rFonts w:cs="Arial"/>
        </w:rPr>
      </w:pPr>
      <w:r>
        <w:rPr>
          <w:rFonts w:cs="Arial"/>
        </w:rPr>
        <w:t>Qld Government</w:t>
      </w:r>
      <w:r w:rsidR="00FC0AFD">
        <w:rPr>
          <w:rFonts w:cs="Arial"/>
        </w:rPr>
        <w:t>’s</w:t>
      </w:r>
      <w:r>
        <w:rPr>
          <w:rFonts w:cs="Arial"/>
        </w:rPr>
        <w:t xml:space="preserve"> ongoing review of planning framework</w:t>
      </w:r>
      <w:r w:rsidR="00AB104D">
        <w:rPr>
          <w:rFonts w:cs="Arial"/>
        </w:rPr>
        <w:t>s</w:t>
      </w:r>
      <w:r>
        <w:rPr>
          <w:rFonts w:cs="Arial"/>
        </w:rPr>
        <w:t xml:space="preserve"> for renewable energy</w:t>
      </w:r>
      <w:r w:rsidR="00990804">
        <w:rPr>
          <w:rFonts w:cs="Arial"/>
        </w:rPr>
        <w:t>.</w:t>
      </w:r>
    </w:p>
    <w:p w14:paraId="56D50AF1" w14:textId="5373B33F" w:rsidR="00ED6B30" w:rsidRPr="00431427" w:rsidRDefault="00907760" w:rsidP="00ED6B30">
      <w:pPr>
        <w:spacing w:line="264" w:lineRule="auto"/>
        <w:rPr>
          <w:rStyle w:val="gmail-s1"/>
          <w:rFonts w:eastAsia="Arial"/>
          <w:color w:val="000000"/>
          <w:szCs w:val="20"/>
        </w:rPr>
      </w:pPr>
      <w:r>
        <w:rPr>
          <w:rFonts w:cs="Arial"/>
        </w:rPr>
        <w:t>Other than those already noted above under specific asset types, t</w:t>
      </w:r>
      <w:r w:rsidR="00ED6B30">
        <w:rPr>
          <w:rFonts w:cs="Arial"/>
        </w:rPr>
        <w:t>he Commissioner did not make any other formal public submissions in 2023.</w:t>
      </w:r>
    </w:p>
    <w:p w14:paraId="4611A5AE" w14:textId="77777777" w:rsidR="00ED6B30" w:rsidRPr="003329B0" w:rsidRDefault="00ED6B30" w:rsidP="00ED6B30">
      <w:pPr>
        <w:pStyle w:val="Heading2"/>
        <w:rPr>
          <w:i/>
          <w:iCs/>
        </w:rPr>
      </w:pPr>
      <w:bookmarkStart w:id="133" w:name="_Toc161672815"/>
      <w:r>
        <w:rPr>
          <w:i/>
          <w:iCs/>
        </w:rPr>
        <w:t>Focus areas and next steps for 2024</w:t>
      </w:r>
      <w:bookmarkEnd w:id="133"/>
    </w:p>
    <w:p w14:paraId="2E0DCDCB" w14:textId="5E98DDB8" w:rsidR="00ED6B30" w:rsidRDefault="00ED6B30" w:rsidP="00ED6B30">
      <w:r>
        <w:t xml:space="preserve">The release on 2 February 2024 of the </w:t>
      </w:r>
      <w:r>
        <w:rPr>
          <w:i/>
          <w:iCs/>
        </w:rPr>
        <w:t xml:space="preserve">Community Engagement Review </w:t>
      </w:r>
      <w:r>
        <w:t xml:space="preserve">report was an important milestone for both the completion of that review and the beginning of ongoing stakeholder engagement on the challenges and potential changes it highlighted. Where appropriate, the Office will contribute to the ongoing work of relevant jurisdictions, industry and community stakeholders on unpacking </w:t>
      </w:r>
      <w:r w:rsidR="00810F0D">
        <w:t>the</w:t>
      </w:r>
      <w:r>
        <w:t xml:space="preserve"> implications and implementation of the review.</w:t>
      </w:r>
    </w:p>
    <w:p w14:paraId="12685A50" w14:textId="77777777" w:rsidR="00810F0D" w:rsidRDefault="00810F0D">
      <w:r>
        <w:br w:type="page"/>
      </w:r>
    </w:p>
    <w:p w14:paraId="629CA675" w14:textId="627089EE" w:rsidR="00ED6B30" w:rsidRDefault="00ED6B30" w:rsidP="00ED6B30">
      <w:pPr>
        <w:rPr>
          <w:rFonts w:cs="Arial"/>
        </w:rPr>
      </w:pPr>
      <w:r>
        <w:lastRenderedPageBreak/>
        <w:t xml:space="preserve">Alongside those asset-specific transparency and best practice initiatives noted above, </w:t>
      </w:r>
      <w:r>
        <w:rPr>
          <w:rFonts w:cs="Arial"/>
        </w:rPr>
        <w:t>other anticipated key focus areas in 2024 for the transparency and best practice workstreams include:</w:t>
      </w:r>
    </w:p>
    <w:p w14:paraId="2EAABBCF" w14:textId="38B3A8E3" w:rsidR="00ED6B30" w:rsidRDefault="00A62697" w:rsidP="00A4794B">
      <w:pPr>
        <w:pStyle w:val="ListParagraph"/>
        <w:numPr>
          <w:ilvl w:val="0"/>
          <w:numId w:val="18"/>
        </w:numPr>
        <w:spacing w:after="160" w:line="259" w:lineRule="auto"/>
        <w:contextualSpacing/>
        <w:rPr>
          <w:rFonts w:cs="Arial"/>
        </w:rPr>
      </w:pPr>
      <w:r>
        <w:rPr>
          <w:rFonts w:cs="Arial"/>
        </w:rPr>
        <w:t>e</w:t>
      </w:r>
      <w:r w:rsidR="00ED6B30" w:rsidRPr="00E54D56">
        <w:rPr>
          <w:rFonts w:cs="Arial"/>
        </w:rPr>
        <w:t>xploring emerging cross-sector practices for maximising local coordination and economic opportunities in regions potentially hosting multiple new energy infrastructure projects</w:t>
      </w:r>
      <w:r>
        <w:rPr>
          <w:rFonts w:cs="Arial"/>
        </w:rPr>
        <w:t>.</w:t>
      </w:r>
    </w:p>
    <w:p w14:paraId="07748232" w14:textId="77777777" w:rsidR="00A62697" w:rsidRPr="00E54D56" w:rsidRDefault="00A62697" w:rsidP="00A62697">
      <w:pPr>
        <w:pStyle w:val="ListParagraph"/>
        <w:numPr>
          <w:ilvl w:val="0"/>
          <w:numId w:val="0"/>
        </w:numPr>
        <w:spacing w:after="160" w:line="259" w:lineRule="auto"/>
        <w:ind w:left="720"/>
        <w:contextualSpacing/>
        <w:rPr>
          <w:rFonts w:cs="Arial"/>
        </w:rPr>
      </w:pPr>
    </w:p>
    <w:p w14:paraId="66F3BDDA" w14:textId="5F62CE1A" w:rsidR="00ED6B30" w:rsidRDefault="00A62697" w:rsidP="00A4794B">
      <w:pPr>
        <w:pStyle w:val="ListParagraph"/>
        <w:numPr>
          <w:ilvl w:val="0"/>
          <w:numId w:val="18"/>
        </w:numPr>
        <w:spacing w:after="160" w:line="259" w:lineRule="auto"/>
        <w:contextualSpacing/>
        <w:rPr>
          <w:rFonts w:cs="Arial"/>
        </w:rPr>
      </w:pPr>
      <w:r>
        <w:rPr>
          <w:rFonts w:cs="Arial"/>
        </w:rPr>
        <w:t>t</w:t>
      </w:r>
      <w:r w:rsidR="00ED6B30" w:rsidRPr="00E54D56">
        <w:rPr>
          <w:rFonts w:cs="Arial"/>
        </w:rPr>
        <w:t xml:space="preserve">argeting enduring information gaps and/or other mutual misunderstandings that lead to community frustration about the ongoing </w:t>
      </w:r>
      <w:r w:rsidR="00ED6B30">
        <w:rPr>
          <w:rFonts w:cs="Arial"/>
        </w:rPr>
        <w:t xml:space="preserve">roles, responsibilities and </w:t>
      </w:r>
      <w:r w:rsidR="00ED6B30" w:rsidRPr="00E54D56">
        <w:rPr>
          <w:rFonts w:cs="Arial"/>
        </w:rPr>
        <w:t xml:space="preserve">oversight of the </w:t>
      </w:r>
      <w:r w:rsidR="00ED6B30">
        <w:rPr>
          <w:rFonts w:cs="Arial"/>
        </w:rPr>
        <w:t>large-scale renewable energy s</w:t>
      </w:r>
      <w:r w:rsidR="00ED6B30" w:rsidRPr="00E54D56">
        <w:rPr>
          <w:rFonts w:cs="Arial"/>
        </w:rPr>
        <w:t>ector</w:t>
      </w:r>
      <w:r>
        <w:rPr>
          <w:rFonts w:cs="Arial"/>
        </w:rPr>
        <w:t>.</w:t>
      </w:r>
    </w:p>
    <w:p w14:paraId="4BAE55D7" w14:textId="77777777" w:rsidR="00A62697" w:rsidRPr="00A62697" w:rsidRDefault="00A62697" w:rsidP="00A62697">
      <w:pPr>
        <w:pStyle w:val="ListParagraph"/>
        <w:numPr>
          <w:ilvl w:val="0"/>
          <w:numId w:val="0"/>
        </w:numPr>
        <w:spacing w:after="160" w:line="259" w:lineRule="auto"/>
        <w:ind w:left="720"/>
        <w:contextualSpacing/>
        <w:rPr>
          <w:rFonts w:cs="Arial"/>
        </w:rPr>
      </w:pPr>
    </w:p>
    <w:p w14:paraId="2FC7433E" w14:textId="1B5F1F10" w:rsidR="00ED6B30" w:rsidRPr="00E54D56" w:rsidRDefault="00A62697" w:rsidP="00A4794B">
      <w:pPr>
        <w:pStyle w:val="ListParagraph"/>
        <w:numPr>
          <w:ilvl w:val="0"/>
          <w:numId w:val="18"/>
        </w:numPr>
        <w:spacing w:after="160" w:line="259" w:lineRule="auto"/>
        <w:contextualSpacing/>
        <w:rPr>
          <w:rFonts w:cs="Arial"/>
        </w:rPr>
      </w:pPr>
      <w:r>
        <w:rPr>
          <w:rFonts w:cs="Arial"/>
        </w:rPr>
        <w:t>f</w:t>
      </w:r>
      <w:r w:rsidR="00ED6B30" w:rsidRPr="00E54D56">
        <w:rPr>
          <w:rFonts w:cs="Arial"/>
        </w:rPr>
        <w:t>urther strengthening key proponent processes and practices by, for example, contributing to the collaborative development of issue-specific information and/or best practice resources.</w:t>
      </w:r>
    </w:p>
    <w:p w14:paraId="0A6B5C59" w14:textId="37D22E60" w:rsidR="00ED6B30" w:rsidRDefault="00ED6B30" w:rsidP="00ED6B30">
      <w:pPr>
        <w:rPr>
          <w:rFonts w:cs="Arial"/>
        </w:rPr>
      </w:pPr>
      <w:r w:rsidRPr="00E54D56">
        <w:t xml:space="preserve">These potential focus areas have </w:t>
      </w:r>
      <w:r w:rsidRPr="00E54D56">
        <w:rPr>
          <w:rFonts w:cs="Arial"/>
        </w:rPr>
        <w:t>emerged</w:t>
      </w:r>
      <w:r>
        <w:rPr>
          <w:rFonts w:cs="Arial"/>
        </w:rPr>
        <w:t xml:space="preserve"> from ongoing reflections from the </w:t>
      </w:r>
      <w:r>
        <w:rPr>
          <w:rFonts w:cs="Arial"/>
          <w:i/>
          <w:iCs/>
        </w:rPr>
        <w:t>Community Engagement Review</w:t>
      </w:r>
      <w:r w:rsidR="00370451">
        <w:rPr>
          <w:rFonts w:cs="Arial"/>
        </w:rPr>
        <w:t xml:space="preserve">, </w:t>
      </w:r>
      <w:r>
        <w:rPr>
          <w:rFonts w:cs="Arial"/>
        </w:rPr>
        <w:t xml:space="preserve">complaint handling and </w:t>
      </w:r>
      <w:r w:rsidR="00370451">
        <w:rPr>
          <w:rFonts w:cs="Arial"/>
        </w:rPr>
        <w:t xml:space="preserve">other </w:t>
      </w:r>
      <w:r>
        <w:rPr>
          <w:rFonts w:cs="Arial"/>
        </w:rPr>
        <w:t>stakeholder engagement of the Office and it is anticipated that they will evolve across the year.</w:t>
      </w:r>
    </w:p>
    <w:p w14:paraId="3DBEE6AB" w14:textId="77777777" w:rsidR="00BC4C22" w:rsidRDefault="00BC4C22" w:rsidP="00B14CA8">
      <w:pPr>
        <w:rPr>
          <w:rFonts w:cs="Arial"/>
          <w:lang w:eastAsia="en-AU"/>
        </w:rPr>
        <w:sectPr w:rsidR="00BC4C22" w:rsidSect="00D801AB">
          <w:headerReference w:type="even" r:id="rId81"/>
          <w:headerReference w:type="default" r:id="rId82"/>
          <w:footerReference w:type="default" r:id="rId83"/>
          <w:headerReference w:type="first" r:id="rId84"/>
          <w:pgSz w:w="11906" w:h="16838" w:code="9"/>
          <w:pgMar w:top="720" w:right="720" w:bottom="720" w:left="720" w:header="425" w:footer="425" w:gutter="0"/>
          <w:cols w:space="708"/>
          <w:docGrid w:linePitch="360"/>
        </w:sectPr>
      </w:pPr>
    </w:p>
    <w:p w14:paraId="4F947F40" w14:textId="07A11E3B" w:rsidR="00BC4C22" w:rsidRPr="00BA55B1" w:rsidRDefault="00BC4C22" w:rsidP="00BC4C22">
      <w:pPr>
        <w:pStyle w:val="Heading1"/>
      </w:pPr>
      <w:bookmarkStart w:id="134" w:name="_Toc100168893"/>
      <w:bookmarkStart w:id="135" w:name="_Toc161672816"/>
      <w:r w:rsidRPr="00BA55B1">
        <w:lastRenderedPageBreak/>
        <w:t xml:space="preserve">Appendix </w:t>
      </w:r>
      <w:r w:rsidR="009E6D27">
        <w:t>A</w:t>
      </w:r>
      <w:r w:rsidRPr="00BA55B1">
        <w:t xml:space="preserve"> – TERMS OF REFERENCE 2021-25</w:t>
      </w:r>
      <w:bookmarkEnd w:id="134"/>
      <w:bookmarkEnd w:id="135"/>
    </w:p>
    <w:p w14:paraId="0EE29331" w14:textId="77777777" w:rsidR="00BC4C22" w:rsidRPr="000A7EAA" w:rsidRDefault="00BC4C22" w:rsidP="000A7EAA">
      <w:pPr>
        <w:rPr>
          <w:b/>
          <w:bCs/>
          <w:lang w:val="en" w:eastAsia="en-AU"/>
        </w:rPr>
      </w:pPr>
      <w:bookmarkStart w:id="136" w:name="_Toc131502790"/>
      <w:bookmarkStart w:id="137" w:name="_Toc131505228"/>
      <w:bookmarkStart w:id="138" w:name="_Toc131505392"/>
      <w:bookmarkStart w:id="139" w:name="_Toc132641522"/>
      <w:bookmarkStart w:id="140" w:name="_Toc135390668"/>
      <w:bookmarkStart w:id="141" w:name="_Toc161226123"/>
      <w:r w:rsidRPr="000A7EAA">
        <w:rPr>
          <w:b/>
          <w:bCs/>
        </w:rPr>
        <w:t xml:space="preserve">Australian Energy Infrastructure Commissioner </w:t>
      </w:r>
      <w:r w:rsidRPr="000A7EAA">
        <w:rPr>
          <w:b/>
          <w:bCs/>
          <w:lang w:val="en" w:eastAsia="en-AU"/>
        </w:rPr>
        <w:t>Terms of Reference 2021-25</w:t>
      </w:r>
      <w:bookmarkEnd w:id="136"/>
      <w:bookmarkEnd w:id="137"/>
      <w:bookmarkEnd w:id="138"/>
      <w:bookmarkEnd w:id="139"/>
      <w:bookmarkEnd w:id="140"/>
      <w:bookmarkEnd w:id="141"/>
    </w:p>
    <w:p w14:paraId="6E2F0B3D" w14:textId="77777777" w:rsidR="00A10FEE" w:rsidRPr="00A10FEE" w:rsidRDefault="00A10FEE" w:rsidP="00A10FEE">
      <w:pPr>
        <w:pStyle w:val="NormalWeb"/>
        <w:spacing w:before="168" w:after="168"/>
        <w:rPr>
          <w:rFonts w:ascii="Arial" w:eastAsia="Times New Roman" w:hAnsi="Arial" w:cs="Arial"/>
          <w:sz w:val="22"/>
          <w:szCs w:val="22"/>
          <w:lang w:eastAsia="en-US"/>
        </w:rPr>
      </w:pPr>
      <w:bookmarkStart w:id="142" w:name="_Toc100168894"/>
      <w:r w:rsidRPr="00A10FEE">
        <w:rPr>
          <w:rFonts w:ascii="Arial" w:eastAsia="Times New Roman" w:hAnsi="Arial" w:cs="Arial"/>
          <w:sz w:val="22"/>
          <w:szCs w:val="22"/>
          <w:lang w:eastAsia="en-US"/>
        </w:rPr>
        <w:t>The role of the Australian Energy Infrastructure Commissioner was announced by the Australian Government on 26 March 2021 expanding and replacing the role of the existing National Wind Farm Commissioner.</w:t>
      </w:r>
    </w:p>
    <w:p w14:paraId="1DCF1787" w14:textId="77777777" w:rsidR="00A10FEE" w:rsidRPr="00A10FEE" w:rsidRDefault="00A10FEE" w:rsidP="00A10FEE">
      <w:pPr>
        <w:pStyle w:val="NormalWeb"/>
        <w:spacing w:before="168" w:after="168"/>
        <w:rPr>
          <w:rFonts w:ascii="Arial" w:eastAsia="Times New Roman" w:hAnsi="Arial" w:cs="Arial"/>
          <w:sz w:val="22"/>
          <w:szCs w:val="22"/>
          <w:lang w:eastAsia="en-US"/>
        </w:rPr>
      </w:pPr>
      <w:r w:rsidRPr="00A10FEE">
        <w:rPr>
          <w:rFonts w:ascii="Arial" w:eastAsia="Times New Roman" w:hAnsi="Arial" w:cs="Arial"/>
          <w:sz w:val="22"/>
          <w:szCs w:val="22"/>
          <w:lang w:eastAsia="en-US"/>
        </w:rPr>
        <w:t xml:space="preserve">The Commissioner will work collaboratively with all levels of government, scientists, experts, industry and the community to resolve complaints from community members about proposed and operational wind farms, large scale solar farms (5 MW or more), energy storage facilities, such as pumped hydro and </w:t>
      </w:r>
      <w:proofErr w:type="gramStart"/>
      <w:r w:rsidRPr="00A10FEE">
        <w:rPr>
          <w:rFonts w:ascii="Arial" w:eastAsia="Times New Roman" w:hAnsi="Arial" w:cs="Arial"/>
          <w:sz w:val="22"/>
          <w:szCs w:val="22"/>
          <w:lang w:eastAsia="en-US"/>
        </w:rPr>
        <w:t>large scale</w:t>
      </w:r>
      <w:proofErr w:type="gramEnd"/>
      <w:r w:rsidRPr="00A10FEE">
        <w:rPr>
          <w:rFonts w:ascii="Arial" w:eastAsia="Times New Roman" w:hAnsi="Arial" w:cs="Arial"/>
          <w:sz w:val="22"/>
          <w:szCs w:val="22"/>
          <w:lang w:eastAsia="en-US"/>
        </w:rPr>
        <w:t xml:space="preserve"> batteries (1 MW or more) and new major transmission projects.</w:t>
      </w:r>
    </w:p>
    <w:p w14:paraId="2CC64CF8" w14:textId="77777777" w:rsidR="00A10FEE" w:rsidRPr="00A10FEE" w:rsidRDefault="00A10FEE" w:rsidP="00A10FEE">
      <w:pPr>
        <w:pStyle w:val="NormalWeb"/>
        <w:spacing w:before="168" w:after="168"/>
        <w:rPr>
          <w:rFonts w:ascii="Arial" w:eastAsia="Times New Roman" w:hAnsi="Arial" w:cs="Arial"/>
          <w:sz w:val="22"/>
          <w:szCs w:val="22"/>
          <w:lang w:eastAsia="en-US"/>
        </w:rPr>
      </w:pPr>
      <w:r w:rsidRPr="00A10FEE">
        <w:rPr>
          <w:rFonts w:ascii="Arial" w:eastAsia="Times New Roman" w:hAnsi="Arial" w:cs="Arial"/>
          <w:sz w:val="22"/>
          <w:szCs w:val="22"/>
          <w:lang w:eastAsia="en-US"/>
        </w:rPr>
        <w:t>The Commissioner will refer complaints about wind farms, large scale solar farms, storage facilities and new major transmission projects to the relevant respondent or authority and help ensure they are properly addressed.</w:t>
      </w:r>
    </w:p>
    <w:p w14:paraId="4E837F0A" w14:textId="77777777" w:rsidR="00A10FEE" w:rsidRPr="00A10FEE" w:rsidRDefault="00A10FEE" w:rsidP="00A10FEE">
      <w:pPr>
        <w:pStyle w:val="NormalWeb"/>
        <w:spacing w:before="168" w:after="168"/>
        <w:rPr>
          <w:rFonts w:ascii="Arial" w:eastAsia="Times New Roman" w:hAnsi="Arial" w:cs="Arial"/>
          <w:sz w:val="22"/>
          <w:szCs w:val="22"/>
          <w:lang w:eastAsia="en-US"/>
        </w:rPr>
      </w:pPr>
      <w:r w:rsidRPr="00A10FEE">
        <w:rPr>
          <w:rFonts w:ascii="Arial" w:eastAsia="Times New Roman" w:hAnsi="Arial" w:cs="Arial"/>
          <w:sz w:val="22"/>
          <w:szCs w:val="22"/>
          <w:lang w:eastAsia="en-US"/>
        </w:rPr>
        <w:t xml:space="preserve">The Commissioner will lead efforts to promote best practices, information availability, and provide a central, trusted source for dissemination of information.  </w:t>
      </w:r>
    </w:p>
    <w:p w14:paraId="0BD1FC87" w14:textId="77777777" w:rsidR="00A10FEE" w:rsidRPr="00A10FEE" w:rsidRDefault="00A10FEE" w:rsidP="00A10FEE">
      <w:pPr>
        <w:pStyle w:val="NormalWeb"/>
        <w:spacing w:before="168" w:after="168"/>
        <w:rPr>
          <w:rFonts w:ascii="Arial" w:eastAsia="Times New Roman" w:hAnsi="Arial" w:cs="Arial"/>
          <w:sz w:val="22"/>
          <w:szCs w:val="22"/>
          <w:lang w:eastAsia="en-US"/>
        </w:rPr>
      </w:pPr>
      <w:r w:rsidRPr="00A10FEE">
        <w:rPr>
          <w:rFonts w:ascii="Arial" w:eastAsia="Times New Roman" w:hAnsi="Arial" w:cs="Arial"/>
          <w:sz w:val="22"/>
          <w:szCs w:val="22"/>
          <w:lang w:eastAsia="en-US"/>
        </w:rPr>
        <w:t>The Commissioner, supported by the Australian Government Department of Climate Change, Energy, the Environment and Water, will report to the Minister for Climate Change and Energy and provide an Annual Report to the Australian Parliament on delivering against these Terms of Reference. The Commissioner may also, by agreement with the Minister, lead reviews relevant to the Commissioner's role and expertise.</w:t>
      </w:r>
    </w:p>
    <w:p w14:paraId="11D18A42" w14:textId="77777777" w:rsidR="00A10FEE" w:rsidRPr="00A10FEE" w:rsidRDefault="00A10FEE" w:rsidP="00A10FEE">
      <w:pPr>
        <w:pStyle w:val="NormalWeb"/>
        <w:spacing w:before="168" w:after="168"/>
        <w:rPr>
          <w:rFonts w:ascii="Arial" w:eastAsia="Times New Roman" w:hAnsi="Arial" w:cs="Arial"/>
          <w:sz w:val="22"/>
          <w:szCs w:val="22"/>
          <w:lang w:eastAsia="en-US"/>
        </w:rPr>
      </w:pPr>
      <w:r w:rsidRPr="00A10FEE">
        <w:rPr>
          <w:rFonts w:ascii="Arial" w:eastAsia="Times New Roman" w:hAnsi="Arial" w:cs="Arial"/>
          <w:sz w:val="22"/>
          <w:szCs w:val="22"/>
          <w:lang w:eastAsia="en-US"/>
        </w:rPr>
        <w:t>The Commissioner’s role will not duplicate or override the important statutory responsibilities of other jurisdictions, such as those relating to the planning and approval of wind farms, large scale solar farms, storage facilities and new major transmission projects.</w:t>
      </w:r>
    </w:p>
    <w:p w14:paraId="18218951" w14:textId="2EB1B6D5" w:rsidR="00BC4C22" w:rsidRDefault="00A10FEE" w:rsidP="00A10FEE">
      <w:pPr>
        <w:pStyle w:val="NormalWeb"/>
        <w:spacing w:before="168" w:beforeAutospacing="0" w:after="168" w:afterAutospacing="0"/>
        <w:rPr>
          <w:rFonts w:ascii="Arial" w:eastAsia="Times New Roman" w:hAnsi="Arial" w:cs="Arial"/>
          <w:sz w:val="22"/>
          <w:szCs w:val="22"/>
          <w:lang w:eastAsia="en-US"/>
        </w:rPr>
      </w:pPr>
      <w:r w:rsidRPr="00A10FEE">
        <w:rPr>
          <w:rFonts w:ascii="Arial" w:eastAsia="Times New Roman" w:hAnsi="Arial" w:cs="Arial"/>
          <w:sz w:val="22"/>
          <w:szCs w:val="22"/>
          <w:lang w:eastAsia="en-US"/>
        </w:rPr>
        <w:t>The role of the Commissioner has been extended until 31 October 2025. The role will be re-evaluated by the Australian Government prior to that date.</w:t>
      </w:r>
    </w:p>
    <w:p w14:paraId="433552C7" w14:textId="77777777" w:rsidR="00A10FEE" w:rsidRDefault="00A10FEE" w:rsidP="00A10FEE">
      <w:pPr>
        <w:pStyle w:val="NormalWeb"/>
        <w:spacing w:before="168" w:beforeAutospacing="0" w:after="168" w:afterAutospacing="0"/>
        <w:rPr>
          <w:rFonts w:ascii="Arial" w:eastAsia="Times New Roman" w:hAnsi="Arial" w:cs="Arial"/>
          <w:sz w:val="22"/>
          <w:szCs w:val="22"/>
          <w:lang w:eastAsia="en-US"/>
        </w:rPr>
      </w:pPr>
    </w:p>
    <w:p w14:paraId="2192B03B" w14:textId="77777777" w:rsidR="00A10FEE" w:rsidRDefault="00A10FEE" w:rsidP="00A10FEE">
      <w:pPr>
        <w:pStyle w:val="NormalWeb"/>
        <w:spacing w:before="168" w:beforeAutospacing="0" w:after="168" w:afterAutospacing="0"/>
        <w:rPr>
          <w:rFonts w:ascii="Arial" w:hAnsi="Arial" w:cs="Arial"/>
          <w:i/>
          <w:iCs/>
          <w:color w:val="000000"/>
          <w:sz w:val="22"/>
          <w:szCs w:val="20"/>
        </w:rPr>
      </w:pPr>
    </w:p>
    <w:p w14:paraId="599DB633" w14:textId="77777777" w:rsidR="00BC4C22" w:rsidRPr="00064D3A" w:rsidRDefault="00BC4C22" w:rsidP="00BC4C22">
      <w:pPr>
        <w:pStyle w:val="NormalWeb"/>
        <w:spacing w:before="168" w:beforeAutospacing="0" w:after="168" w:afterAutospacing="0"/>
        <w:rPr>
          <w:rFonts w:ascii="Arial" w:hAnsi="Arial" w:cs="Arial"/>
          <w:i/>
          <w:iCs/>
          <w:color w:val="000000"/>
          <w:sz w:val="22"/>
          <w:szCs w:val="20"/>
        </w:rPr>
      </w:pPr>
      <w:r>
        <w:rPr>
          <w:rFonts w:ascii="Arial" w:hAnsi="Arial" w:cs="Arial"/>
          <w:i/>
          <w:iCs/>
          <w:color w:val="000000"/>
          <w:sz w:val="22"/>
          <w:szCs w:val="20"/>
        </w:rPr>
        <w:t>As updated 10 October 2023 to reflect machinery of government and other changes.</w:t>
      </w:r>
    </w:p>
    <w:p w14:paraId="1263B133" w14:textId="77777777" w:rsidR="00BC4C22" w:rsidRDefault="00BC4C22" w:rsidP="00BC4C22">
      <w:pPr>
        <w:pStyle w:val="NormalWeb"/>
        <w:spacing w:before="168" w:beforeAutospacing="0" w:after="168" w:afterAutospacing="0"/>
        <w:rPr>
          <w:rFonts w:ascii="Arial" w:hAnsi="Arial" w:cs="Arial"/>
          <w:color w:val="000000"/>
          <w:sz w:val="22"/>
          <w:szCs w:val="20"/>
        </w:rPr>
      </w:pPr>
    </w:p>
    <w:p w14:paraId="1591AFDF" w14:textId="77777777" w:rsidR="00BC4C22" w:rsidRDefault="00BC4C22" w:rsidP="00BC4C22">
      <w:pPr>
        <w:pStyle w:val="NormalWeb"/>
        <w:spacing w:before="168" w:beforeAutospacing="0" w:after="168" w:afterAutospacing="0"/>
        <w:rPr>
          <w:rFonts w:ascii="Arial" w:hAnsi="Arial" w:cs="Arial"/>
          <w:color w:val="000000"/>
          <w:sz w:val="22"/>
          <w:szCs w:val="20"/>
        </w:rPr>
        <w:sectPr w:rsidR="00BC4C22" w:rsidSect="00F55004">
          <w:headerReference w:type="even" r:id="rId85"/>
          <w:headerReference w:type="default" r:id="rId86"/>
          <w:footerReference w:type="even" r:id="rId87"/>
          <w:footerReference w:type="default" r:id="rId88"/>
          <w:headerReference w:type="first" r:id="rId89"/>
          <w:footerReference w:type="first" r:id="rId90"/>
          <w:pgSz w:w="11906" w:h="16838" w:code="9"/>
          <w:pgMar w:top="720" w:right="720" w:bottom="720" w:left="720" w:header="425" w:footer="425" w:gutter="0"/>
          <w:cols w:space="708"/>
          <w:titlePg/>
          <w:docGrid w:linePitch="360"/>
        </w:sectPr>
      </w:pPr>
    </w:p>
    <w:p w14:paraId="5F267DE6" w14:textId="2B06D78D" w:rsidR="009E6D27" w:rsidRPr="00151C09" w:rsidRDefault="009E6D27" w:rsidP="00C569E8">
      <w:pPr>
        <w:pStyle w:val="Heading1"/>
      </w:pPr>
      <w:bookmarkStart w:id="143" w:name="_Toc161672817"/>
      <w:bookmarkEnd w:id="142"/>
      <w:r w:rsidRPr="00D35509">
        <w:lastRenderedPageBreak/>
        <w:t xml:space="preserve">APPENDIX </w:t>
      </w:r>
      <w:r>
        <w:t>B</w:t>
      </w:r>
      <w:r w:rsidRPr="00D35509">
        <w:t xml:space="preserve"> –</w:t>
      </w:r>
      <w:r>
        <w:t xml:space="preserve"> Exce</w:t>
      </w:r>
      <w:r w:rsidR="00CF6BD3">
        <w:t>r</w:t>
      </w:r>
      <w:r>
        <w:t xml:space="preserve">pts from the </w:t>
      </w:r>
      <w:r w:rsidRPr="00C569E8">
        <w:rPr>
          <w:i/>
          <w:iCs/>
        </w:rPr>
        <w:t>Community Engagement</w:t>
      </w:r>
      <w:r>
        <w:rPr>
          <w:i/>
        </w:rPr>
        <w:t xml:space="preserve"> </w:t>
      </w:r>
      <w:r w:rsidR="00E361F7">
        <w:rPr>
          <w:i/>
          <w:iCs/>
        </w:rPr>
        <w:t>REVIEW</w:t>
      </w:r>
      <w:r w:rsidRPr="00151C09">
        <w:t xml:space="preserve"> </w:t>
      </w:r>
      <w:r>
        <w:t>(2023)</w:t>
      </w:r>
      <w:bookmarkEnd w:id="143"/>
    </w:p>
    <w:p w14:paraId="3806E3DF" w14:textId="77777777" w:rsidR="009E6D27" w:rsidRDefault="009E6D27" w:rsidP="009E6D27">
      <w:pPr>
        <w:spacing w:after="0" w:line="336" w:lineRule="auto"/>
        <w:rPr>
          <w:rFonts w:cs="Arial"/>
        </w:rPr>
      </w:pPr>
    </w:p>
    <w:p w14:paraId="7B60C18B" w14:textId="21B94173" w:rsidR="009E6D27" w:rsidRDefault="009E6D27" w:rsidP="009E6D27">
      <w:pPr>
        <w:spacing w:after="0" w:line="336" w:lineRule="auto"/>
        <w:rPr>
          <w:rFonts w:cs="Arial"/>
          <w:i/>
          <w:iCs/>
        </w:rPr>
      </w:pPr>
      <w:r>
        <w:rPr>
          <w:rFonts w:cs="Arial"/>
          <w:i/>
          <w:iCs/>
        </w:rPr>
        <w:t>Theme 1: Developer performance and selection</w:t>
      </w:r>
    </w:p>
    <w:p w14:paraId="0E68EEED" w14:textId="5B4B7499" w:rsidR="009E6D27" w:rsidRPr="009E6D27" w:rsidRDefault="00A32583" w:rsidP="009E6D27">
      <w:pPr>
        <w:spacing w:after="0" w:line="336" w:lineRule="auto"/>
        <w:rPr>
          <w:rFonts w:cs="Arial"/>
        </w:rPr>
      </w:pPr>
      <w:r w:rsidRPr="00A32583">
        <w:rPr>
          <w:rFonts w:cs="Arial"/>
          <w:b/>
          <w:bCs/>
          <w:noProof/>
        </w:rPr>
        <mc:AlternateContent>
          <mc:Choice Requires="wps">
            <w:drawing>
              <wp:anchor distT="45720" distB="45720" distL="114300" distR="114300" simplePos="0" relativeHeight="251658244" behindDoc="0" locked="0" layoutInCell="1" allowOverlap="1" wp14:anchorId="78E46597" wp14:editId="4F329422">
                <wp:simplePos x="0" y="0"/>
                <wp:positionH relativeFrom="margin">
                  <wp:align>left</wp:align>
                </wp:positionH>
                <wp:positionV relativeFrom="paragraph">
                  <wp:posOffset>534035</wp:posOffset>
                </wp:positionV>
                <wp:extent cx="6522720" cy="142303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423284"/>
                        </a:xfrm>
                        <a:prstGeom prst="rect">
                          <a:avLst/>
                        </a:prstGeom>
                        <a:solidFill>
                          <a:srgbClr val="FFFFFF"/>
                        </a:solidFill>
                        <a:ln w="9525">
                          <a:solidFill>
                            <a:srgbClr val="000000"/>
                          </a:solidFill>
                          <a:miter lim="800000"/>
                          <a:headEnd/>
                          <a:tailEnd/>
                        </a:ln>
                      </wps:spPr>
                      <wps:txbx>
                        <w:txbxContent>
                          <w:p w14:paraId="2D72D2C1" w14:textId="77777777" w:rsidR="00A32583" w:rsidRPr="009E6D27" w:rsidRDefault="00A32583" w:rsidP="00A32583">
                            <w:pPr>
                              <w:spacing w:after="0" w:line="336" w:lineRule="auto"/>
                              <w:rPr>
                                <w:rFonts w:cs="Arial"/>
                              </w:rPr>
                            </w:pPr>
                            <w:r w:rsidRPr="009E6D27">
                              <w:rPr>
                                <w:rFonts w:cs="Arial"/>
                                <w:b/>
                                <w:bCs/>
                              </w:rPr>
                              <w:t>Recommendation 1.</w:t>
                            </w:r>
                            <w:r w:rsidRPr="009E6D27">
                              <w:rPr>
                                <w:rFonts w:cs="Arial"/>
                              </w:rPr>
                              <w:t xml:space="preserve"> The Minister to initiate a process to appoint an independent body to design, develop, implement and operate a developer rating scheme.</w:t>
                            </w:r>
                          </w:p>
                          <w:p w14:paraId="290C004B" w14:textId="77777777" w:rsidR="00A32583" w:rsidRPr="00151C09" w:rsidRDefault="00A32583" w:rsidP="00A32583">
                            <w:pPr>
                              <w:spacing w:after="0" w:line="336" w:lineRule="auto"/>
                              <w:rPr>
                                <w:rFonts w:cs="Arial"/>
                              </w:rPr>
                            </w:pPr>
                          </w:p>
                          <w:p w14:paraId="4C741057" w14:textId="77777777" w:rsidR="00A32583" w:rsidRDefault="00A32583" w:rsidP="00A32583">
                            <w:pPr>
                              <w:spacing w:after="0" w:line="336" w:lineRule="auto"/>
                              <w:rPr>
                                <w:rFonts w:cs="Arial"/>
                              </w:rPr>
                            </w:pPr>
                            <w:r w:rsidRPr="00151C09">
                              <w:rPr>
                                <w:rFonts w:cs="Arial"/>
                                <w:b/>
                                <w:bCs/>
                              </w:rPr>
                              <w:t>Recommendation 2.</w:t>
                            </w:r>
                            <w:r w:rsidRPr="00151C09">
                              <w:rPr>
                                <w:rFonts w:cs="Arial"/>
                              </w:rPr>
                              <w:t xml:space="preserve"> The </w:t>
                            </w:r>
                            <w:r>
                              <w:rPr>
                                <w:rFonts w:cs="Arial"/>
                              </w:rPr>
                              <w:t>c</w:t>
                            </w:r>
                            <w:r w:rsidRPr="00151C09">
                              <w:rPr>
                                <w:rFonts w:cs="Arial"/>
                              </w:rPr>
                              <w:t xml:space="preserve">ommonwealth, </w:t>
                            </w:r>
                            <w:r>
                              <w:rPr>
                                <w:rFonts w:cs="Arial"/>
                              </w:rPr>
                              <w:t>s</w:t>
                            </w:r>
                            <w:r w:rsidRPr="00151C09">
                              <w:rPr>
                                <w:rFonts w:cs="Arial"/>
                              </w:rPr>
                              <w:t xml:space="preserve">tate and </w:t>
                            </w:r>
                            <w:r>
                              <w:rPr>
                                <w:rFonts w:cs="Arial"/>
                              </w:rPr>
                              <w:t>t</w:t>
                            </w:r>
                            <w:r w:rsidRPr="00151C09">
                              <w:rPr>
                                <w:rFonts w:cs="Arial"/>
                              </w:rPr>
                              <w:t>erritor</w:t>
                            </w:r>
                            <w:r>
                              <w:rPr>
                                <w:rFonts w:cs="Arial"/>
                              </w:rPr>
                              <w:t>y governments</w:t>
                            </w:r>
                            <w:r w:rsidRPr="00151C09">
                              <w:rPr>
                                <w:rFonts w:cs="Arial"/>
                              </w:rPr>
                              <w:t xml:space="preserve"> to continue their deployment of programs to better plan and control development of new generation and transmission projects</w:t>
                            </w:r>
                            <w:r>
                              <w:rPr>
                                <w:rFonts w:cs="Arial"/>
                              </w:rPr>
                              <w:t>.</w:t>
                            </w:r>
                          </w:p>
                          <w:p w14:paraId="5E21809B" w14:textId="0F05BD9F" w:rsidR="00A32583" w:rsidRDefault="00A32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46597" id="_x0000_t202" coordsize="21600,21600" o:spt="202" path="m,l,21600r21600,l21600,xe">
                <v:stroke joinstyle="miter"/>
                <v:path gradientshapeok="t" o:connecttype="rect"/>
              </v:shapetype>
              <v:shape id="Text Box 2" o:spid="_x0000_s1026" type="#_x0000_t202" style="position:absolute;margin-left:0;margin-top:42.05pt;width:513.6pt;height:112.0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ixDwIAACAEAAAOAAAAZHJzL2Uyb0RvYy54bWysk9uO2yAQhu8r9R0Q940TN9lmrTirbbap&#10;Km0P0rYPgDGOUTFDBxI7ffoOxJtNTzdVuUDADD8z3wyrm6Ez7KDQa7Aln02mnCkrodZ2V/Ivn7cv&#10;lpz5IGwtDFhV8qPy/Gb9/Nmqd4XKoQVTK2QkYn3Ru5K3Ibgiy7xsVSf8BJyyZGwAOxFoi7usRtGT&#10;emeyfDq9ynrA2iFI5T2d3p2MfJ30m0bJ8LFpvArMlJxiC2nGNFdxztYrUexQuFbLMQzxD1F0Qlt6&#10;9Cx1J4Jge9S/SXVaInhowkRCl0HTaKlSDpTNbPpLNg+tcCrlQnC8O2Py/09Wfjg8uE/IwvAaBipg&#10;SsK7e5BfPbOwaYXdqVtE6Fslanp4FpFlvfPFeDWi9oWPIlX/HmoqstgHSEJDg12kQnkyUqcCHM/Q&#10;1RCYpMOrRZ6/yskkyTab5y/z5Ty9IYrH6w59eKugY3FRcqSqJnlxuPchhiOKR5f4mgej6602Jm1w&#10;V20MsoOgDtimMar/5GYs60t+vcgXJwJ/lZim8SeJTgdqZaO7ki/PTqKI3N7YOjVaENqc1hSysSPI&#10;yO5EMQzVQI4RaAX1kZAinFqWvhgtWsDvnPXUriX33/YCFWfmnaWyXM/m89jfaTNfJKB4aakuLcJK&#10;kip54Oy03IT0JyIwC7dUvkYnsE+RjLFSGybe45eJfX65T15PH3v9AwAA//8DAFBLAwQUAAYACAAA&#10;ACEAxM4zht0AAAAIAQAADwAAAGRycy9kb3ducmV2LnhtbEyPwU7DMBBE70j8g7VIXBC1m6I2hDgV&#10;QgLBrZSqXN14m0TY62C7afh7nBMcV7N686Zcj9awAX3oHEmYzwQwpNrpjhoJu4/n2xxYiIq0Mo5Q&#10;wg8GWFeXF6UqtDvTOw7b2LAEoVAoCW2MfcF5qFu0Ksxcj5Syo/NWxXT6hmuvzgluDc+EWHKrOkoN&#10;rerxqcX6a3uyEvK71+EzvC02+3p5NPfxZjW8fHspr6/GxwdgEcf49wyTflKHKjkd3Il0YEZCGhIn&#10;0hzYlIpslQE7SFiIPANelfz/gOoXAAD//wMAUEsBAi0AFAAGAAgAAAAhALaDOJL+AAAA4QEAABMA&#10;AAAAAAAAAAAAAAAAAAAAAFtDb250ZW50X1R5cGVzXS54bWxQSwECLQAUAAYACAAAACEAOP0h/9YA&#10;AACUAQAACwAAAAAAAAAAAAAAAAAvAQAAX3JlbHMvLnJlbHNQSwECLQAUAAYACAAAACEA6dQYsQ8C&#10;AAAgBAAADgAAAAAAAAAAAAAAAAAuAgAAZHJzL2Uyb0RvYy54bWxQSwECLQAUAAYACAAAACEAxM4z&#10;ht0AAAAIAQAADwAAAAAAAAAAAAAAAABpBAAAZHJzL2Rvd25yZXYueG1sUEsFBgAAAAAEAAQA8wAA&#10;AHMFAAAAAA==&#10;">
                <v:textbox>
                  <w:txbxContent>
                    <w:p w14:paraId="2D72D2C1" w14:textId="77777777" w:rsidR="00A32583" w:rsidRPr="009E6D27" w:rsidRDefault="00A32583" w:rsidP="00A32583">
                      <w:pPr>
                        <w:spacing w:after="0" w:line="336" w:lineRule="auto"/>
                        <w:rPr>
                          <w:rFonts w:cs="Arial"/>
                        </w:rPr>
                      </w:pPr>
                      <w:r w:rsidRPr="009E6D27">
                        <w:rPr>
                          <w:rFonts w:cs="Arial"/>
                          <w:b/>
                          <w:bCs/>
                        </w:rPr>
                        <w:t>Recommendation 1.</w:t>
                      </w:r>
                      <w:r w:rsidRPr="009E6D27">
                        <w:rPr>
                          <w:rFonts w:cs="Arial"/>
                        </w:rPr>
                        <w:t xml:space="preserve"> The Minister to initiate a process to appoint an independent body to design, develop, implement and operate a developer rating scheme.</w:t>
                      </w:r>
                    </w:p>
                    <w:p w14:paraId="290C004B" w14:textId="77777777" w:rsidR="00A32583" w:rsidRPr="00151C09" w:rsidRDefault="00A32583" w:rsidP="00A32583">
                      <w:pPr>
                        <w:spacing w:after="0" w:line="336" w:lineRule="auto"/>
                        <w:rPr>
                          <w:rFonts w:cs="Arial"/>
                        </w:rPr>
                      </w:pPr>
                    </w:p>
                    <w:p w14:paraId="4C741057" w14:textId="77777777" w:rsidR="00A32583" w:rsidRDefault="00A32583" w:rsidP="00A32583">
                      <w:pPr>
                        <w:spacing w:after="0" w:line="336" w:lineRule="auto"/>
                        <w:rPr>
                          <w:rFonts w:cs="Arial"/>
                        </w:rPr>
                      </w:pPr>
                      <w:r w:rsidRPr="00151C09">
                        <w:rPr>
                          <w:rFonts w:cs="Arial"/>
                          <w:b/>
                          <w:bCs/>
                        </w:rPr>
                        <w:t>Recommendation 2.</w:t>
                      </w:r>
                      <w:r w:rsidRPr="00151C09">
                        <w:rPr>
                          <w:rFonts w:cs="Arial"/>
                        </w:rPr>
                        <w:t xml:space="preserve"> The </w:t>
                      </w:r>
                      <w:r>
                        <w:rPr>
                          <w:rFonts w:cs="Arial"/>
                        </w:rPr>
                        <w:t>c</w:t>
                      </w:r>
                      <w:r w:rsidRPr="00151C09">
                        <w:rPr>
                          <w:rFonts w:cs="Arial"/>
                        </w:rPr>
                        <w:t xml:space="preserve">ommonwealth, </w:t>
                      </w:r>
                      <w:r>
                        <w:rPr>
                          <w:rFonts w:cs="Arial"/>
                        </w:rPr>
                        <w:t>s</w:t>
                      </w:r>
                      <w:r w:rsidRPr="00151C09">
                        <w:rPr>
                          <w:rFonts w:cs="Arial"/>
                        </w:rPr>
                        <w:t xml:space="preserve">tate and </w:t>
                      </w:r>
                      <w:r>
                        <w:rPr>
                          <w:rFonts w:cs="Arial"/>
                        </w:rPr>
                        <w:t>t</w:t>
                      </w:r>
                      <w:r w:rsidRPr="00151C09">
                        <w:rPr>
                          <w:rFonts w:cs="Arial"/>
                        </w:rPr>
                        <w:t>erritor</w:t>
                      </w:r>
                      <w:r>
                        <w:rPr>
                          <w:rFonts w:cs="Arial"/>
                        </w:rPr>
                        <w:t>y governments</w:t>
                      </w:r>
                      <w:r w:rsidRPr="00151C09">
                        <w:rPr>
                          <w:rFonts w:cs="Arial"/>
                        </w:rPr>
                        <w:t xml:space="preserve"> to continue their deployment of programs to better plan and control development of new generation and transmission projects</w:t>
                      </w:r>
                      <w:r>
                        <w:rPr>
                          <w:rFonts w:cs="Arial"/>
                        </w:rPr>
                        <w:t>.</w:t>
                      </w:r>
                    </w:p>
                    <w:p w14:paraId="5E21809B" w14:textId="0F05BD9F" w:rsidR="00A32583" w:rsidRDefault="00A32583"/>
                  </w:txbxContent>
                </v:textbox>
                <w10:wrap type="square" anchorx="margin"/>
              </v:shape>
            </w:pict>
          </mc:Fallback>
        </mc:AlternateContent>
      </w:r>
      <w:r w:rsidR="009E6D27" w:rsidRPr="009E6D27">
        <w:rPr>
          <w:rFonts w:cs="Arial"/>
        </w:rPr>
        <w:t>Improve community engagement by motivating developers to achieve best practice and only selecting reputable developers for new project developments.</w:t>
      </w:r>
    </w:p>
    <w:p w14:paraId="2CFE731F" w14:textId="77777777" w:rsidR="009E6D27" w:rsidRDefault="009E6D27" w:rsidP="009E6D27">
      <w:pPr>
        <w:spacing w:after="0" w:line="336" w:lineRule="auto"/>
        <w:rPr>
          <w:rFonts w:cs="Arial"/>
        </w:rPr>
      </w:pPr>
    </w:p>
    <w:p w14:paraId="38933B03" w14:textId="77777777" w:rsidR="009E6D27" w:rsidRPr="003F1F21" w:rsidRDefault="009E6D27" w:rsidP="009E6D27">
      <w:pPr>
        <w:spacing w:after="0" w:line="336" w:lineRule="auto"/>
        <w:rPr>
          <w:rFonts w:cs="Arial"/>
          <w:i/>
          <w:iCs/>
        </w:rPr>
      </w:pPr>
      <w:r>
        <w:rPr>
          <w:rFonts w:cs="Arial"/>
          <w:i/>
          <w:iCs/>
        </w:rPr>
        <w:t>Theme 2: Selecting the best sites</w:t>
      </w:r>
    </w:p>
    <w:p w14:paraId="034BB843" w14:textId="4EBF2A80" w:rsidR="009E6D27" w:rsidRPr="009E6D27" w:rsidRDefault="00AB104D" w:rsidP="009E6D27">
      <w:pPr>
        <w:spacing w:after="0" w:line="336" w:lineRule="auto"/>
        <w:rPr>
          <w:rFonts w:cs="Arial"/>
        </w:rPr>
      </w:pPr>
      <w:r w:rsidRPr="00A32583">
        <w:rPr>
          <w:rFonts w:cs="Arial"/>
          <w:b/>
          <w:bCs/>
          <w:noProof/>
        </w:rPr>
        <mc:AlternateContent>
          <mc:Choice Requires="wps">
            <w:drawing>
              <wp:anchor distT="45720" distB="45720" distL="114300" distR="114300" simplePos="0" relativeHeight="251658246" behindDoc="0" locked="0" layoutInCell="1" allowOverlap="1" wp14:anchorId="37D31617" wp14:editId="2F7DEC08">
                <wp:simplePos x="0" y="0"/>
                <wp:positionH relativeFrom="margin">
                  <wp:align>left</wp:align>
                </wp:positionH>
                <wp:positionV relativeFrom="paragraph">
                  <wp:posOffset>450819</wp:posOffset>
                </wp:positionV>
                <wp:extent cx="6522720" cy="484505"/>
                <wp:effectExtent l="0" t="0" r="11430" b="10795"/>
                <wp:wrapSquare wrapText="bothSides"/>
                <wp:docPr id="1593355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85029"/>
                        </a:xfrm>
                        <a:prstGeom prst="rect">
                          <a:avLst/>
                        </a:prstGeom>
                        <a:solidFill>
                          <a:srgbClr val="FFFFFF"/>
                        </a:solidFill>
                        <a:ln w="9525">
                          <a:solidFill>
                            <a:srgbClr val="000000"/>
                          </a:solidFill>
                          <a:miter lim="800000"/>
                          <a:headEnd/>
                          <a:tailEnd/>
                        </a:ln>
                      </wps:spPr>
                      <wps:txbx>
                        <w:txbxContent>
                          <w:p w14:paraId="0B7CE25C" w14:textId="450F623D" w:rsidR="00AB104D" w:rsidRPr="00AB104D" w:rsidRDefault="00AB104D" w:rsidP="00AB104D">
                            <w:r w:rsidRPr="00AB104D">
                              <w:rPr>
                                <w:rFonts w:cs="Arial"/>
                                <w:b/>
                                <w:bCs/>
                              </w:rPr>
                              <w:t xml:space="preserve">Recommendation 3. </w:t>
                            </w:r>
                            <w:r w:rsidRPr="00AB104D">
                              <w:rPr>
                                <w:rFonts w:cs="Arial"/>
                              </w:rPr>
                              <w:t>State and territory governments to support and expedite sourcing information that is necessary for contemporary land use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31617" id="_x0000_s1027" type="#_x0000_t202" style="position:absolute;margin-left:0;margin-top:35.5pt;width:513.6pt;height:38.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IxEQIAACYEAAAOAAAAZHJzL2Uyb0RvYy54bWysk82O2yAQx++V+g6Ie2PHSrYbK85qm22q&#10;StttpW0fAGMcowJDgcROn74D9mbTr0tVDohh4M/Mb4b1zaAVOQrnJZiKzmc5JcJwaKTZV/TL592r&#10;a0p8YKZhCoyo6El4erN5+WLd21IU0IFqhCMoYnzZ24p2IdgyyzzvhGZ+BlYYdLbgNAtoun3WONaj&#10;ulZZkedXWQ+usQ648B5370Yn3ST9thU8fGxbLwJRFcXYQppdmus4Z5s1K/eO2U7yKQz2D1FoJg0+&#10;epa6Y4GRg5O/SWnJHXhow4yDzqBtJRcpB8xmnv+SzWPHrEi5IBxvz5j8/5PlD8dH+8mRMLyBAQuY&#10;kvD2HvhXTwxsO2b24tY56DvBGnx4HpFlvfXldDWi9qWPInX/ARosMjsESEJD63SkgnkSVMcCnM7Q&#10;xRAIx82rZVG8LtDF0be4XubFKj3Byqfb1vnwToAmcVFRh0VN6ux470OMhpVPR+JjHpRsdlKpZLh9&#10;vVWOHBk2wC6NSf2nY8qQvqKrZbEcAfxVIk/jTxJaBuxkJXVFr8+HWBmxvTVN6rPApBrXGLIyE8eI&#10;boQYhnogspkgR6w1NCcE62BsXPxouOjAfaekx6atqP92YE5Qot4bLM5qvljELk/GYpmwuktPfelh&#10;hqNURQMl43Ib0s+I3AzcYhFbmfg+RzKFjM2YsE8fJ3b7pZ1OPX/vzQ8AAAD//wMAUEsDBBQABgAI&#10;AAAAIQCAX/2z3gAAAAgBAAAPAAAAZHJzL2Rvd25yZXYueG1sTI9BT8MwDIXvSPyHyEhcEEvXTeso&#10;TSeEBIIbDATXrPHaisQpSdaVf493gpNtvafn71WbyVkxYoi9JwXzWQYCqfGmp1bB+9vD9RpETJqM&#10;tp5QwQ9G2NTnZ5UujT/SK47b1AoOoVhqBV1KQyllbDp0Os78gMTa3genE5+hlSboI4c7K/MsW0mn&#10;e+IPnR7wvsPma3twCtbLp/EzPi9ePprV3t6kq2J8/A5KXV5Md7cgEk7pzwwnfEaHmpl2/kAmCquA&#10;iyQFxZznSc3yIgex421ZLEDWlfxfoP4FAAD//wMAUEsBAi0AFAAGAAgAAAAhALaDOJL+AAAA4QEA&#10;ABMAAAAAAAAAAAAAAAAAAAAAAFtDb250ZW50X1R5cGVzXS54bWxQSwECLQAUAAYACAAAACEAOP0h&#10;/9YAAACUAQAACwAAAAAAAAAAAAAAAAAvAQAAX3JlbHMvLnJlbHNQSwECLQAUAAYACAAAACEACbFS&#10;MRECAAAmBAAADgAAAAAAAAAAAAAAAAAuAgAAZHJzL2Uyb0RvYy54bWxQSwECLQAUAAYACAAAACEA&#10;gF/9s94AAAAIAQAADwAAAAAAAAAAAAAAAABrBAAAZHJzL2Rvd25yZXYueG1sUEsFBgAAAAAEAAQA&#10;8wAAAHYFAAAAAA==&#10;">
                <v:textbox>
                  <w:txbxContent>
                    <w:p w14:paraId="0B7CE25C" w14:textId="450F623D" w:rsidR="00AB104D" w:rsidRPr="00AB104D" w:rsidRDefault="00AB104D" w:rsidP="00AB104D">
                      <w:r w:rsidRPr="00AB104D">
                        <w:rPr>
                          <w:rFonts w:cs="Arial"/>
                          <w:b/>
                          <w:bCs/>
                        </w:rPr>
                        <w:t xml:space="preserve">Recommendation 3. </w:t>
                      </w:r>
                      <w:r w:rsidRPr="00AB104D">
                        <w:rPr>
                          <w:rFonts w:cs="Arial"/>
                        </w:rPr>
                        <w:t>State and territory governments to support and expedite sourcing information that is necessary for contemporary land use planning.</w:t>
                      </w:r>
                    </w:p>
                  </w:txbxContent>
                </v:textbox>
                <w10:wrap type="square" anchorx="margin"/>
              </v:shape>
            </w:pict>
          </mc:Fallback>
        </mc:AlternateContent>
      </w:r>
      <w:r w:rsidR="009E6D27" w:rsidRPr="009E6D27">
        <w:rPr>
          <w:rFonts w:cs="Arial"/>
        </w:rPr>
        <w:t>Reduce and eliminate unnecessary community engagement by selecting the best project sites and avoiding poor and inappropriate sites.</w:t>
      </w:r>
    </w:p>
    <w:p w14:paraId="17218C1B" w14:textId="77777777" w:rsidR="009E6D27" w:rsidRDefault="009E6D27" w:rsidP="009E6D27">
      <w:pPr>
        <w:spacing w:after="0" w:line="336" w:lineRule="auto"/>
        <w:rPr>
          <w:rFonts w:cs="Arial"/>
        </w:rPr>
      </w:pPr>
    </w:p>
    <w:p w14:paraId="7D08944E" w14:textId="77777777" w:rsidR="009E6D27" w:rsidRPr="003F1F21" w:rsidRDefault="009E6D27" w:rsidP="009E6D27">
      <w:pPr>
        <w:spacing w:after="0" w:line="336" w:lineRule="auto"/>
        <w:rPr>
          <w:rFonts w:cs="Arial"/>
          <w:i/>
          <w:iCs/>
        </w:rPr>
      </w:pPr>
      <w:r>
        <w:rPr>
          <w:rFonts w:cs="Arial"/>
          <w:i/>
          <w:iCs/>
        </w:rPr>
        <w:t>Theme 3: Reform environmental and planning approvals</w:t>
      </w:r>
    </w:p>
    <w:p w14:paraId="4D2E613E" w14:textId="6F3D441D" w:rsidR="009E6D27" w:rsidRDefault="00AB104D" w:rsidP="009E6D27">
      <w:pPr>
        <w:spacing w:after="0" w:line="336" w:lineRule="auto"/>
        <w:rPr>
          <w:rFonts w:cs="Arial"/>
        </w:rPr>
      </w:pPr>
      <w:r w:rsidRPr="00A32583">
        <w:rPr>
          <w:rFonts w:cs="Arial"/>
          <w:b/>
          <w:bCs/>
          <w:noProof/>
        </w:rPr>
        <mc:AlternateContent>
          <mc:Choice Requires="wps">
            <w:drawing>
              <wp:anchor distT="45720" distB="45720" distL="114300" distR="114300" simplePos="0" relativeHeight="251658247" behindDoc="0" locked="0" layoutInCell="1" allowOverlap="1" wp14:anchorId="0227BA15" wp14:editId="5B362964">
                <wp:simplePos x="0" y="0"/>
                <wp:positionH relativeFrom="margin">
                  <wp:align>left</wp:align>
                </wp:positionH>
                <wp:positionV relativeFrom="paragraph">
                  <wp:posOffset>506282</wp:posOffset>
                </wp:positionV>
                <wp:extent cx="6522720" cy="774065"/>
                <wp:effectExtent l="0" t="0" r="11430" b="26035"/>
                <wp:wrapSquare wrapText="bothSides"/>
                <wp:docPr id="2138013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774154"/>
                        </a:xfrm>
                        <a:prstGeom prst="rect">
                          <a:avLst/>
                        </a:prstGeom>
                        <a:solidFill>
                          <a:srgbClr val="FFFFFF"/>
                        </a:solidFill>
                        <a:ln w="9525">
                          <a:solidFill>
                            <a:srgbClr val="000000"/>
                          </a:solidFill>
                          <a:miter lim="800000"/>
                          <a:headEnd/>
                          <a:tailEnd/>
                        </a:ln>
                      </wps:spPr>
                      <wps:txbx>
                        <w:txbxContent>
                          <w:p w14:paraId="2BF14F41" w14:textId="77777777" w:rsidR="00AB104D" w:rsidRDefault="00AB104D" w:rsidP="00AB104D">
                            <w:pPr>
                              <w:spacing w:after="0" w:line="336" w:lineRule="auto"/>
                              <w:rPr>
                                <w:rFonts w:cs="Arial"/>
                              </w:rPr>
                            </w:pPr>
                            <w:r w:rsidRPr="00151C09">
                              <w:rPr>
                                <w:rFonts w:cs="Arial"/>
                                <w:b/>
                                <w:bCs/>
                              </w:rPr>
                              <w:t>Recommendation 4.</w:t>
                            </w:r>
                            <w:r w:rsidRPr="00151C09">
                              <w:rPr>
                                <w:rFonts w:cs="Arial"/>
                              </w:rPr>
                              <w:t xml:space="preserve"> To progress, complete and expedite the deployment of process reforms currently being contemplated by the jurisdictions, which will materially improve processes and help reduce the time needed to obtain planning and environmental approvals for projects.</w:t>
                            </w:r>
                          </w:p>
                          <w:p w14:paraId="507908C8" w14:textId="1D06E0F8" w:rsidR="00AB104D" w:rsidRPr="00AB104D" w:rsidRDefault="00AB104D" w:rsidP="00AB1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BA15" id="_x0000_s1028" type="#_x0000_t202" style="position:absolute;margin-left:0;margin-top:39.85pt;width:513.6pt;height:60.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GtEwIAACYEAAAOAAAAZHJzL2Uyb0RvYy54bWysk9uO2yAQhu8r9R0Q940TK9nsWnFW22xT&#10;VdoepG0fYIJxjIoZCiR2+vQdsDebnm6qcoGAgX9mvhlWt32r2VE6r9CUfDaZciaNwEqZfcm/fN6+&#10;uubMBzAVaDSy5Cfp+e365YtVZwuZY4O6ko6RiPFFZ0vehGCLLPOikS34CVppyFijayHQ1u2zykFH&#10;6q3O8un0KuvQVdahkN7T6f1g5OukX9dShI917WVguuQUW0izS/Muztl6BcXegW2UGMOAf4iiBWXI&#10;6VnqHgKwg1O/SbVKOPRYh4nANsO6VkKmHCib2fSXbB4bsDLlQnC8PWPy/09WfDg+2k+Ohf419lTA&#10;lIS3Dyi+emZw04DZyzvnsGskVOR4FpFlnfXF+DSi9oWPIrvuPVZUZDgETEJ97dpIhfJkpE4FOJ2h&#10;yz4wQYdXizxf5mQSZFsu57PFPLmA4um1dT68ldiyuCi5o6ImdTg++BCjgeLpSnTmUatqq7ROG7ff&#10;bbRjR6AG2KYxqv90TRvWlfxmkS8GAH+VmKbxJ4lWBepkrdqSX58vQRGxvTFV6rMASg9rClmbkWNE&#10;N0AM/a5nqip5Hh1ErDusTgTW4dC49NFo0aD7zllHTVty/+0ATnKm3xkqzs1sPo9dnjbzRcLqLi27&#10;SwsYQVIlD5wNy01IPyNyM3hHRaxV4vscyRgyNWPCPn6c2O2X+3Tr+XuvfwAAAP//AwBQSwMEFAAG&#10;AAgAAAAhALNMVi3eAAAACAEAAA8AAABkcnMvZG93bnJldi54bWxMj8FOwzAQRO9I/IO1SFwQtRtQ&#10;0oY4FUICwa2UqlzdeJtE2Otgu2n4e9wTHEczmnlTrSZr2Ig+9I4kzGcCGFLjdE+thO3H8+0CWIiK&#10;tDKOUMIPBljVlxeVKrU70TuOm9iyVEKhVBK6GIeS89B0aFWYuQEpeQfnrYpJ+pZrr06p3BqeCZFz&#10;q3pKC50a8KnD5mtztBIW96/jZ3i7W++a/GCW8aYYX769lNdX0+MDsIhT/AvDGT+hQ52Y9u5IOjAj&#10;IR2JEoplAezsiqzIgO0lZGKeA68r/v9A/QsAAP//AwBQSwECLQAUAAYACAAAACEAtoM4kv4AAADh&#10;AQAAEwAAAAAAAAAAAAAAAAAAAAAAW0NvbnRlbnRfVHlwZXNdLnhtbFBLAQItABQABgAIAAAAIQA4&#10;/SH/1gAAAJQBAAALAAAAAAAAAAAAAAAAAC8BAABfcmVscy8ucmVsc1BLAQItABQABgAIAAAAIQCx&#10;yKGtEwIAACYEAAAOAAAAAAAAAAAAAAAAAC4CAABkcnMvZTJvRG9jLnhtbFBLAQItABQABgAIAAAA&#10;IQCzTFYt3gAAAAgBAAAPAAAAAAAAAAAAAAAAAG0EAABkcnMvZG93bnJldi54bWxQSwUGAAAAAAQA&#10;BADzAAAAeAUAAAAA&#10;">
                <v:textbox>
                  <w:txbxContent>
                    <w:p w14:paraId="2BF14F41" w14:textId="77777777" w:rsidR="00AB104D" w:rsidRDefault="00AB104D" w:rsidP="00AB104D">
                      <w:pPr>
                        <w:spacing w:after="0" w:line="336" w:lineRule="auto"/>
                        <w:rPr>
                          <w:rFonts w:cs="Arial"/>
                        </w:rPr>
                      </w:pPr>
                      <w:r w:rsidRPr="00151C09">
                        <w:rPr>
                          <w:rFonts w:cs="Arial"/>
                          <w:b/>
                          <w:bCs/>
                        </w:rPr>
                        <w:t>Recommendation 4.</w:t>
                      </w:r>
                      <w:r w:rsidRPr="00151C09">
                        <w:rPr>
                          <w:rFonts w:cs="Arial"/>
                        </w:rPr>
                        <w:t xml:space="preserve"> To progress, complete and expedite the deployment of process reforms currently being contemplated by the jurisdictions, which will materially improve processes and help reduce the time needed to obtain planning and environmental approvals for projects.</w:t>
                      </w:r>
                    </w:p>
                    <w:p w14:paraId="507908C8" w14:textId="1D06E0F8" w:rsidR="00AB104D" w:rsidRPr="00AB104D" w:rsidRDefault="00AB104D" w:rsidP="00AB104D"/>
                  </w:txbxContent>
                </v:textbox>
                <w10:wrap type="square" anchorx="margin"/>
              </v:shape>
            </w:pict>
          </mc:Fallback>
        </mc:AlternateContent>
      </w:r>
      <w:r w:rsidR="009E6D27" w:rsidRPr="009E6D27">
        <w:rPr>
          <w:rFonts w:cs="Arial"/>
        </w:rPr>
        <w:t>Reduce and minimise the need for elongated community engagement by re-engineering planning and environmental assessment and approval processes.</w:t>
      </w:r>
    </w:p>
    <w:p w14:paraId="747BDC50" w14:textId="77777777" w:rsidR="009E6D27" w:rsidRDefault="009E6D27" w:rsidP="009E6D27">
      <w:pPr>
        <w:spacing w:after="0" w:line="336" w:lineRule="auto"/>
        <w:rPr>
          <w:rFonts w:cs="Arial"/>
        </w:rPr>
      </w:pPr>
    </w:p>
    <w:p w14:paraId="4EBFDB07" w14:textId="77777777" w:rsidR="009E6D27" w:rsidRDefault="009E6D27" w:rsidP="009E6D27">
      <w:pPr>
        <w:spacing w:after="0" w:line="336" w:lineRule="auto"/>
        <w:rPr>
          <w:rFonts w:cs="Arial"/>
          <w:i/>
          <w:iCs/>
        </w:rPr>
      </w:pPr>
      <w:r>
        <w:rPr>
          <w:rFonts w:cs="Arial"/>
          <w:i/>
          <w:iCs/>
        </w:rPr>
        <w:t>Theme 4: Complaint management</w:t>
      </w:r>
    </w:p>
    <w:p w14:paraId="5C84492F" w14:textId="46C9C8ED" w:rsidR="009E6D27" w:rsidRPr="00AB104D" w:rsidRDefault="00AB104D" w:rsidP="00AB104D">
      <w:pPr>
        <w:spacing w:after="0" w:line="336" w:lineRule="auto"/>
        <w:rPr>
          <w:rFonts w:cs="Arial"/>
        </w:rPr>
      </w:pPr>
      <w:r w:rsidRPr="00A32583">
        <w:rPr>
          <w:rFonts w:cs="Arial"/>
          <w:b/>
          <w:bCs/>
          <w:noProof/>
        </w:rPr>
        <mc:AlternateContent>
          <mc:Choice Requires="wps">
            <w:drawing>
              <wp:anchor distT="45720" distB="45720" distL="114300" distR="114300" simplePos="0" relativeHeight="251658248" behindDoc="0" locked="0" layoutInCell="1" allowOverlap="1" wp14:anchorId="57D98690" wp14:editId="462E08EF">
                <wp:simplePos x="0" y="0"/>
                <wp:positionH relativeFrom="margin">
                  <wp:align>left</wp:align>
                </wp:positionH>
                <wp:positionV relativeFrom="paragraph">
                  <wp:posOffset>510462</wp:posOffset>
                </wp:positionV>
                <wp:extent cx="6522720" cy="774065"/>
                <wp:effectExtent l="0" t="0" r="11430" b="26035"/>
                <wp:wrapSquare wrapText="bothSides"/>
                <wp:docPr id="899170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774065"/>
                        </a:xfrm>
                        <a:prstGeom prst="rect">
                          <a:avLst/>
                        </a:prstGeom>
                        <a:solidFill>
                          <a:srgbClr val="FFFFFF"/>
                        </a:solidFill>
                        <a:ln w="9525">
                          <a:solidFill>
                            <a:srgbClr val="000000"/>
                          </a:solidFill>
                          <a:miter lim="800000"/>
                          <a:headEnd/>
                          <a:tailEnd/>
                        </a:ln>
                      </wps:spPr>
                      <wps:txbx>
                        <w:txbxContent>
                          <w:p w14:paraId="0C7AC998" w14:textId="77777777" w:rsidR="00AB104D" w:rsidRDefault="00AB104D" w:rsidP="00AB104D">
                            <w:pPr>
                              <w:spacing w:after="0" w:line="336" w:lineRule="auto"/>
                              <w:rPr>
                                <w:rFonts w:cs="Arial"/>
                              </w:rPr>
                            </w:pPr>
                            <w:r w:rsidRPr="00151C09">
                              <w:rPr>
                                <w:rFonts w:cs="Arial"/>
                                <w:b/>
                                <w:bCs/>
                              </w:rPr>
                              <w:t>Recommendation 5.</w:t>
                            </w:r>
                            <w:r w:rsidRPr="00151C09">
                              <w:rPr>
                                <w:rFonts w:cs="Arial"/>
                              </w:rPr>
                              <w:t xml:space="preserve"> State and, where applicable, territory governments to establish and implement a new ombudsman function focussed on handling complaints about renewable energy generation, large</w:t>
                            </w:r>
                            <w:r>
                              <w:rPr>
                                <w:rFonts w:cs="Arial"/>
                              </w:rPr>
                              <w:t>-</w:t>
                            </w:r>
                            <w:r w:rsidRPr="00151C09">
                              <w:rPr>
                                <w:rFonts w:cs="Arial"/>
                              </w:rPr>
                              <w:t>scale storage and new transmission infrastructure.</w:t>
                            </w:r>
                          </w:p>
                          <w:p w14:paraId="4DE63AB7" w14:textId="77777777" w:rsidR="00AB104D" w:rsidRPr="00AB104D" w:rsidRDefault="00AB104D" w:rsidP="00AB1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98690" id="_x0000_s1029" type="#_x0000_t202" style="position:absolute;margin-left:0;margin-top:40.2pt;width:513.6pt;height:60.9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D/EwIAACYEAAAOAAAAZHJzL2Uyb0RvYy54bWysk9uO2yAQhu8r9R0Q940dN4ddK85qm22q&#10;StuDtO0DYIxtVMxQILHTp98Be7Pp6aYqFwgY+Gfmm2FzM3SKHIV1EnRB57OUEqE5VFI3Bf36Zf/q&#10;ihLnma6YAi0KehKO3mxfvtj0JhcZtKAqYQmKaJf3pqCt9yZPEsdb0TE3AyM0GmuwHfO4tU1SWdaj&#10;eqeSLE1XSQ+2Mha4cA5P70Yj3Ub9uhbcf6prJzxRBcXYfJxtnMswJ9sNyxvLTCv5FAb7hyg6JjU6&#10;PUvdMc/IwcrfpDrJLTio/YxDl0BdSy5iDpjNPP0lm4eWGRFzQTjOnDG5/yfLPx4fzGdL/PAGBixg&#10;TMKZe+DfHNGwa5luxK210LeCVeh4HpAlvXH59DSgdrkLImX/ASosMjt4iEJDbbtABfMkqI4FOJ2h&#10;i8ETjoerZZatMzRxtK3Xi3S1jC5Y/vTaWOffCehIWBTUYlGjOjveOx+iYfnTleDMgZLVXioVN7Yp&#10;d8qSI8MG2Mcxqf90TWnSF/R6mS1HAH+VSOP4k0QnPXaykl1Br86XWB6wvdVV7DPPpBrXGLLSE8eA&#10;boToh3Igsiro6+AgYC2hOiFYC2Pj4kfDRQv2ByU9Nm1B3fcDs4IS9V5jca7ni0Xo8rhZLCNWe2kp&#10;Ly1Mc5QqqKdkXO58/BmBm4ZbLGItI9/nSKaQsRkj9unjhG6/3Mdbz997+wgAAP//AwBQSwMEFAAG&#10;AAgAAAAhAC6igSbeAAAACAEAAA8AAABkcnMvZG93bnJldi54bWxMj8FOwzAQRO9I/IO1SFwQtXGr&#10;toQ4FUICwa2UqlzdeJtE2Otgu2n4e9wTHFezevOmXI3OsgFD7DwpuJsIYEi1Nx01CrYfz7dLYDFp&#10;Mtp6QgU/GGFVXV6UujD+RO84bFLDMoRioRW0KfUF57Fu0ek48T1Szg4+OJ3yGRpugj5luLNcCjHn&#10;TneUG1rd41OL9dfm6BQsZ6/DZ3ybrnf1/GDv081iePkOSl1fjY8PwBKO6e8ZzvpZHarstPdHMpFZ&#10;BXlIyiQxA3ZOhVxIYHsFUsgp8Krk/wdUvwAAAP//AwBQSwECLQAUAAYACAAAACEAtoM4kv4AAADh&#10;AQAAEwAAAAAAAAAAAAAAAAAAAAAAW0NvbnRlbnRfVHlwZXNdLnhtbFBLAQItABQABgAIAAAAIQA4&#10;/SH/1gAAAJQBAAALAAAAAAAAAAAAAAAAAC8BAABfcmVscy8ucmVsc1BLAQItABQABgAIAAAAIQCL&#10;t9D/EwIAACYEAAAOAAAAAAAAAAAAAAAAAC4CAABkcnMvZTJvRG9jLnhtbFBLAQItABQABgAIAAAA&#10;IQAuooEm3gAAAAgBAAAPAAAAAAAAAAAAAAAAAG0EAABkcnMvZG93bnJldi54bWxQSwUGAAAAAAQA&#10;BADzAAAAeAUAAAAA&#10;">
                <v:textbox>
                  <w:txbxContent>
                    <w:p w14:paraId="0C7AC998" w14:textId="77777777" w:rsidR="00AB104D" w:rsidRDefault="00AB104D" w:rsidP="00AB104D">
                      <w:pPr>
                        <w:spacing w:after="0" w:line="336" w:lineRule="auto"/>
                        <w:rPr>
                          <w:rFonts w:cs="Arial"/>
                        </w:rPr>
                      </w:pPr>
                      <w:r w:rsidRPr="00151C09">
                        <w:rPr>
                          <w:rFonts w:cs="Arial"/>
                          <w:b/>
                          <w:bCs/>
                        </w:rPr>
                        <w:t>Recommendation 5.</w:t>
                      </w:r>
                      <w:r w:rsidRPr="00151C09">
                        <w:rPr>
                          <w:rFonts w:cs="Arial"/>
                        </w:rPr>
                        <w:t xml:space="preserve"> State and, where applicable, territory governments to establish and implement a new ombudsman function focussed on handling complaints about renewable energy generation, large</w:t>
                      </w:r>
                      <w:r>
                        <w:rPr>
                          <w:rFonts w:cs="Arial"/>
                        </w:rPr>
                        <w:t>-</w:t>
                      </w:r>
                      <w:r w:rsidRPr="00151C09">
                        <w:rPr>
                          <w:rFonts w:cs="Arial"/>
                        </w:rPr>
                        <w:t>scale storage and new transmission infrastructure.</w:t>
                      </w:r>
                    </w:p>
                    <w:p w14:paraId="4DE63AB7" w14:textId="77777777" w:rsidR="00AB104D" w:rsidRPr="00AB104D" w:rsidRDefault="00AB104D" w:rsidP="00AB104D"/>
                  </w:txbxContent>
                </v:textbox>
                <w10:wrap type="square" anchorx="margin"/>
              </v:shape>
            </w:pict>
          </mc:Fallback>
        </mc:AlternateContent>
      </w:r>
      <w:r w:rsidR="009E6D27" w:rsidRPr="009E6D27">
        <w:rPr>
          <w:rFonts w:cs="Arial"/>
        </w:rPr>
        <w:t>Reduce unresolved and lengthy complaints by ensuring best practice complaint handling, backed up with a new, relevant ombudsman scheme in each state.</w:t>
      </w:r>
    </w:p>
    <w:p w14:paraId="3CD8CD4B" w14:textId="607D97BC" w:rsidR="009E6D27" w:rsidRDefault="009E6D27">
      <w:pPr>
        <w:rPr>
          <w:rFonts w:cs="Arial"/>
        </w:rPr>
      </w:pPr>
      <w:r>
        <w:rPr>
          <w:rFonts w:cs="Arial"/>
        </w:rPr>
        <w:br w:type="page"/>
      </w:r>
    </w:p>
    <w:p w14:paraId="4D32E81B" w14:textId="77777777" w:rsidR="009E6D27" w:rsidRDefault="009E6D27" w:rsidP="009E6D27">
      <w:pPr>
        <w:spacing w:after="0" w:line="336" w:lineRule="auto"/>
        <w:rPr>
          <w:rFonts w:cs="Arial"/>
        </w:rPr>
      </w:pPr>
    </w:p>
    <w:p w14:paraId="6448934E" w14:textId="77777777" w:rsidR="009E6D27" w:rsidRPr="009E6D27" w:rsidRDefault="009E6D27" w:rsidP="009E6D27">
      <w:pPr>
        <w:spacing w:after="0" w:line="336" w:lineRule="auto"/>
        <w:rPr>
          <w:rFonts w:cs="Arial"/>
        </w:rPr>
      </w:pPr>
      <w:r>
        <w:rPr>
          <w:rFonts w:cs="Arial"/>
          <w:i/>
          <w:iCs/>
        </w:rPr>
        <w:t>Theme 5: Messaging and governance</w:t>
      </w:r>
    </w:p>
    <w:p w14:paraId="082E3D96" w14:textId="2F377035" w:rsidR="009E6D27" w:rsidRDefault="00AB104D" w:rsidP="009E6D27">
      <w:pPr>
        <w:spacing w:after="0" w:line="336" w:lineRule="auto"/>
        <w:rPr>
          <w:rFonts w:cs="Arial"/>
        </w:rPr>
      </w:pPr>
      <w:r w:rsidRPr="00A32583">
        <w:rPr>
          <w:rFonts w:cs="Arial"/>
          <w:b/>
          <w:bCs/>
          <w:noProof/>
        </w:rPr>
        <mc:AlternateContent>
          <mc:Choice Requires="wps">
            <w:drawing>
              <wp:anchor distT="45720" distB="45720" distL="114300" distR="114300" simplePos="0" relativeHeight="251658249" behindDoc="0" locked="0" layoutInCell="1" allowOverlap="1" wp14:anchorId="4AD9A1A0" wp14:editId="7CD86775">
                <wp:simplePos x="0" y="0"/>
                <wp:positionH relativeFrom="margin">
                  <wp:align>left</wp:align>
                </wp:positionH>
                <wp:positionV relativeFrom="paragraph">
                  <wp:posOffset>741656</wp:posOffset>
                </wp:positionV>
                <wp:extent cx="6522720" cy="1553845"/>
                <wp:effectExtent l="0" t="0" r="11430" b="27305"/>
                <wp:wrapSquare wrapText="bothSides"/>
                <wp:docPr id="2092506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553845"/>
                        </a:xfrm>
                        <a:prstGeom prst="rect">
                          <a:avLst/>
                        </a:prstGeom>
                        <a:solidFill>
                          <a:srgbClr val="FFFFFF"/>
                        </a:solidFill>
                        <a:ln w="9525">
                          <a:solidFill>
                            <a:srgbClr val="000000"/>
                          </a:solidFill>
                          <a:miter lim="800000"/>
                          <a:headEnd/>
                          <a:tailEnd/>
                        </a:ln>
                      </wps:spPr>
                      <wps:txbx>
                        <w:txbxContent>
                          <w:p w14:paraId="4CB3F539" w14:textId="77777777" w:rsidR="00AB104D" w:rsidRPr="00AB104D" w:rsidRDefault="00AB104D" w:rsidP="00AB104D">
                            <w:pPr>
                              <w:rPr>
                                <w:rFonts w:cs="Arial"/>
                                <w:b/>
                                <w:bCs/>
                              </w:rPr>
                            </w:pPr>
                            <w:r w:rsidRPr="00AB104D">
                              <w:rPr>
                                <w:rFonts w:cs="Arial"/>
                                <w:b/>
                                <w:bCs/>
                              </w:rPr>
                              <w:t xml:space="preserve">Recommendation 6. </w:t>
                            </w:r>
                            <w:r w:rsidRPr="00AB104D">
                              <w:rPr>
                                <w:rFonts w:cs="Arial"/>
                              </w:rPr>
                              <w:t>The Minister to initiate a process for the development and execution of a communications program that provides local communities with a clear narrative about the pragmatic reasons for the energy transition.</w:t>
                            </w:r>
                          </w:p>
                          <w:p w14:paraId="067757A8" w14:textId="0260D5B4" w:rsidR="00AB104D" w:rsidRPr="00AB104D" w:rsidRDefault="00AB104D" w:rsidP="00AB104D">
                            <w:r w:rsidRPr="00AB104D">
                              <w:rPr>
                                <w:rFonts w:cs="Arial"/>
                                <w:b/>
                                <w:bCs/>
                              </w:rPr>
                              <w:t xml:space="preserve">Recommendation 7. </w:t>
                            </w:r>
                            <w:r w:rsidRPr="00AB104D">
                              <w:rPr>
                                <w:rFonts w:cs="Arial"/>
                              </w:rPr>
                              <w:t>The Commonwealth to work with state and territory governments to implement appropriate oversight governance arrangements that should be in place for transition projects of national significance and to provide a cross-discipline, whole-of-government approach to the energy transition.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9A1A0" id="_x0000_s1030" type="#_x0000_t202" style="position:absolute;margin-left:0;margin-top:58.4pt;width:513.6pt;height:122.3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sSFAIAACcEAAAOAAAAZHJzL2Uyb0RvYy54bWysk9uO2yAQhu8r9R0Q940TN95mrTirbbap&#10;Km0P0rYPgAHHqJihQGKnT98Be7Pp6aYqFwgY+Gfmm2F9M3SaHKXzCkxFF7M5JdJwEMrsK/rl8+7F&#10;ihIfmBFMg5EVPUlPbzbPn617W8ocWtBCOoIixpe9rWgbgi2zzPNWdszPwEqDxgZcxwJu3T4TjvWo&#10;3uksn8+vsh6csA649B5P70Yj3ST9ppE8fGwaLwPRFcXYQppdmus4Z5s1K/eO2VbxKQz2D1F0TBl0&#10;epa6Y4GRg1O/SXWKO/DQhBmHLoOmUVymHDCbxfyXbB5aZmXKBeF4e8bk/58s/3B8sJ8cCcNrGLCA&#10;KQlv74F/9cTAtmVmL2+dg76VTKDjRUSW9daX09OI2pc+itT9exBYZHYIkISGxnWRCuZJUB0LcDpD&#10;l0MgHA+vijx/laOJo21RFC9XyyL5YOXjc+t8eCuhI3FRUYdVTfLseO9DDIeVj1eiNw9aiZ3SOm3c&#10;vt5qR44MO2CXxqT+0zVtSF/R6yIvRgJ/lZin8SeJTgVsZa26iq7Ol1gZub0xIjVaYEqPawxZmwlk&#10;ZDdSDEM9ECUquowOItcaxAnJOhg7F38aLlpw3ynpsWsr6r8dmJOU6HcGq3O9WC5jm6fNskhc3aWl&#10;vrQww1GqooGScbkN6WtEbgZusYqNSnyfIplCxm5M2KefE9v9cp9uPf3vzQ8AAAD//wMAUEsDBBQA&#10;BgAIAAAAIQABk3DD3wAAAAkBAAAPAAAAZHJzL2Rvd25yZXYueG1sTI/BTsMwDIbvSLxDZCQuiKXt&#10;oBul6YSQQHCDbYJr1nptReKUJOvK2+Od4Gj/1u/vK1eTNWJEH3pHCtJZAgKpdk1PrYLt5ul6CSJE&#10;TY02jlDBDwZYVednpS4ad6R3HNexFVxCodAKuhiHQspQd2h1mLkBibO981ZHHn0rG6+PXG6NzJIk&#10;l1b3xB86PeBjh/XX+mAVLG9exs/wOn/7qPO9uYtXi/H52yt1eTE93IOIOMW/YzjhMzpUzLRzB2qC&#10;MApYJPI2zVngFCfZIgOxUzDP01uQVSn/G1S/AAAA//8DAFBLAQItABQABgAIAAAAIQC2gziS/gAA&#10;AOEBAAATAAAAAAAAAAAAAAAAAAAAAABbQ29udGVudF9UeXBlc10ueG1sUEsBAi0AFAAGAAgAAAAh&#10;ADj9If/WAAAAlAEAAAsAAAAAAAAAAAAAAAAALwEAAF9yZWxzLy5yZWxzUEsBAi0AFAAGAAgAAAAh&#10;ADYI6xIUAgAAJwQAAA4AAAAAAAAAAAAAAAAALgIAAGRycy9lMm9Eb2MueG1sUEsBAi0AFAAGAAgA&#10;AAAhAAGTcMPfAAAACQEAAA8AAAAAAAAAAAAAAAAAbgQAAGRycy9kb3ducmV2LnhtbFBLBQYAAAAA&#10;BAAEAPMAAAB6BQAAAAA=&#10;">
                <v:textbox>
                  <w:txbxContent>
                    <w:p w14:paraId="4CB3F539" w14:textId="77777777" w:rsidR="00AB104D" w:rsidRPr="00AB104D" w:rsidRDefault="00AB104D" w:rsidP="00AB104D">
                      <w:pPr>
                        <w:rPr>
                          <w:rFonts w:cs="Arial"/>
                          <w:b/>
                          <w:bCs/>
                        </w:rPr>
                      </w:pPr>
                      <w:r w:rsidRPr="00AB104D">
                        <w:rPr>
                          <w:rFonts w:cs="Arial"/>
                          <w:b/>
                          <w:bCs/>
                        </w:rPr>
                        <w:t xml:space="preserve">Recommendation 6. </w:t>
                      </w:r>
                      <w:r w:rsidRPr="00AB104D">
                        <w:rPr>
                          <w:rFonts w:cs="Arial"/>
                        </w:rPr>
                        <w:t>The Minister to initiate a process for the development and execution of a communications program that provides local communities with a clear narrative about the pragmatic reasons for the energy transition.</w:t>
                      </w:r>
                    </w:p>
                    <w:p w14:paraId="067757A8" w14:textId="0260D5B4" w:rsidR="00AB104D" w:rsidRPr="00AB104D" w:rsidRDefault="00AB104D" w:rsidP="00AB104D">
                      <w:r w:rsidRPr="00AB104D">
                        <w:rPr>
                          <w:rFonts w:cs="Arial"/>
                          <w:b/>
                          <w:bCs/>
                        </w:rPr>
                        <w:t xml:space="preserve">Recommendation 7. </w:t>
                      </w:r>
                      <w:r w:rsidRPr="00AB104D">
                        <w:rPr>
                          <w:rFonts w:cs="Arial"/>
                        </w:rPr>
                        <w:t>The Commonwealth to work with state and territory governments to implement appropriate oversight governance arrangements that should be in place for transition projects of national significance and to provide a cross-discipline, whole-of-government approach to the energy transition.</w:t>
                      </w:r>
                    </w:p>
                  </w:txbxContent>
                </v:textbox>
                <w10:wrap type="square" anchorx="margin"/>
              </v:shape>
            </w:pict>
          </mc:Fallback>
        </mc:AlternateContent>
      </w:r>
      <w:r w:rsidR="009E6D27" w:rsidRPr="009E6D27">
        <w:rPr>
          <w:rFonts w:cs="Arial"/>
        </w:rPr>
        <w:t>Improve community understanding of the need for the transition, including what is to be deployed in their region as well as where, when and why. Ensure appropriate governance is in place to manage the broader impacts of the transition as well as oversight of projects of national significance.</w:t>
      </w:r>
    </w:p>
    <w:p w14:paraId="4369F1F0" w14:textId="2F1E0F23" w:rsidR="00AB104D" w:rsidRPr="009E6D27" w:rsidRDefault="00AB104D" w:rsidP="009E6D27">
      <w:pPr>
        <w:spacing w:after="0" w:line="336" w:lineRule="auto"/>
        <w:rPr>
          <w:rFonts w:cs="Arial"/>
        </w:rPr>
      </w:pPr>
    </w:p>
    <w:p w14:paraId="2C7ABE5A" w14:textId="77777777" w:rsidR="009E6D27" w:rsidRPr="00A4794B" w:rsidRDefault="009E6D27" w:rsidP="009E6D27">
      <w:pPr>
        <w:spacing w:after="0" w:line="336" w:lineRule="auto"/>
        <w:rPr>
          <w:rFonts w:cs="Arial"/>
        </w:rPr>
      </w:pPr>
      <w:r>
        <w:rPr>
          <w:rFonts w:cs="Arial"/>
          <w:i/>
          <w:iCs/>
        </w:rPr>
        <w:t>Theme 6: Coordinated economic development and community benefits</w:t>
      </w:r>
    </w:p>
    <w:p w14:paraId="7BE5411B" w14:textId="45FADE1B" w:rsidR="009E6D27" w:rsidRPr="00A4794B" w:rsidRDefault="00AB104D" w:rsidP="009E6D27">
      <w:pPr>
        <w:spacing w:after="0" w:line="336" w:lineRule="auto"/>
        <w:rPr>
          <w:rFonts w:cs="Arial"/>
        </w:rPr>
      </w:pPr>
      <w:r w:rsidRPr="00A32583">
        <w:rPr>
          <w:rFonts w:cs="Arial"/>
          <w:b/>
          <w:bCs/>
          <w:noProof/>
        </w:rPr>
        <mc:AlternateContent>
          <mc:Choice Requires="wps">
            <w:drawing>
              <wp:anchor distT="45720" distB="45720" distL="114300" distR="114300" simplePos="0" relativeHeight="251658250" behindDoc="0" locked="0" layoutInCell="1" allowOverlap="1" wp14:anchorId="488BC3C3" wp14:editId="44279B28">
                <wp:simplePos x="0" y="0"/>
                <wp:positionH relativeFrom="margin">
                  <wp:align>left</wp:align>
                </wp:positionH>
                <wp:positionV relativeFrom="paragraph">
                  <wp:posOffset>739752</wp:posOffset>
                </wp:positionV>
                <wp:extent cx="6522720" cy="1940560"/>
                <wp:effectExtent l="0" t="0" r="11430" b="21590"/>
                <wp:wrapSquare wrapText="bothSides"/>
                <wp:docPr id="614877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40560"/>
                        </a:xfrm>
                        <a:prstGeom prst="rect">
                          <a:avLst/>
                        </a:prstGeom>
                        <a:solidFill>
                          <a:srgbClr val="FFFFFF"/>
                        </a:solidFill>
                        <a:ln w="9525">
                          <a:solidFill>
                            <a:srgbClr val="000000"/>
                          </a:solidFill>
                          <a:miter lim="800000"/>
                          <a:headEnd/>
                          <a:tailEnd/>
                        </a:ln>
                      </wps:spPr>
                      <wps:txbx>
                        <w:txbxContent>
                          <w:p w14:paraId="646B5B36" w14:textId="77777777" w:rsidR="00AB104D" w:rsidRPr="00151C09" w:rsidRDefault="00AB104D" w:rsidP="00AB104D">
                            <w:pPr>
                              <w:spacing w:after="0" w:line="336" w:lineRule="auto"/>
                              <w:rPr>
                                <w:rFonts w:cs="Arial"/>
                              </w:rPr>
                            </w:pPr>
                            <w:r w:rsidRPr="00151C09">
                              <w:rPr>
                                <w:rFonts w:cs="Arial"/>
                                <w:b/>
                                <w:bCs/>
                              </w:rPr>
                              <w:t>Recommendation 8.</w:t>
                            </w:r>
                            <w:r w:rsidRPr="00151C09">
                              <w:rPr>
                                <w:rFonts w:cs="Arial"/>
                              </w:rPr>
                              <w:t xml:space="preserve"> The Commonwealth to work with jurisdictions to ensure appropriate arrangements exist at state, territory and national levels to provide a cross-discipline, whole-of-government approach to identify, cultivate and generate tangible economic and investment attraction opportunities for regional businesses, including First Nations peoples and their enterprises.</w:t>
                            </w:r>
                          </w:p>
                          <w:p w14:paraId="059703C2" w14:textId="77777777" w:rsidR="00AB104D" w:rsidRPr="00151C09" w:rsidRDefault="00AB104D" w:rsidP="00AB104D">
                            <w:pPr>
                              <w:spacing w:after="0" w:line="336" w:lineRule="auto"/>
                              <w:ind w:left="720"/>
                              <w:rPr>
                                <w:rFonts w:cs="Arial"/>
                              </w:rPr>
                            </w:pPr>
                          </w:p>
                          <w:p w14:paraId="22415F7A" w14:textId="4A1DB11D" w:rsidR="00AB104D" w:rsidRPr="00AB104D" w:rsidRDefault="00AB104D" w:rsidP="00AB104D">
                            <w:pPr>
                              <w:spacing w:after="0" w:line="336" w:lineRule="auto"/>
                            </w:pPr>
                            <w:r w:rsidRPr="00151C09">
                              <w:rPr>
                                <w:rFonts w:cs="Arial"/>
                                <w:b/>
                                <w:bCs/>
                              </w:rPr>
                              <w:t>Recommendation 9.</w:t>
                            </w:r>
                            <w:r w:rsidRPr="00151C09">
                              <w:rPr>
                                <w:rFonts w:cs="Arial"/>
                              </w:rPr>
                              <w:t xml:space="preserve"> States, territories and local governments to encourage local community groups to proactively identify opportunities for the broader community’s benefit, as well as to take ownership of sound opportunities to secure support and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BC3C3" id="_x0000_s1031" type="#_x0000_t202" style="position:absolute;margin-left:0;margin-top:58.25pt;width:513.6pt;height:152.8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5SFAIAACcEAAAOAAAAZHJzL2Uyb0RvYy54bWysk1Fv2yAQx98n7Tsg3hc7Vpw1VpyqS5dp&#10;UtdN6vYBMMYxGnAMSOzu0+/AaRp128s0HhDHwZ+73x3r61ErchTOSzA1nc9ySoTh0Eqzr+m3r7s3&#10;V5T4wEzLFBhR00fh6fXm9av1YCtRQA+qFY6giPHVYGvah2CrLPO8F5r5GVhh0NmB0yyg6fZZ69iA&#10;6lplRZ4vswFcax1w4T3u3k5Oukn6XSd4+Nx1XgSiaoqxhTS7NDdxzjZrVu0ds73kpzDYP0ShmTT4&#10;6FnqlgVGDk7+JqUld+ChCzMOOoOuk1ykHDCbef4im4eeWZFyQTjenjH5/yfL748P9osjYXwHIxYw&#10;JeHtHfDvnhjY9szsxY1zMPSCtfjwPCLLBuur09WI2lc+ijTDJ2ixyOwQIAmNndORCuZJUB0L8HiG&#10;LsZAOG4uy6J4W6CLo2++WuTlMpUlY9XTdet8+CBAk7ioqcOqJnl2vPMhhsOqpyPxNQ9KtjupVDLc&#10;vtkqR44MO2CXRsrgxTFlyFDTVVmUE4G/SuRp/ElCy4CtrKSu6dX5EKsit/emTY0WmFTTGkNW5gQy&#10;spsohrEZiWxrWsYHItcG2kck62DqXPxpuOjB/aRkwK6tqf9xYE5Qoj4arM5qvljENk/Gokxc3aWn&#10;ufQww1GqpoGSabkN6WtEbgZusIqdTHyfIzmFjN2YsJ9+Tmz3Szudev7fm18AAAD//wMAUEsDBBQA&#10;BgAIAAAAIQDtE8iT3wAAAAkBAAAPAAAAZHJzL2Rvd25yZXYueG1sTI/BTsMwEETvSPyDtUhcEHVi&#10;SlpCnAohgeAGbQVXN94mEfY62G4a/h73BMfZWc28qVaTNWxEH3pHEvJZBgypcbqnVsJ283S9BBai&#10;Iq2MI5TwgwFW9flZpUrtjvSO4zq2LIVQKJWELsah5Dw0HVoVZm5ASt7eeatikr7l2qtjCreGiywr&#10;uFU9pYZODfjYYfO1PlgJy/nL+Bleb94+mmJv7uLVYnz+9lJeXkwP98AiTvHvGU74CR3qxLRzB9KB&#10;GQlpSEzXvLgFdrIzsRDAdhLmQuTA64r/X1D/AgAA//8DAFBLAQItABQABgAIAAAAIQC2gziS/gAA&#10;AOEBAAATAAAAAAAAAAAAAAAAAAAAAABbQ29udGVudF9UeXBlc10ueG1sUEsBAi0AFAAGAAgAAAAh&#10;ADj9If/WAAAAlAEAAAsAAAAAAAAAAAAAAAAALwEAAF9yZWxzLy5yZWxzUEsBAi0AFAAGAAgAAAAh&#10;AMFbLlIUAgAAJwQAAA4AAAAAAAAAAAAAAAAALgIAAGRycy9lMm9Eb2MueG1sUEsBAi0AFAAGAAgA&#10;AAAhAO0TyJPfAAAACQEAAA8AAAAAAAAAAAAAAAAAbgQAAGRycy9kb3ducmV2LnhtbFBLBQYAAAAA&#10;BAAEAPMAAAB6BQAAAAA=&#10;">
                <v:textbox>
                  <w:txbxContent>
                    <w:p w14:paraId="646B5B36" w14:textId="77777777" w:rsidR="00AB104D" w:rsidRPr="00151C09" w:rsidRDefault="00AB104D" w:rsidP="00AB104D">
                      <w:pPr>
                        <w:spacing w:after="0" w:line="336" w:lineRule="auto"/>
                        <w:rPr>
                          <w:rFonts w:cs="Arial"/>
                        </w:rPr>
                      </w:pPr>
                      <w:r w:rsidRPr="00151C09">
                        <w:rPr>
                          <w:rFonts w:cs="Arial"/>
                          <w:b/>
                          <w:bCs/>
                        </w:rPr>
                        <w:t>Recommendation 8.</w:t>
                      </w:r>
                      <w:r w:rsidRPr="00151C09">
                        <w:rPr>
                          <w:rFonts w:cs="Arial"/>
                        </w:rPr>
                        <w:t xml:space="preserve"> The Commonwealth to work with jurisdictions to ensure appropriate arrangements exist at state, territory and national levels to provide a cross-discipline, whole-of-government approach to identify, cultivate and generate tangible economic and investment attraction opportunities for regional businesses, including First Nations peoples and their enterprises.</w:t>
                      </w:r>
                    </w:p>
                    <w:p w14:paraId="059703C2" w14:textId="77777777" w:rsidR="00AB104D" w:rsidRPr="00151C09" w:rsidRDefault="00AB104D" w:rsidP="00AB104D">
                      <w:pPr>
                        <w:spacing w:after="0" w:line="336" w:lineRule="auto"/>
                        <w:ind w:left="720"/>
                        <w:rPr>
                          <w:rFonts w:cs="Arial"/>
                        </w:rPr>
                      </w:pPr>
                    </w:p>
                    <w:p w14:paraId="22415F7A" w14:textId="4A1DB11D" w:rsidR="00AB104D" w:rsidRPr="00AB104D" w:rsidRDefault="00AB104D" w:rsidP="00AB104D">
                      <w:pPr>
                        <w:spacing w:after="0" w:line="336" w:lineRule="auto"/>
                      </w:pPr>
                      <w:r w:rsidRPr="00151C09">
                        <w:rPr>
                          <w:rFonts w:cs="Arial"/>
                          <w:b/>
                          <w:bCs/>
                        </w:rPr>
                        <w:t>Recommendation 9.</w:t>
                      </w:r>
                      <w:r w:rsidRPr="00151C09">
                        <w:rPr>
                          <w:rFonts w:cs="Arial"/>
                        </w:rPr>
                        <w:t xml:space="preserve"> States, territories and local governments to encourage local community groups to proactively identify opportunities for the broader community’s benefit, as well as to take ownership of sound opportunities to secure support and funding.</w:t>
                      </w:r>
                    </w:p>
                  </w:txbxContent>
                </v:textbox>
                <w10:wrap type="square" anchorx="margin"/>
              </v:shape>
            </w:pict>
          </mc:Fallback>
        </mc:AlternateContent>
      </w:r>
      <w:r w:rsidR="00A4794B" w:rsidRPr="00A4794B">
        <w:rPr>
          <w:rFonts w:cs="Arial"/>
        </w:rPr>
        <w:t>Improve acceptance of the transition changes and impacts by engaging the community to identify opportunities and enable sustainable benefit sharing. These opportunities include local economic development in conjunction with numerous other opportunities that will benefit the broader community.</w:t>
      </w:r>
    </w:p>
    <w:p w14:paraId="2A0308A6" w14:textId="43023011" w:rsidR="00A4794B" w:rsidRPr="00151C09" w:rsidRDefault="00A4794B" w:rsidP="009E6D27">
      <w:pPr>
        <w:spacing w:after="0" w:line="336" w:lineRule="auto"/>
        <w:rPr>
          <w:rFonts w:cs="Arial"/>
          <w:i/>
          <w:iCs/>
        </w:rPr>
      </w:pPr>
    </w:p>
    <w:p w14:paraId="55821CF3" w14:textId="619B409A" w:rsidR="00A4794B" w:rsidRDefault="00A4794B" w:rsidP="00AB104D">
      <w:pPr>
        <w:rPr>
          <w:rStyle w:val="Hyperlink"/>
          <w:rFonts w:cs="Arial"/>
          <w:lang w:eastAsia="en-AU"/>
        </w:rPr>
      </w:pPr>
      <w:r>
        <w:rPr>
          <w:rFonts w:cs="Arial"/>
          <w:i/>
          <w:iCs/>
          <w:lang w:eastAsia="en-AU"/>
        </w:rPr>
        <w:t>Links to PDF and MS Word versions of the full report are available on the AEIC website at:</w:t>
      </w:r>
      <w:r w:rsidR="00AB104D">
        <w:rPr>
          <w:rFonts w:cs="Arial"/>
          <w:i/>
          <w:iCs/>
          <w:lang w:eastAsia="en-AU"/>
        </w:rPr>
        <w:br/>
      </w:r>
      <w:hyperlink r:id="rId91" w:history="1">
        <w:r w:rsidR="00E13DA3" w:rsidRPr="004F2694">
          <w:rPr>
            <w:rStyle w:val="Hyperlink"/>
            <w:rFonts w:cs="Arial"/>
            <w:lang w:eastAsia="en-AU"/>
          </w:rPr>
          <w:t>https://www.aeic.gov.au/news-media/news/community-engagement-review-report</w:t>
        </w:r>
      </w:hyperlink>
    </w:p>
    <w:p w14:paraId="198DBF8A" w14:textId="77777777" w:rsidR="00682419" w:rsidRDefault="00682419">
      <w:pPr>
        <w:rPr>
          <w:rStyle w:val="Hyperlink"/>
          <w:rFonts w:cs="Arial"/>
          <w:lang w:eastAsia="en-AU"/>
        </w:rPr>
        <w:sectPr w:rsidR="00682419" w:rsidSect="00D801AB">
          <w:headerReference w:type="first" r:id="rId92"/>
          <w:footerReference w:type="first" r:id="rId93"/>
          <w:type w:val="evenPage"/>
          <w:pgSz w:w="11906" w:h="16838" w:code="9"/>
          <w:pgMar w:top="720" w:right="720" w:bottom="720" w:left="720" w:header="425" w:footer="425" w:gutter="0"/>
          <w:cols w:space="708"/>
          <w:titlePg/>
          <w:docGrid w:linePitch="360"/>
        </w:sectPr>
      </w:pPr>
    </w:p>
    <w:p w14:paraId="09C5FBFD" w14:textId="6B9090CE" w:rsidR="00682419" w:rsidRDefault="00682419">
      <w:pPr>
        <w:rPr>
          <w:rStyle w:val="Hyperlink"/>
          <w:rFonts w:cs="Arial"/>
          <w:lang w:eastAsia="en-AU"/>
        </w:rPr>
      </w:pPr>
    </w:p>
    <w:p w14:paraId="1B6E2510" w14:textId="0854B7C9" w:rsidR="00682419" w:rsidRDefault="00682419">
      <w:pPr>
        <w:rPr>
          <w:rFonts w:cs="Arial"/>
          <w:lang w:eastAsia="en-AU"/>
        </w:rPr>
      </w:pPr>
      <w:r>
        <w:rPr>
          <w:rFonts w:cs="Arial"/>
          <w:lang w:eastAsia="en-AU"/>
        </w:rPr>
        <w:br w:type="page"/>
      </w:r>
    </w:p>
    <w:p w14:paraId="351B45A1" w14:textId="724B0063" w:rsidR="00682419" w:rsidRDefault="00682419">
      <w:pPr>
        <w:rPr>
          <w:rFonts w:cs="Arial"/>
          <w:lang w:eastAsia="en-AU"/>
        </w:rPr>
      </w:pPr>
      <w:r>
        <w:rPr>
          <w:rFonts w:cs="Arial"/>
          <w:lang w:eastAsia="en-AU"/>
        </w:rPr>
        <w:lastRenderedPageBreak/>
        <w:br w:type="page"/>
      </w:r>
    </w:p>
    <w:p w14:paraId="425ABA12" w14:textId="77777777" w:rsidR="00682419" w:rsidRPr="00A4794B" w:rsidRDefault="00682419" w:rsidP="00AB104D">
      <w:pPr>
        <w:rPr>
          <w:rFonts w:cs="Arial"/>
          <w:lang w:eastAsia="en-AU"/>
        </w:rPr>
      </w:pPr>
    </w:p>
    <w:sectPr w:rsidR="00682419" w:rsidRPr="00A4794B" w:rsidSect="00682419">
      <w:headerReference w:type="default" r:id="rId94"/>
      <w:footerReference w:type="default" r:id="rId95"/>
      <w:headerReference w:type="first" r:id="rId96"/>
      <w:footerReference w:type="first" r:id="rId97"/>
      <w:pgSz w:w="11906" w:h="16838" w:code="9"/>
      <w:pgMar w:top="720" w:right="720" w:bottom="720" w:left="720"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5DCE" w14:textId="77777777" w:rsidR="00D801AB" w:rsidRDefault="00D801AB" w:rsidP="005874E7">
      <w:pPr>
        <w:spacing w:after="0" w:line="240" w:lineRule="auto"/>
      </w:pPr>
      <w:r>
        <w:separator/>
      </w:r>
    </w:p>
  </w:endnote>
  <w:endnote w:type="continuationSeparator" w:id="0">
    <w:p w14:paraId="63916052" w14:textId="77777777" w:rsidR="00D801AB" w:rsidRDefault="00D801AB" w:rsidP="005874E7">
      <w:pPr>
        <w:spacing w:after="0" w:line="240" w:lineRule="auto"/>
      </w:pPr>
      <w:r>
        <w:continuationSeparator/>
      </w:r>
    </w:p>
  </w:endnote>
  <w:endnote w:type="continuationNotice" w:id="1">
    <w:p w14:paraId="504BFFD9" w14:textId="77777777" w:rsidR="00D801AB" w:rsidRDefault="00D80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F5D5" w14:textId="77777777" w:rsidR="0039611E" w:rsidRDefault="003961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7146"/>
      <w:docPartObj>
        <w:docPartGallery w:val="Page Numbers (Bottom of Page)"/>
        <w:docPartUnique/>
      </w:docPartObj>
    </w:sdtPr>
    <w:sdtEndPr>
      <w:rPr>
        <w:noProof/>
      </w:rPr>
    </w:sdtEndPr>
    <w:sdtContent>
      <w:p w14:paraId="2BFEFC71" w14:textId="76B6FF7D" w:rsidR="005A0D06" w:rsidRPr="00680695" w:rsidRDefault="00680695" w:rsidP="0068069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5</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w:t>
        </w:r>
        <w:r w:rsidR="00840BB5">
          <w:rPr>
            <w:rFonts w:ascii="Calibri Light" w:hAnsi="Calibri Light"/>
            <w:sz w:val="20"/>
            <w:szCs w:val="20"/>
          </w:rPr>
          <w:t>3</w:t>
        </w:r>
        <w:r>
          <w:rPr>
            <w:rFonts w:ascii="Calibri Light" w:hAnsi="Calibri Light"/>
            <w:sz w:val="20"/>
            <w:szCs w:val="20"/>
          </w:rPr>
          <w:t xml:space="preserve"> Annual Report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675190"/>
      <w:docPartObj>
        <w:docPartGallery w:val="Page Numbers (Bottom of Page)"/>
        <w:docPartUnique/>
      </w:docPartObj>
    </w:sdtPr>
    <w:sdtEndPr>
      <w:rPr>
        <w:noProof/>
      </w:rPr>
    </w:sdtEndPr>
    <w:sdtContent>
      <w:p w14:paraId="177142E0" w14:textId="190A90C4" w:rsidR="00B14CA8" w:rsidRPr="00D24782" w:rsidRDefault="00B14CA8" w:rsidP="00D24782">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89</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w:t>
        </w:r>
        <w:r w:rsidR="00B15D47">
          <w:rPr>
            <w:rFonts w:ascii="Calibri Light" w:hAnsi="Calibri Light"/>
            <w:sz w:val="20"/>
            <w:szCs w:val="20"/>
          </w:rPr>
          <w:t>3</w:t>
        </w:r>
        <w:r>
          <w:rPr>
            <w:rFonts w:ascii="Calibri Light" w:hAnsi="Calibri Light"/>
            <w:sz w:val="20"/>
            <w:szCs w:val="20"/>
          </w:rPr>
          <w:t xml:space="preserve"> Annual Report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47342"/>
      <w:docPartObj>
        <w:docPartGallery w:val="Page Numbers (Bottom of Page)"/>
        <w:docPartUnique/>
      </w:docPartObj>
    </w:sdtPr>
    <w:sdtEndPr>
      <w:rPr>
        <w:noProof/>
      </w:rPr>
    </w:sdtEndPr>
    <w:sdtContent>
      <w:sdt>
        <w:sdtPr>
          <w:id w:val="640240805"/>
          <w:docPartObj>
            <w:docPartGallery w:val="Page Numbers (Bottom of Page)"/>
            <w:docPartUnique/>
          </w:docPartObj>
        </w:sdtPr>
        <w:sdtEndPr>
          <w:rPr>
            <w:noProof/>
          </w:rPr>
        </w:sdtEndPr>
        <w:sdtContent>
          <w:sdt>
            <w:sdtPr>
              <w:id w:val="-1511747473"/>
              <w:docPartObj>
                <w:docPartGallery w:val="Page Numbers (Bottom of Page)"/>
                <w:docPartUnique/>
              </w:docPartObj>
            </w:sdtPr>
            <w:sdtEndPr>
              <w:rPr>
                <w:noProof/>
              </w:rPr>
            </w:sdtEndPr>
            <w:sdtContent>
              <w:sdt>
                <w:sdtPr>
                  <w:id w:val="1162584603"/>
                  <w:docPartObj>
                    <w:docPartGallery w:val="Page Numbers (Bottom of Page)"/>
                    <w:docPartUnique/>
                  </w:docPartObj>
                </w:sdtPr>
                <w:sdtEndPr>
                  <w:rPr>
                    <w:noProof/>
                  </w:rPr>
                </w:sdtEndPr>
                <w:sdtContent>
                  <w:sdt>
                    <w:sdtPr>
                      <w:id w:val="1429546573"/>
                      <w:docPartObj>
                        <w:docPartGallery w:val="Page Numbers (Bottom of Page)"/>
                        <w:docPartUnique/>
                      </w:docPartObj>
                    </w:sdtPr>
                    <w:sdtEndPr>
                      <w:rPr>
                        <w:noProof/>
                      </w:rPr>
                    </w:sdtEndPr>
                    <w:sdtContent>
                      <w:p w14:paraId="68857DF5" w14:textId="1CE72DCD" w:rsidR="00B14CA8" w:rsidRPr="00D24782" w:rsidRDefault="00B14CA8" w:rsidP="00C74358">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89</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w:t>
                        </w:r>
                        <w:r w:rsidR="00840BB5">
                          <w:rPr>
                            <w:rFonts w:ascii="Calibri Light" w:hAnsi="Calibri Light"/>
                            <w:sz w:val="20"/>
                            <w:szCs w:val="20"/>
                          </w:rPr>
                          <w:t>3</w:t>
                        </w:r>
                        <w:r>
                          <w:rPr>
                            <w:rFonts w:ascii="Calibri Light" w:hAnsi="Calibri Light"/>
                            <w:sz w:val="20"/>
                            <w:szCs w:val="20"/>
                          </w:rPr>
                          <w:t xml:space="preserve"> Annual Report</w:t>
                        </w:r>
                      </w:p>
                    </w:sdtContent>
                  </w:sdt>
                </w:sdtContent>
              </w:sdt>
            </w:sdtContent>
          </w:sdt>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27799"/>
      <w:docPartObj>
        <w:docPartGallery w:val="Page Numbers (Bottom of Page)"/>
        <w:docPartUnique/>
      </w:docPartObj>
    </w:sdtPr>
    <w:sdtEndPr>
      <w:rPr>
        <w:noProof/>
      </w:rPr>
    </w:sdtEndPr>
    <w:sdtContent>
      <w:p w14:paraId="123CEA5B" w14:textId="2959219B" w:rsidR="00B14CA8" w:rsidRPr="00D24782" w:rsidRDefault="00B14CA8" w:rsidP="00D24782">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89</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w:t>
        </w:r>
        <w:r w:rsidR="00427F6E">
          <w:rPr>
            <w:rFonts w:ascii="Calibri Light" w:hAnsi="Calibri Light"/>
            <w:sz w:val="20"/>
            <w:szCs w:val="20"/>
          </w:rPr>
          <w:t>3</w:t>
        </w:r>
        <w:r>
          <w:rPr>
            <w:rFonts w:ascii="Calibri Light" w:hAnsi="Calibri Light"/>
            <w:sz w:val="20"/>
            <w:szCs w:val="20"/>
          </w:rPr>
          <w:t xml:space="preserve"> Annual Report</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C3F4" w14:textId="38B6D395" w:rsidR="00B14CA8" w:rsidRPr="00682419" w:rsidRDefault="00B14CA8" w:rsidP="00F55004">
    <w:pPr>
      <w:pStyle w:val="Footer"/>
      <w:tabs>
        <w:tab w:val="clear" w:pos="4513"/>
        <w:tab w:val="clear" w:pos="9026"/>
        <w:tab w:val="left" w:pos="4710"/>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705554"/>
      <w:docPartObj>
        <w:docPartGallery w:val="Page Numbers (Bottom of Page)"/>
        <w:docPartUnique/>
      </w:docPartObj>
    </w:sdtPr>
    <w:sdtEndPr>
      <w:rPr>
        <w:noProof/>
      </w:rPr>
    </w:sdtEndPr>
    <w:sdtContent>
      <w:p w14:paraId="1B0A74F1" w14:textId="78482E27" w:rsidR="00B14CA8" w:rsidRPr="00D24782" w:rsidRDefault="00B14CA8" w:rsidP="00D24782">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89</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w:t>
        </w:r>
        <w:r w:rsidR="005F3E30">
          <w:rPr>
            <w:rFonts w:ascii="Calibri Light" w:hAnsi="Calibri Light"/>
            <w:sz w:val="20"/>
            <w:szCs w:val="20"/>
          </w:rPr>
          <w:t>3</w:t>
        </w:r>
        <w:r>
          <w:rPr>
            <w:rFonts w:ascii="Calibri Light" w:hAnsi="Calibri Light"/>
            <w:sz w:val="20"/>
            <w:szCs w:val="20"/>
          </w:rPr>
          <w:t xml:space="preserve"> Annual Report</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CBBD" w14:textId="282F9E57" w:rsidR="00BC4C22" w:rsidRPr="00682419" w:rsidRDefault="00BC4C22" w:rsidP="0068241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67029"/>
      <w:docPartObj>
        <w:docPartGallery w:val="Page Numbers (Bottom of Page)"/>
        <w:docPartUnique/>
      </w:docPartObj>
    </w:sdtPr>
    <w:sdtEndPr>
      <w:rPr>
        <w:noProof/>
      </w:rPr>
    </w:sdtEndPr>
    <w:sdtContent>
      <w:p w14:paraId="2AD38ABD" w14:textId="28E12DB1" w:rsidR="00BC4C22" w:rsidRPr="00F55004" w:rsidRDefault="0039611E" w:rsidP="0039611E">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33</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2023 Annual Report</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8390"/>
      <w:docPartObj>
        <w:docPartGallery w:val="Page Numbers (Bottom of Page)"/>
        <w:docPartUnique/>
      </w:docPartObj>
    </w:sdtPr>
    <w:sdtEndPr>
      <w:rPr>
        <w:noProof/>
      </w:rPr>
    </w:sdtEndPr>
    <w:sdtContent>
      <w:p w14:paraId="5F4FA829" w14:textId="59719148" w:rsidR="00F55004" w:rsidRPr="00F55004" w:rsidRDefault="00F55004" w:rsidP="00F55004">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35</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2023 Annual Report</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4186"/>
      <w:docPartObj>
        <w:docPartGallery w:val="Page Numbers (Bottom of Page)"/>
        <w:docPartUnique/>
      </w:docPartObj>
    </w:sdtPr>
    <w:sdtEndPr>
      <w:rPr>
        <w:noProof/>
      </w:rPr>
    </w:sdtEndPr>
    <w:sdtContent>
      <w:p w14:paraId="396BE95C" w14:textId="107DC6A4" w:rsidR="00F55004" w:rsidRPr="00F55004" w:rsidRDefault="00F55004" w:rsidP="00F55004">
        <w:pPr>
          <w:pStyle w:val="Footer"/>
          <w:pBdr>
            <w:top w:val="single" w:sz="2" w:space="1" w:color="595959" w:themeColor="text1" w:themeTint="A6"/>
            <w:bottom w:val="single" w:sz="2" w:space="1" w:color="595959" w:themeColor="text1" w:themeTint="A6"/>
          </w:pBdr>
          <w:tabs>
            <w:tab w:val="clear" w:pos="9026"/>
            <w:tab w:val="right" w:pos="10490"/>
          </w:tabs>
          <w:spacing w:before="240"/>
          <w:rPr>
            <w:noProof/>
          </w:rPr>
        </w:pPr>
        <w:r>
          <w:rPr>
            <w:rFonts w:ascii="Calibri Light" w:hAnsi="Calibri Light"/>
            <w:sz w:val="20"/>
            <w:szCs w:val="20"/>
          </w:rPr>
          <w:t>Australian Energy Infrastructure Commissioner: 2023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32</w:t>
        </w:r>
        <w:r w:rsidRPr="005257B7">
          <w:rPr>
            <w:rFonts w:ascii="Calibri Light" w:hAnsi="Calibri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40DF" w14:textId="77777777" w:rsidR="0039611E" w:rsidRDefault="0039611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F513" w14:textId="5BD8D41C" w:rsidR="0039611E" w:rsidRPr="0039611E" w:rsidRDefault="0039611E" w:rsidP="0039611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868" w14:textId="77777777" w:rsidR="00F55004" w:rsidRPr="00F55004" w:rsidRDefault="00F55004" w:rsidP="00F55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6152" w14:textId="77777777" w:rsidR="005A0D06" w:rsidRPr="0096116D" w:rsidRDefault="005A0D06" w:rsidP="00C90C7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03E6" w14:textId="77777777" w:rsidR="005A0D06" w:rsidRPr="006048D4" w:rsidRDefault="003551F5" w:rsidP="00C90C75">
    <w:pPr>
      <w:pStyle w:val="Footer"/>
      <w:jc w:val="center"/>
      <w:rPr>
        <w:rFonts w:ascii="Calibri" w:hAnsi="Calibri"/>
      </w:rPr>
    </w:pPr>
    <w:r>
      <w:rPr>
        <w:rFonts w:ascii="Calibri" w:hAnsi="Calibri"/>
        <w:sz w:val="20"/>
      </w:rPr>
      <w:pict w14:anchorId="146C23F1">
        <v:rect id="_x0000_i1026" style="width:481.9pt;height:1pt" o:hralign="center" o:hrstd="t" o:hrnoshade="t" o:hr="t" fillcolor="black [3213]" stroked="f"/>
      </w:pict>
    </w:r>
  </w:p>
  <w:p w14:paraId="3EFC3D63" w14:textId="77777777" w:rsidR="005A0D06" w:rsidRPr="006048D4" w:rsidRDefault="005A0D06" w:rsidP="00C90C75">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w:t>
    </w:r>
    <w:r>
      <w:rPr>
        <w:rFonts w:ascii="Calibri" w:hAnsi="Calibri"/>
      </w:rPr>
      <w:t>aeic</w:t>
    </w:r>
    <w:r w:rsidRPr="006048D4">
      <w:rPr>
        <w:rFonts w:ascii="Calibri" w:hAnsi="Calibri"/>
      </w:rPr>
      <w:t>.gov.au</w:t>
    </w:r>
  </w:p>
  <w:p w14:paraId="6DCBC698" w14:textId="77777777" w:rsidR="005A0D06" w:rsidRPr="0096116D" w:rsidRDefault="005A0D06" w:rsidP="00C90C7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C380" w14:textId="69509131" w:rsidR="00AB0F79" w:rsidRPr="005B5467" w:rsidRDefault="00AB0F79" w:rsidP="005B54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0436" w14:textId="0917FD81" w:rsidR="005A0D06" w:rsidRPr="00680695" w:rsidRDefault="005A0D06" w:rsidP="008D400E">
    <w:pPr>
      <w:pStyle w:val="Footer"/>
      <w:tabs>
        <w:tab w:val="clear" w:pos="9026"/>
        <w:tab w:val="right" w:pos="10490"/>
      </w:tabs>
      <w:spacing w:before="240"/>
      <w:rPr>
        <w:rFonts w:ascii="Calibri Light" w:hAnsi="Calibri Light"/>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357902"/>
      <w:docPartObj>
        <w:docPartGallery w:val="Page Numbers (Bottom of Page)"/>
        <w:docPartUnique/>
      </w:docPartObj>
    </w:sdtPr>
    <w:sdtEndPr>
      <w:rPr>
        <w:noProof/>
      </w:rPr>
    </w:sdtEndPr>
    <w:sdtContent>
      <w:p w14:paraId="042EC7B7" w14:textId="25A82EE1" w:rsidR="005A0D06" w:rsidRPr="000F2F29" w:rsidRDefault="00680695"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Australian Energy Infrastructure Commissioner: 202</w:t>
        </w:r>
        <w:r w:rsidR="00C50CDB">
          <w:rPr>
            <w:rFonts w:ascii="Calibri Light" w:hAnsi="Calibri Light"/>
            <w:sz w:val="20"/>
            <w:szCs w:val="20"/>
          </w:rPr>
          <w:t>3</w:t>
        </w:r>
        <w:r>
          <w:rPr>
            <w:rFonts w:ascii="Calibri Light" w:hAnsi="Calibri Light"/>
            <w:sz w:val="20"/>
            <w:szCs w:val="20"/>
          </w:rPr>
          <w:t xml:space="preserve">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2</w:t>
        </w:r>
        <w:r w:rsidRPr="005257B7">
          <w:rPr>
            <w:rFonts w:ascii="Calibri Light" w:hAnsi="Calibri Light"/>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78116"/>
      <w:docPartObj>
        <w:docPartGallery w:val="Page Numbers (Bottom of Page)"/>
        <w:docPartUnique/>
      </w:docPartObj>
    </w:sdtPr>
    <w:sdtEndPr>
      <w:rPr>
        <w:noProof/>
      </w:rPr>
    </w:sdtEndPr>
    <w:sdtContent>
      <w:p w14:paraId="36B699AE" w14:textId="76D47E11" w:rsidR="005A0D06" w:rsidRPr="00680695" w:rsidRDefault="00680695" w:rsidP="0068069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1</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w:t>
        </w:r>
        <w:r w:rsidR="006205D9">
          <w:rPr>
            <w:rFonts w:ascii="Calibri Light" w:hAnsi="Calibri Light"/>
            <w:sz w:val="20"/>
            <w:szCs w:val="20"/>
          </w:rPr>
          <w:t>3</w:t>
        </w:r>
        <w:r>
          <w:rPr>
            <w:rFonts w:ascii="Calibri Light" w:hAnsi="Calibri Light"/>
            <w:sz w:val="20"/>
            <w:szCs w:val="20"/>
          </w:rPr>
          <w:t xml:space="preserve"> Annual Report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36089"/>
      <w:docPartObj>
        <w:docPartGallery w:val="Page Numbers (Bottom of Page)"/>
        <w:docPartUnique/>
      </w:docPartObj>
    </w:sdtPr>
    <w:sdtEndPr>
      <w:rPr>
        <w:noProof/>
      </w:rPr>
    </w:sdtEndPr>
    <w:sdtContent>
      <w:sdt>
        <w:sdtPr>
          <w:id w:val="-753973442"/>
          <w:docPartObj>
            <w:docPartGallery w:val="Page Numbers (Bottom of Page)"/>
            <w:docPartUnique/>
          </w:docPartObj>
        </w:sdtPr>
        <w:sdtEndPr>
          <w:rPr>
            <w:noProof/>
          </w:rPr>
        </w:sdtEndPr>
        <w:sdtContent>
          <w:p w14:paraId="2EF74AD1" w14:textId="2EBED0C0" w:rsidR="005A0D06" w:rsidRPr="00680695" w:rsidRDefault="00680695" w:rsidP="00680695">
            <w:pPr>
              <w:pStyle w:val="Footer"/>
              <w:pBdr>
                <w:top w:val="single" w:sz="2" w:space="1" w:color="595959" w:themeColor="text1" w:themeTint="A6"/>
                <w:bottom w:val="single" w:sz="2" w:space="1" w:color="595959" w:themeColor="text1" w:themeTint="A6"/>
              </w:pBdr>
              <w:tabs>
                <w:tab w:val="clear" w:pos="9026"/>
                <w:tab w:val="right" w:pos="10490"/>
              </w:tabs>
              <w:spacing w:before="240"/>
              <w:rPr>
                <w:noProof/>
              </w:rPr>
            </w:pPr>
            <w:r>
              <w:rPr>
                <w:rFonts w:ascii="Calibri Light" w:hAnsi="Calibri Light"/>
                <w:sz w:val="20"/>
                <w:szCs w:val="20"/>
              </w:rPr>
              <w:t>Australian Energy Infrastructure Commissioner: 202</w:t>
            </w:r>
            <w:r w:rsidR="00000D14">
              <w:rPr>
                <w:rFonts w:ascii="Calibri Light" w:hAnsi="Calibri Light"/>
                <w:sz w:val="20"/>
                <w:szCs w:val="20"/>
              </w:rPr>
              <w:t>3</w:t>
            </w:r>
            <w:r>
              <w:rPr>
                <w:rFonts w:ascii="Calibri Light" w:hAnsi="Calibri Light"/>
                <w:sz w:val="20"/>
                <w:szCs w:val="20"/>
              </w:rPr>
              <w:t xml:space="preserve">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sz w:val="20"/>
                <w:szCs w:val="20"/>
              </w:rPr>
              <w:t>6</w:t>
            </w:r>
            <w:r w:rsidRPr="005257B7">
              <w:rPr>
                <w:rFonts w:ascii="Calibri Light" w:hAnsi="Calibri Light"/>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8940" w14:textId="77777777" w:rsidR="00D801AB" w:rsidRDefault="00D801AB" w:rsidP="005874E7">
      <w:pPr>
        <w:spacing w:after="0" w:line="240" w:lineRule="auto"/>
      </w:pPr>
      <w:r>
        <w:separator/>
      </w:r>
    </w:p>
  </w:footnote>
  <w:footnote w:type="continuationSeparator" w:id="0">
    <w:p w14:paraId="514F9166" w14:textId="77777777" w:rsidR="00D801AB" w:rsidRDefault="00D801AB" w:rsidP="005874E7">
      <w:pPr>
        <w:spacing w:after="0" w:line="240" w:lineRule="auto"/>
      </w:pPr>
      <w:r>
        <w:continuationSeparator/>
      </w:r>
    </w:p>
  </w:footnote>
  <w:footnote w:type="continuationNotice" w:id="1">
    <w:p w14:paraId="685ABA72" w14:textId="77777777" w:rsidR="00D801AB" w:rsidRDefault="00D80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B7D" w14:textId="77777777" w:rsidR="0039611E" w:rsidRDefault="003961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818D" w14:textId="5781883F" w:rsidR="005A0D06" w:rsidRPr="004B44A3" w:rsidRDefault="005A0D06"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 xml:space="preserve">COMMISSIONER’S </w:t>
    </w:r>
    <w:r w:rsidR="005B5467">
      <w:rPr>
        <w:rFonts w:ascii="Calibri Light" w:hAnsi="Calibri Light"/>
        <w:b/>
        <w:color w:val="595959" w:themeColor="text1" w:themeTint="A6"/>
        <w:sz w:val="20"/>
        <w:szCs w:val="20"/>
        <w:lang w:val="en-US"/>
      </w:rPr>
      <w:t>INTRODUCTION</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A42A" w14:textId="1EB9D34E" w:rsidR="005A0D06" w:rsidRPr="00C1107C" w:rsidRDefault="005A0D06"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 xml:space="preserve">COMMISSIONER’S </w:t>
    </w:r>
    <w:r w:rsidR="004E4F23">
      <w:rPr>
        <w:rFonts w:ascii="Calibri Light" w:hAnsi="Calibri Light"/>
        <w:b/>
        <w:color w:val="595959" w:themeColor="text1" w:themeTint="A6"/>
        <w:sz w:val="20"/>
        <w:szCs w:val="20"/>
        <w:lang w:val="en-US"/>
      </w:rPr>
      <w:t>INTRODUCTION</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62DE" w14:textId="77777777" w:rsidR="005A0D06" w:rsidRDefault="005A0D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6A14" w14:textId="77777777" w:rsidR="005A0D06" w:rsidRPr="004B44A3" w:rsidRDefault="005A0D06"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DATA</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89E9" w14:textId="03405DDE" w:rsidR="005A0D06" w:rsidRPr="006F365A" w:rsidRDefault="00B321BF"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OFFICE OVERVIEW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2126" w14:textId="77777777" w:rsidR="005A0D06" w:rsidRPr="006F365A" w:rsidRDefault="005A0D06"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0B65" w14:textId="2EAA4EEB" w:rsidR="00B14CA8" w:rsidRPr="00D24782" w:rsidRDefault="00A01468" w:rsidP="00D24782">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CASE DATA</w:t>
    </w:r>
    <w:r w:rsidR="00B14CA8">
      <w:rPr>
        <w:rFonts w:ascii="Calibri Light" w:hAnsi="Calibri Light"/>
        <w:b/>
        <w:color w:val="595959" w:themeColor="text1" w:themeTint="A6"/>
        <w:sz w:val="20"/>
        <w:szCs w:val="20"/>
        <w:lang w:val="en-US"/>
      </w:rPr>
      <w:tab/>
    </w:r>
    <w:r w:rsidR="00B14CA8">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3E43" w14:textId="4747B25A" w:rsidR="00E61EE7" w:rsidRPr="006F365A" w:rsidRDefault="00A8361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CASE DATA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86AD" w14:textId="7D5FD4E5" w:rsidR="00B14CA8" w:rsidRPr="00C74358" w:rsidRDefault="00600182" w:rsidP="00C74358">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 xml:space="preserve">CASE </w:t>
    </w:r>
    <w:r w:rsidR="00B14CA8">
      <w:rPr>
        <w:rFonts w:ascii="Calibri Light" w:hAnsi="Calibri Light"/>
        <w:b/>
        <w:color w:val="595959" w:themeColor="text1" w:themeTint="A6"/>
        <w:sz w:val="20"/>
        <w:szCs w:val="20"/>
        <w:lang w:val="en-US"/>
      </w:rPr>
      <w:t>DATA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C854" w14:textId="57000E77" w:rsidR="00A86C46" w:rsidRPr="00D24782" w:rsidRDefault="00A86C46" w:rsidP="00D24782">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5CC6" w14:textId="77777777" w:rsidR="0039611E" w:rsidRDefault="0039611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9E66" w14:textId="4368CD87" w:rsidR="000A00A9" w:rsidRPr="006F365A" w:rsidRDefault="00F5500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CDD2" w14:textId="0C915DE7" w:rsidR="00B14CA8" w:rsidRPr="00C74358" w:rsidRDefault="00ED6B30" w:rsidP="00C74358">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EF3D" w14:textId="438BEC7F" w:rsidR="00CF6BD3" w:rsidRPr="00D24782" w:rsidRDefault="00CF6BD3" w:rsidP="00D24782">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TRANSPARENCY AND BEST PRACTICE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AD20" w14:textId="77777777" w:rsidR="00166220" w:rsidRPr="006F365A" w:rsidRDefault="00166220"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TRANSPARENCY AND BEST PRACTICE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9C9" w14:textId="28BF0D9E" w:rsidR="00B14CA8" w:rsidRPr="00C74358" w:rsidRDefault="00C04259" w:rsidP="00C74358">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TRANSPARENCY AND BEST PRACTICE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D1CE" w14:textId="2E6307D1" w:rsidR="00BC4C22" w:rsidRPr="00682419" w:rsidRDefault="00BC4C22" w:rsidP="0068241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9F7A" w14:textId="77777777" w:rsidR="0039611E" w:rsidRPr="00D24782" w:rsidRDefault="0039611E" w:rsidP="0039611E">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sidRPr="007832EE">
      <w:rPr>
        <w:rFonts w:ascii="Calibri Light" w:hAnsi="Calibri Light"/>
        <w:b/>
        <w:color w:val="595959" w:themeColor="text1" w:themeTint="A6"/>
        <w:sz w:val="20"/>
        <w:szCs w:val="20"/>
        <w:lang w:val="en-US"/>
      </w:rPr>
      <w:t>APPENDIX B – EXCERPTS FROM THE COMMUNITY ENGAGEMENT REVIEW (2023)</w:t>
    </w:r>
    <w:r>
      <w:rPr>
        <w:rFonts w:ascii="Calibri Light" w:hAnsi="Calibri Light"/>
        <w:b/>
        <w:color w:val="595959" w:themeColor="text1" w:themeTint="A6"/>
        <w:sz w:val="20"/>
        <w:szCs w:val="20"/>
        <w:lang w:val="en-US"/>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5523" w14:textId="7466E008" w:rsidR="00BC4C22" w:rsidRPr="00C74358" w:rsidRDefault="00BC4C22" w:rsidP="00C74358">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 xml:space="preserve">APPENDIX </w:t>
    </w:r>
    <w:r w:rsidR="003D0CDE">
      <w:rPr>
        <w:rFonts w:ascii="Calibri Light" w:hAnsi="Calibri Light"/>
        <w:b/>
        <w:color w:val="595959" w:themeColor="text1" w:themeTint="A6"/>
        <w:sz w:val="20"/>
        <w:szCs w:val="20"/>
        <w:lang w:val="en-US"/>
      </w:rPr>
      <w:t>A</w:t>
    </w:r>
    <w:r w:rsidR="00CF6BD3">
      <w:rPr>
        <w:rFonts w:ascii="Calibri Light" w:hAnsi="Calibri Light"/>
        <w:b/>
        <w:color w:val="595959" w:themeColor="text1" w:themeTint="A6"/>
        <w:sz w:val="20"/>
        <w:szCs w:val="20"/>
        <w:lang w:val="en-US"/>
      </w:rPr>
      <w:t xml:space="preserve"> </w:t>
    </w:r>
    <w:r w:rsidR="00CF6BD3" w:rsidRPr="00CF6BD3">
      <w:rPr>
        <w:rFonts w:ascii="Calibri Light" w:hAnsi="Calibri Light"/>
        <w:b/>
        <w:color w:val="595959" w:themeColor="text1" w:themeTint="A6"/>
        <w:sz w:val="20"/>
        <w:szCs w:val="20"/>
        <w:lang w:val="en-US"/>
      </w:rPr>
      <w:t>–</w:t>
    </w:r>
    <w:r w:rsidR="00CF6BD3">
      <w:rPr>
        <w:rFonts w:ascii="Calibri Light" w:hAnsi="Calibri Light"/>
        <w:b/>
        <w:color w:val="595959" w:themeColor="text1" w:themeTint="A6"/>
        <w:sz w:val="20"/>
        <w:szCs w:val="20"/>
        <w:lang w:val="en-US"/>
      </w:rPr>
      <w:t xml:space="preserve"> </w:t>
    </w:r>
    <w:r w:rsidR="003D0CDE">
      <w:rPr>
        <w:rFonts w:ascii="Calibri Light" w:hAnsi="Calibri Light"/>
        <w:b/>
        <w:color w:val="595959" w:themeColor="text1" w:themeTint="A6"/>
        <w:sz w:val="20"/>
        <w:szCs w:val="20"/>
        <w:lang w:val="en-US"/>
      </w:rPr>
      <w:t>AEIC TERMS OF REFERENCE (2021-2025)</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87C5" w14:textId="77777777" w:rsidR="007832EE" w:rsidRPr="00D24782" w:rsidRDefault="007832EE" w:rsidP="007832EE">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sidRPr="007832EE">
      <w:rPr>
        <w:rFonts w:ascii="Calibri Light" w:hAnsi="Calibri Light"/>
        <w:b/>
        <w:color w:val="595959" w:themeColor="text1" w:themeTint="A6"/>
        <w:sz w:val="20"/>
        <w:szCs w:val="20"/>
        <w:lang w:val="en-US"/>
      </w:rPr>
      <w:t>APPENDIX B – EXCERPTS FROM THE COMMUNITY ENGAGEMENT REVIEW (2023)</w:t>
    </w:r>
    <w:r>
      <w:rPr>
        <w:rFonts w:ascii="Calibri Light" w:hAnsi="Calibri Light"/>
        <w:b/>
        <w:color w:val="595959" w:themeColor="text1" w:themeTint="A6"/>
        <w:sz w:val="20"/>
        <w:szCs w:val="20"/>
        <w:lang w:val="en-US"/>
      </w:rPr>
      <w:t xml:space="preserve">                                                                                        </w:t>
    </w:r>
  </w:p>
  <w:p w14:paraId="5FE8E308" w14:textId="1ABC03E0" w:rsidR="00DD64C5" w:rsidRPr="00DD64C5" w:rsidRDefault="00DD64C5" w:rsidP="00DD64C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0AAB" w14:textId="6C9F4AB7" w:rsidR="0039611E" w:rsidRPr="0039611E" w:rsidRDefault="0039611E" w:rsidP="00396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AC4F" w14:textId="77777777" w:rsidR="005A0D06" w:rsidRPr="006048D4" w:rsidRDefault="005A0D06" w:rsidP="00C90C75">
    <w:pPr>
      <w:pStyle w:val="Header"/>
      <w:rPr>
        <w:rFonts w:ascii="Calibri" w:hAnsi="Calibri"/>
        <w:sz w:val="20"/>
      </w:rPr>
    </w:pPr>
  </w:p>
  <w:p w14:paraId="683947E3" w14:textId="77777777" w:rsidR="005A0D06" w:rsidRPr="0096116D" w:rsidRDefault="005A0D06" w:rsidP="00C90C7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E739" w14:textId="77777777" w:rsidR="00682419" w:rsidRPr="00DD64C5" w:rsidRDefault="00682419" w:rsidP="00DD6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02C9" w14:textId="77777777" w:rsidR="005A0D06" w:rsidRDefault="005A0D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DA52" w14:textId="77777777" w:rsidR="005A0D06" w:rsidRDefault="005A0D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6BAE" w14:textId="77777777" w:rsidR="005A0D06" w:rsidRDefault="005A0D06" w:rsidP="00C90C75">
    <w:pPr>
      <w:spacing w:after="0"/>
      <w:jc w:val="center"/>
      <w:rPr>
        <w:rFonts w:ascii="Calibri" w:hAnsi="Calibri"/>
        <w:b/>
        <w:sz w:val="28"/>
        <w:szCs w:val="28"/>
      </w:rPr>
    </w:pPr>
    <w:r>
      <w:rPr>
        <w:rFonts w:ascii="Times New Roman" w:hAnsi="Times New Roman"/>
        <w:b/>
        <w:noProof/>
        <w:sz w:val="36"/>
        <w:szCs w:val="36"/>
        <w:lang w:eastAsia="en-AU"/>
      </w:rPr>
      <w:drawing>
        <wp:inline distT="0" distB="0" distL="0" distR="0" wp14:anchorId="728AE88C" wp14:editId="5608295C">
          <wp:extent cx="857250" cy="723900"/>
          <wp:effectExtent l="19050" t="0" r="0" b="0"/>
          <wp:docPr id="20" name="Picture 20"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
                  <a:srcRect l="6934" t="9615" r="4741"/>
                  <a:stretch>
                    <a:fillRect/>
                  </a:stretch>
                </pic:blipFill>
                <pic:spPr bwMode="auto">
                  <a:xfrm>
                    <a:off x="0" y="0"/>
                    <a:ext cx="857250" cy="723900"/>
                  </a:xfrm>
                  <a:prstGeom prst="rect">
                    <a:avLst/>
                  </a:prstGeom>
                  <a:noFill/>
                  <a:ln w="9525">
                    <a:noFill/>
                    <a:miter lim="800000"/>
                    <a:headEnd/>
                    <a:tailEnd/>
                  </a:ln>
                </pic:spPr>
              </pic:pic>
            </a:graphicData>
          </a:graphic>
        </wp:inline>
      </w:drawing>
    </w:r>
  </w:p>
  <w:p w14:paraId="3708CC93" w14:textId="77777777" w:rsidR="005A0D06" w:rsidRPr="006048D4" w:rsidRDefault="005A0D06" w:rsidP="00C90C75">
    <w:pPr>
      <w:spacing w:after="0"/>
      <w:jc w:val="center"/>
      <w:rPr>
        <w:rFonts w:ascii="Calibri" w:hAnsi="Calibri"/>
        <w:b/>
        <w:sz w:val="28"/>
        <w:szCs w:val="28"/>
      </w:rPr>
    </w:pPr>
    <w:r w:rsidRPr="006048D4">
      <w:rPr>
        <w:rFonts w:ascii="Calibri" w:hAnsi="Calibri"/>
        <w:b/>
        <w:sz w:val="28"/>
        <w:szCs w:val="28"/>
      </w:rPr>
      <w:t xml:space="preserve">Office of the </w:t>
    </w:r>
    <w:r>
      <w:rPr>
        <w:rFonts w:ascii="Calibri" w:hAnsi="Calibri"/>
        <w:b/>
        <w:sz w:val="28"/>
        <w:szCs w:val="28"/>
      </w:rPr>
      <w:t>Australian Energy Infrastructure Commissioner</w:t>
    </w:r>
  </w:p>
  <w:p w14:paraId="679CFF7D" w14:textId="77777777" w:rsidR="005A0D06" w:rsidRPr="006048D4" w:rsidRDefault="003551F5" w:rsidP="00C90C75">
    <w:pPr>
      <w:pStyle w:val="Header"/>
      <w:rPr>
        <w:rFonts w:ascii="Calibri" w:hAnsi="Calibri"/>
        <w:sz w:val="20"/>
      </w:rPr>
    </w:pPr>
    <w:r>
      <w:rPr>
        <w:rFonts w:ascii="Calibri" w:hAnsi="Calibri"/>
        <w:sz w:val="20"/>
      </w:rPr>
      <w:pict w14:anchorId="12279AD9">
        <v:rect id="_x0000_i1025" style="width:481.9pt;height:1pt" o:hralign="center" o:hrstd="t" o:hrnoshade="t" o:hr="t" fillcolor="black [3213]" stroked="f"/>
      </w:pict>
    </w:r>
  </w:p>
  <w:p w14:paraId="0D024152" w14:textId="77777777" w:rsidR="005A0D06" w:rsidRPr="0096116D" w:rsidRDefault="005A0D06" w:rsidP="00C90C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A3EA" w14:textId="77777777" w:rsidR="005A0D06" w:rsidRDefault="005A0D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5AC0" w14:textId="77777777" w:rsidR="005A0D06" w:rsidRDefault="005A0D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E17B" w14:textId="77777777" w:rsidR="005A0D06" w:rsidRPr="004B44A3" w:rsidRDefault="005A0D06" w:rsidP="004B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F49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F6307CD"/>
    <w:multiLevelType w:val="hybridMultilevel"/>
    <w:tmpl w:val="0DCC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A212A"/>
    <w:multiLevelType w:val="hybridMultilevel"/>
    <w:tmpl w:val="58924E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E0734E"/>
    <w:multiLevelType w:val="hybridMultilevel"/>
    <w:tmpl w:val="1CF06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077842"/>
    <w:multiLevelType w:val="hybridMultilevel"/>
    <w:tmpl w:val="C69E2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917BB"/>
    <w:multiLevelType w:val="hybridMultilevel"/>
    <w:tmpl w:val="139E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094AE4"/>
    <w:multiLevelType w:val="hybridMultilevel"/>
    <w:tmpl w:val="AF3E6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86802"/>
    <w:multiLevelType w:val="hybridMultilevel"/>
    <w:tmpl w:val="58205F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7F53887"/>
    <w:multiLevelType w:val="hybridMultilevel"/>
    <w:tmpl w:val="7EF62E22"/>
    <w:lvl w:ilvl="0" w:tplc="3994599E">
      <w:start w:val="2023"/>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E898CC72"/>
    <w:numStyleLink w:val="KeyPoints"/>
  </w:abstractNum>
  <w:abstractNum w:abstractNumId="14" w15:restartNumberingAfterBreak="0">
    <w:nsid w:val="680B3B57"/>
    <w:multiLevelType w:val="hybridMultilevel"/>
    <w:tmpl w:val="90F82042"/>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BAD89"/>
    <w:multiLevelType w:val="hybridMultilevel"/>
    <w:tmpl w:val="FFFFFFFF"/>
    <w:lvl w:ilvl="0" w:tplc="5A668D4A">
      <w:start w:val="1"/>
      <w:numFmt w:val="bullet"/>
      <w:lvlText w:val=""/>
      <w:lvlJc w:val="left"/>
      <w:pPr>
        <w:ind w:left="720" w:hanging="360"/>
      </w:pPr>
      <w:rPr>
        <w:rFonts w:ascii="Symbol" w:hAnsi="Symbol" w:hint="default"/>
      </w:rPr>
    </w:lvl>
    <w:lvl w:ilvl="1" w:tplc="C380AA28">
      <w:start w:val="1"/>
      <w:numFmt w:val="bullet"/>
      <w:lvlText w:val="o"/>
      <w:lvlJc w:val="left"/>
      <w:pPr>
        <w:ind w:left="1440" w:hanging="360"/>
      </w:pPr>
      <w:rPr>
        <w:rFonts w:ascii="Courier New" w:hAnsi="Courier New" w:hint="default"/>
      </w:rPr>
    </w:lvl>
    <w:lvl w:ilvl="2" w:tplc="7458CB4A">
      <w:start w:val="1"/>
      <w:numFmt w:val="bullet"/>
      <w:lvlText w:val=""/>
      <w:lvlJc w:val="left"/>
      <w:pPr>
        <w:ind w:left="2160" w:hanging="360"/>
      </w:pPr>
      <w:rPr>
        <w:rFonts w:ascii="Wingdings" w:hAnsi="Wingdings" w:hint="default"/>
      </w:rPr>
    </w:lvl>
    <w:lvl w:ilvl="3" w:tplc="516AC44A">
      <w:start w:val="1"/>
      <w:numFmt w:val="bullet"/>
      <w:lvlText w:val=""/>
      <w:lvlJc w:val="left"/>
      <w:pPr>
        <w:ind w:left="2880" w:hanging="360"/>
      </w:pPr>
      <w:rPr>
        <w:rFonts w:ascii="Symbol" w:hAnsi="Symbol" w:hint="default"/>
      </w:rPr>
    </w:lvl>
    <w:lvl w:ilvl="4" w:tplc="BD00639C">
      <w:start w:val="1"/>
      <w:numFmt w:val="bullet"/>
      <w:lvlText w:val="o"/>
      <w:lvlJc w:val="left"/>
      <w:pPr>
        <w:ind w:left="3600" w:hanging="360"/>
      </w:pPr>
      <w:rPr>
        <w:rFonts w:ascii="Courier New" w:hAnsi="Courier New" w:hint="default"/>
      </w:rPr>
    </w:lvl>
    <w:lvl w:ilvl="5" w:tplc="CA1072E8">
      <w:start w:val="1"/>
      <w:numFmt w:val="bullet"/>
      <w:lvlText w:val=""/>
      <w:lvlJc w:val="left"/>
      <w:pPr>
        <w:ind w:left="4320" w:hanging="360"/>
      </w:pPr>
      <w:rPr>
        <w:rFonts w:ascii="Wingdings" w:hAnsi="Wingdings" w:hint="default"/>
      </w:rPr>
    </w:lvl>
    <w:lvl w:ilvl="6" w:tplc="88D6E0C6">
      <w:start w:val="1"/>
      <w:numFmt w:val="bullet"/>
      <w:lvlText w:val=""/>
      <w:lvlJc w:val="left"/>
      <w:pPr>
        <w:ind w:left="5040" w:hanging="360"/>
      </w:pPr>
      <w:rPr>
        <w:rFonts w:ascii="Symbol" w:hAnsi="Symbol" w:hint="default"/>
      </w:rPr>
    </w:lvl>
    <w:lvl w:ilvl="7" w:tplc="C9A8B702">
      <w:start w:val="1"/>
      <w:numFmt w:val="bullet"/>
      <w:lvlText w:val="o"/>
      <w:lvlJc w:val="left"/>
      <w:pPr>
        <w:ind w:left="5760" w:hanging="360"/>
      </w:pPr>
      <w:rPr>
        <w:rFonts w:ascii="Courier New" w:hAnsi="Courier New" w:hint="default"/>
      </w:rPr>
    </w:lvl>
    <w:lvl w:ilvl="8" w:tplc="4F26F1F4">
      <w:start w:val="1"/>
      <w:numFmt w:val="bullet"/>
      <w:lvlText w:val=""/>
      <w:lvlJc w:val="left"/>
      <w:pPr>
        <w:ind w:left="6480" w:hanging="360"/>
      </w:pPr>
      <w:rPr>
        <w:rFonts w:ascii="Wingdings" w:hAnsi="Wingdings" w:hint="default"/>
      </w:rPr>
    </w:lvl>
  </w:abstractNum>
  <w:abstractNum w:abstractNumId="16" w15:restartNumberingAfterBreak="0">
    <w:nsid w:val="6E3543F1"/>
    <w:multiLevelType w:val="hybridMultilevel"/>
    <w:tmpl w:val="2A06746E"/>
    <w:lvl w:ilvl="0" w:tplc="52586F32">
      <w:start w:val="1"/>
      <w:numFmt w:val="decimal"/>
      <w:lvlText w:val="%1."/>
      <w:lvlJc w:val="left"/>
      <w:pPr>
        <w:ind w:left="720" w:hanging="360"/>
      </w:pPr>
      <w:rPr>
        <w:rFonts w:ascii="Arial" w:hAnsi="Aria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206F69"/>
    <w:multiLevelType w:val="singleLevel"/>
    <w:tmpl w:val="0C090003"/>
    <w:lvl w:ilvl="0">
      <w:start w:val="1"/>
      <w:numFmt w:val="bullet"/>
      <w:pStyle w:val="ListBullet4"/>
      <w:lvlText w:val="o"/>
      <w:lvlJc w:val="left"/>
      <w:pPr>
        <w:ind w:left="369" w:hanging="369"/>
      </w:pPr>
      <w:rPr>
        <w:rFonts w:ascii="Courier New" w:hAnsi="Courier New" w:cs="Courier New" w:hint="default"/>
      </w:rPr>
    </w:lvl>
  </w:abstractNum>
  <w:abstractNum w:abstractNumId="18" w15:restartNumberingAfterBreak="0">
    <w:nsid w:val="73735A86"/>
    <w:multiLevelType w:val="hybridMultilevel"/>
    <w:tmpl w:val="38B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54539360">
    <w:abstractNumId w:val="19"/>
  </w:num>
  <w:num w:numId="2" w16cid:durableId="1608662469">
    <w:abstractNumId w:val="1"/>
  </w:num>
  <w:num w:numId="3" w16cid:durableId="1939099277">
    <w:abstractNumId w:val="9"/>
  </w:num>
  <w:num w:numId="4" w16cid:durableId="1429933667">
    <w:abstractNumId w:val="6"/>
  </w:num>
  <w:num w:numId="5" w16cid:durableId="476536571">
    <w:abstractNumId w:val="13"/>
    <w:lvlOverride w:ilvl="0">
      <w:lvl w:ilvl="0">
        <w:start w:val="1"/>
        <w:numFmt w:val="decimal"/>
        <w:pStyle w:val="ListNumber"/>
        <w:lvlText w:val="%1."/>
        <w:lvlJc w:val="left"/>
        <w:pPr>
          <w:ind w:left="369" w:hanging="369"/>
        </w:pPr>
        <w:rPr>
          <w:rFonts w:ascii="Calibri Light" w:hAnsi="Calibri Light" w:hint="default"/>
          <w:sz w:val="22"/>
        </w:rPr>
      </w:lvl>
    </w:lvlOverride>
  </w:num>
  <w:num w:numId="6" w16cid:durableId="1300769054">
    <w:abstractNumId w:val="17"/>
  </w:num>
  <w:num w:numId="7" w16cid:durableId="1481531036">
    <w:abstractNumId w:val="0"/>
  </w:num>
  <w:num w:numId="8" w16cid:durableId="1714621481">
    <w:abstractNumId w:val="3"/>
  </w:num>
  <w:num w:numId="9" w16cid:durableId="561404480">
    <w:abstractNumId w:val="5"/>
  </w:num>
  <w:num w:numId="10" w16cid:durableId="1273709099">
    <w:abstractNumId w:val="4"/>
  </w:num>
  <w:num w:numId="11" w16cid:durableId="1765229328">
    <w:abstractNumId w:val="18"/>
  </w:num>
  <w:num w:numId="12" w16cid:durableId="1130509962">
    <w:abstractNumId w:val="11"/>
  </w:num>
  <w:num w:numId="13" w16cid:durableId="44451201">
    <w:abstractNumId w:val="12"/>
  </w:num>
  <w:num w:numId="14" w16cid:durableId="2127892929">
    <w:abstractNumId w:val="15"/>
  </w:num>
  <w:num w:numId="15" w16cid:durableId="1222912000">
    <w:abstractNumId w:val="8"/>
  </w:num>
  <w:num w:numId="16" w16cid:durableId="1833331154">
    <w:abstractNumId w:val="14"/>
  </w:num>
  <w:num w:numId="17" w16cid:durableId="879897680">
    <w:abstractNumId w:val="10"/>
  </w:num>
  <w:num w:numId="18" w16cid:durableId="1470127477">
    <w:abstractNumId w:val="2"/>
  </w:num>
  <w:num w:numId="19" w16cid:durableId="1130250231">
    <w:abstractNumId w:val="7"/>
  </w:num>
  <w:num w:numId="20" w16cid:durableId="1999535596">
    <w:abstractNumId w:val="6"/>
  </w:num>
  <w:num w:numId="21" w16cid:durableId="925190939">
    <w:abstractNumId w:val="6"/>
  </w:num>
  <w:num w:numId="22" w16cid:durableId="1565026481">
    <w:abstractNumId w:val="6"/>
  </w:num>
  <w:num w:numId="23" w16cid:durableId="1967855289">
    <w:abstractNumId w:val="6"/>
  </w:num>
  <w:num w:numId="24" w16cid:durableId="1672638544">
    <w:abstractNumId w:val="6"/>
  </w:num>
  <w:num w:numId="25" w16cid:durableId="61810068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E5030A-802E-43BF-8038-1192595A9C85}"/>
    <w:docVar w:name="dgnword-eventsink" w:val="3147292229840"/>
  </w:docVars>
  <w:rsids>
    <w:rsidRoot w:val="005874E7"/>
    <w:rsid w:val="000004F8"/>
    <w:rsid w:val="000008CA"/>
    <w:rsid w:val="00000CB1"/>
    <w:rsid w:val="00000D14"/>
    <w:rsid w:val="0000125B"/>
    <w:rsid w:val="00001BFC"/>
    <w:rsid w:val="00002083"/>
    <w:rsid w:val="0000225B"/>
    <w:rsid w:val="00002404"/>
    <w:rsid w:val="00002BAD"/>
    <w:rsid w:val="00002BB9"/>
    <w:rsid w:val="00003F56"/>
    <w:rsid w:val="000041E8"/>
    <w:rsid w:val="00004C8D"/>
    <w:rsid w:val="00005102"/>
    <w:rsid w:val="0000602C"/>
    <w:rsid w:val="000061DF"/>
    <w:rsid w:val="000073EC"/>
    <w:rsid w:val="0000770C"/>
    <w:rsid w:val="00007830"/>
    <w:rsid w:val="00007C66"/>
    <w:rsid w:val="00010428"/>
    <w:rsid w:val="00010811"/>
    <w:rsid w:val="00010DA7"/>
    <w:rsid w:val="00010DC6"/>
    <w:rsid w:val="00011191"/>
    <w:rsid w:val="00011946"/>
    <w:rsid w:val="000126FB"/>
    <w:rsid w:val="000128E6"/>
    <w:rsid w:val="00012A95"/>
    <w:rsid w:val="00012BD7"/>
    <w:rsid w:val="00012DEC"/>
    <w:rsid w:val="0001304D"/>
    <w:rsid w:val="0001336F"/>
    <w:rsid w:val="00013C79"/>
    <w:rsid w:val="00013CA8"/>
    <w:rsid w:val="00013D5D"/>
    <w:rsid w:val="00013DDE"/>
    <w:rsid w:val="00014694"/>
    <w:rsid w:val="00014923"/>
    <w:rsid w:val="000150E4"/>
    <w:rsid w:val="00015404"/>
    <w:rsid w:val="00015598"/>
    <w:rsid w:val="000159C6"/>
    <w:rsid w:val="00015D8A"/>
    <w:rsid w:val="000160E7"/>
    <w:rsid w:val="0001612D"/>
    <w:rsid w:val="00016231"/>
    <w:rsid w:val="00016645"/>
    <w:rsid w:val="0001670F"/>
    <w:rsid w:val="00016EB9"/>
    <w:rsid w:val="00017DD8"/>
    <w:rsid w:val="00020C41"/>
    <w:rsid w:val="00021100"/>
    <w:rsid w:val="00021833"/>
    <w:rsid w:val="00022194"/>
    <w:rsid w:val="00022423"/>
    <w:rsid w:val="00023606"/>
    <w:rsid w:val="00023727"/>
    <w:rsid w:val="000237A1"/>
    <w:rsid w:val="00023ABE"/>
    <w:rsid w:val="00023FBF"/>
    <w:rsid w:val="00024212"/>
    <w:rsid w:val="00024A28"/>
    <w:rsid w:val="00024A2E"/>
    <w:rsid w:val="00024BDF"/>
    <w:rsid w:val="00024CC5"/>
    <w:rsid w:val="00025697"/>
    <w:rsid w:val="00025F68"/>
    <w:rsid w:val="0002634C"/>
    <w:rsid w:val="00026DAE"/>
    <w:rsid w:val="000274D3"/>
    <w:rsid w:val="00027692"/>
    <w:rsid w:val="0002774F"/>
    <w:rsid w:val="000277FC"/>
    <w:rsid w:val="00027BA3"/>
    <w:rsid w:val="00030253"/>
    <w:rsid w:val="00030262"/>
    <w:rsid w:val="000308E5"/>
    <w:rsid w:val="00030A2F"/>
    <w:rsid w:val="000313AE"/>
    <w:rsid w:val="0003161D"/>
    <w:rsid w:val="0003174B"/>
    <w:rsid w:val="0003221A"/>
    <w:rsid w:val="0003276E"/>
    <w:rsid w:val="00032DE2"/>
    <w:rsid w:val="00032FF0"/>
    <w:rsid w:val="0003315A"/>
    <w:rsid w:val="00033D1F"/>
    <w:rsid w:val="0003404C"/>
    <w:rsid w:val="00035843"/>
    <w:rsid w:val="00035BDA"/>
    <w:rsid w:val="000363BA"/>
    <w:rsid w:val="000363FE"/>
    <w:rsid w:val="00036731"/>
    <w:rsid w:val="000374EC"/>
    <w:rsid w:val="00037FB7"/>
    <w:rsid w:val="00040103"/>
    <w:rsid w:val="0004061C"/>
    <w:rsid w:val="0004068E"/>
    <w:rsid w:val="000406EE"/>
    <w:rsid w:val="00040858"/>
    <w:rsid w:val="00040930"/>
    <w:rsid w:val="00040B52"/>
    <w:rsid w:val="0004320C"/>
    <w:rsid w:val="0004329C"/>
    <w:rsid w:val="00044144"/>
    <w:rsid w:val="00044E29"/>
    <w:rsid w:val="0004538B"/>
    <w:rsid w:val="00045B31"/>
    <w:rsid w:val="00045C90"/>
    <w:rsid w:val="00046944"/>
    <w:rsid w:val="00046EF9"/>
    <w:rsid w:val="00047242"/>
    <w:rsid w:val="000477E2"/>
    <w:rsid w:val="00047A53"/>
    <w:rsid w:val="00047B1D"/>
    <w:rsid w:val="00050479"/>
    <w:rsid w:val="00051653"/>
    <w:rsid w:val="00052034"/>
    <w:rsid w:val="00052322"/>
    <w:rsid w:val="00052B0F"/>
    <w:rsid w:val="000535EA"/>
    <w:rsid w:val="000539E1"/>
    <w:rsid w:val="00053AB3"/>
    <w:rsid w:val="000541D3"/>
    <w:rsid w:val="00054666"/>
    <w:rsid w:val="0005480D"/>
    <w:rsid w:val="000549BA"/>
    <w:rsid w:val="00054E43"/>
    <w:rsid w:val="000554E5"/>
    <w:rsid w:val="00055815"/>
    <w:rsid w:val="000561D0"/>
    <w:rsid w:val="00056876"/>
    <w:rsid w:val="00056BE4"/>
    <w:rsid w:val="00056D77"/>
    <w:rsid w:val="0005733A"/>
    <w:rsid w:val="000573B0"/>
    <w:rsid w:val="00057AF4"/>
    <w:rsid w:val="00057BBA"/>
    <w:rsid w:val="00057EE9"/>
    <w:rsid w:val="00057F15"/>
    <w:rsid w:val="00060094"/>
    <w:rsid w:val="000604EB"/>
    <w:rsid w:val="000604EF"/>
    <w:rsid w:val="000605D9"/>
    <w:rsid w:val="000608CB"/>
    <w:rsid w:val="00060E6E"/>
    <w:rsid w:val="000619A0"/>
    <w:rsid w:val="00061B07"/>
    <w:rsid w:val="00061D1D"/>
    <w:rsid w:val="00063C1C"/>
    <w:rsid w:val="00063D6A"/>
    <w:rsid w:val="000644ED"/>
    <w:rsid w:val="000645C8"/>
    <w:rsid w:val="000646A6"/>
    <w:rsid w:val="00065C1A"/>
    <w:rsid w:val="00065C26"/>
    <w:rsid w:val="0006622E"/>
    <w:rsid w:val="000669F3"/>
    <w:rsid w:val="00067355"/>
    <w:rsid w:val="0006744B"/>
    <w:rsid w:val="00067681"/>
    <w:rsid w:val="00067FDE"/>
    <w:rsid w:val="00070176"/>
    <w:rsid w:val="00070234"/>
    <w:rsid w:val="00070306"/>
    <w:rsid w:val="00070426"/>
    <w:rsid w:val="00070725"/>
    <w:rsid w:val="00070A33"/>
    <w:rsid w:val="00070E1F"/>
    <w:rsid w:val="00070F51"/>
    <w:rsid w:val="00070FE7"/>
    <w:rsid w:val="000710C2"/>
    <w:rsid w:val="000711DD"/>
    <w:rsid w:val="00071536"/>
    <w:rsid w:val="000718B5"/>
    <w:rsid w:val="00071AC0"/>
    <w:rsid w:val="00071F68"/>
    <w:rsid w:val="00072FA9"/>
    <w:rsid w:val="000730A3"/>
    <w:rsid w:val="000738E4"/>
    <w:rsid w:val="0007459C"/>
    <w:rsid w:val="00074E69"/>
    <w:rsid w:val="00074F44"/>
    <w:rsid w:val="00075990"/>
    <w:rsid w:val="00075A40"/>
    <w:rsid w:val="00076A95"/>
    <w:rsid w:val="00076F49"/>
    <w:rsid w:val="0007722C"/>
    <w:rsid w:val="000774CA"/>
    <w:rsid w:val="0007752D"/>
    <w:rsid w:val="00077822"/>
    <w:rsid w:val="00077DA8"/>
    <w:rsid w:val="00080931"/>
    <w:rsid w:val="00080CEC"/>
    <w:rsid w:val="00080ECC"/>
    <w:rsid w:val="0008172B"/>
    <w:rsid w:val="00081E08"/>
    <w:rsid w:val="00082332"/>
    <w:rsid w:val="000825B6"/>
    <w:rsid w:val="00082D20"/>
    <w:rsid w:val="00082F5D"/>
    <w:rsid w:val="000832CB"/>
    <w:rsid w:val="00083AFE"/>
    <w:rsid w:val="00083E24"/>
    <w:rsid w:val="00083FC3"/>
    <w:rsid w:val="00084366"/>
    <w:rsid w:val="000844B6"/>
    <w:rsid w:val="000847FB"/>
    <w:rsid w:val="0008515B"/>
    <w:rsid w:val="0008610A"/>
    <w:rsid w:val="000864C8"/>
    <w:rsid w:val="00086919"/>
    <w:rsid w:val="00086A5D"/>
    <w:rsid w:val="00086B76"/>
    <w:rsid w:val="00086D63"/>
    <w:rsid w:val="00086D8F"/>
    <w:rsid w:val="00087A2D"/>
    <w:rsid w:val="00087B09"/>
    <w:rsid w:val="0009073C"/>
    <w:rsid w:val="00090870"/>
    <w:rsid w:val="00090EB1"/>
    <w:rsid w:val="00090F9A"/>
    <w:rsid w:val="000914E7"/>
    <w:rsid w:val="00091590"/>
    <w:rsid w:val="00091D95"/>
    <w:rsid w:val="0009224B"/>
    <w:rsid w:val="000925B2"/>
    <w:rsid w:val="00092D03"/>
    <w:rsid w:val="00092D76"/>
    <w:rsid w:val="00092E0D"/>
    <w:rsid w:val="00092E9F"/>
    <w:rsid w:val="00093162"/>
    <w:rsid w:val="000933A0"/>
    <w:rsid w:val="00093AFB"/>
    <w:rsid w:val="00093E2B"/>
    <w:rsid w:val="000945B7"/>
    <w:rsid w:val="0009535D"/>
    <w:rsid w:val="000953ED"/>
    <w:rsid w:val="0009543E"/>
    <w:rsid w:val="00095A00"/>
    <w:rsid w:val="00095CF2"/>
    <w:rsid w:val="00095E3A"/>
    <w:rsid w:val="00095E67"/>
    <w:rsid w:val="0009678D"/>
    <w:rsid w:val="00096A1A"/>
    <w:rsid w:val="000974FC"/>
    <w:rsid w:val="000A00A9"/>
    <w:rsid w:val="000A0214"/>
    <w:rsid w:val="000A05A6"/>
    <w:rsid w:val="000A0A10"/>
    <w:rsid w:val="000A11F7"/>
    <w:rsid w:val="000A14BB"/>
    <w:rsid w:val="000A2153"/>
    <w:rsid w:val="000A25E9"/>
    <w:rsid w:val="000A29E5"/>
    <w:rsid w:val="000A373B"/>
    <w:rsid w:val="000A3CD2"/>
    <w:rsid w:val="000A3F22"/>
    <w:rsid w:val="000A4290"/>
    <w:rsid w:val="000A4556"/>
    <w:rsid w:val="000A4878"/>
    <w:rsid w:val="000A5487"/>
    <w:rsid w:val="000A5881"/>
    <w:rsid w:val="000A5E34"/>
    <w:rsid w:val="000A67DB"/>
    <w:rsid w:val="000A6B36"/>
    <w:rsid w:val="000A7230"/>
    <w:rsid w:val="000A7725"/>
    <w:rsid w:val="000A7EAA"/>
    <w:rsid w:val="000B00DC"/>
    <w:rsid w:val="000B0204"/>
    <w:rsid w:val="000B0675"/>
    <w:rsid w:val="000B06D6"/>
    <w:rsid w:val="000B16A2"/>
    <w:rsid w:val="000B185B"/>
    <w:rsid w:val="000B2354"/>
    <w:rsid w:val="000B34CB"/>
    <w:rsid w:val="000B3F8B"/>
    <w:rsid w:val="000B42CC"/>
    <w:rsid w:val="000B457C"/>
    <w:rsid w:val="000B4EA7"/>
    <w:rsid w:val="000B592A"/>
    <w:rsid w:val="000B5FAF"/>
    <w:rsid w:val="000B671F"/>
    <w:rsid w:val="000B6B5C"/>
    <w:rsid w:val="000B6DA1"/>
    <w:rsid w:val="000B7776"/>
    <w:rsid w:val="000B779F"/>
    <w:rsid w:val="000B77BB"/>
    <w:rsid w:val="000C004D"/>
    <w:rsid w:val="000C11EC"/>
    <w:rsid w:val="000C1905"/>
    <w:rsid w:val="000C196D"/>
    <w:rsid w:val="000C1D10"/>
    <w:rsid w:val="000C2353"/>
    <w:rsid w:val="000C2922"/>
    <w:rsid w:val="000C2A42"/>
    <w:rsid w:val="000C3427"/>
    <w:rsid w:val="000C3729"/>
    <w:rsid w:val="000C3931"/>
    <w:rsid w:val="000C3E31"/>
    <w:rsid w:val="000C4AD1"/>
    <w:rsid w:val="000C4F83"/>
    <w:rsid w:val="000C5848"/>
    <w:rsid w:val="000C59BC"/>
    <w:rsid w:val="000C5C1E"/>
    <w:rsid w:val="000C61D6"/>
    <w:rsid w:val="000C65CA"/>
    <w:rsid w:val="000C6F02"/>
    <w:rsid w:val="000C6FB1"/>
    <w:rsid w:val="000C775F"/>
    <w:rsid w:val="000C7906"/>
    <w:rsid w:val="000C7B41"/>
    <w:rsid w:val="000C7FA7"/>
    <w:rsid w:val="000D0598"/>
    <w:rsid w:val="000D07D9"/>
    <w:rsid w:val="000D08C6"/>
    <w:rsid w:val="000D0A15"/>
    <w:rsid w:val="000D154B"/>
    <w:rsid w:val="000D1913"/>
    <w:rsid w:val="000D1B67"/>
    <w:rsid w:val="000D1E5B"/>
    <w:rsid w:val="000D1EA9"/>
    <w:rsid w:val="000D39A3"/>
    <w:rsid w:val="000D3B4B"/>
    <w:rsid w:val="000D4299"/>
    <w:rsid w:val="000D435C"/>
    <w:rsid w:val="000D45B8"/>
    <w:rsid w:val="000D4B6D"/>
    <w:rsid w:val="000D511E"/>
    <w:rsid w:val="000D55BA"/>
    <w:rsid w:val="000D6A82"/>
    <w:rsid w:val="000D6AB8"/>
    <w:rsid w:val="000D6DE5"/>
    <w:rsid w:val="000D6F4D"/>
    <w:rsid w:val="000D6F68"/>
    <w:rsid w:val="000D7163"/>
    <w:rsid w:val="000D7AD6"/>
    <w:rsid w:val="000E0300"/>
    <w:rsid w:val="000E0817"/>
    <w:rsid w:val="000E159B"/>
    <w:rsid w:val="000E16D4"/>
    <w:rsid w:val="000E1D28"/>
    <w:rsid w:val="000E2152"/>
    <w:rsid w:val="000E2BC3"/>
    <w:rsid w:val="000E2DE0"/>
    <w:rsid w:val="000E30CE"/>
    <w:rsid w:val="000E35E5"/>
    <w:rsid w:val="000E36AC"/>
    <w:rsid w:val="000E391B"/>
    <w:rsid w:val="000E3E35"/>
    <w:rsid w:val="000E4263"/>
    <w:rsid w:val="000E4312"/>
    <w:rsid w:val="000E481E"/>
    <w:rsid w:val="000E48AB"/>
    <w:rsid w:val="000E5203"/>
    <w:rsid w:val="000E5C06"/>
    <w:rsid w:val="000E61E6"/>
    <w:rsid w:val="000E666B"/>
    <w:rsid w:val="000E668F"/>
    <w:rsid w:val="000E6E18"/>
    <w:rsid w:val="000E6FEC"/>
    <w:rsid w:val="000E714F"/>
    <w:rsid w:val="000E7259"/>
    <w:rsid w:val="000E78F9"/>
    <w:rsid w:val="000E7FD8"/>
    <w:rsid w:val="000F0188"/>
    <w:rsid w:val="000F1242"/>
    <w:rsid w:val="000F1793"/>
    <w:rsid w:val="000F1985"/>
    <w:rsid w:val="000F1C26"/>
    <w:rsid w:val="000F1C30"/>
    <w:rsid w:val="000F1D88"/>
    <w:rsid w:val="000F1EA4"/>
    <w:rsid w:val="000F2235"/>
    <w:rsid w:val="000F2F29"/>
    <w:rsid w:val="000F32C5"/>
    <w:rsid w:val="000F3680"/>
    <w:rsid w:val="000F3850"/>
    <w:rsid w:val="000F3937"/>
    <w:rsid w:val="000F3BD4"/>
    <w:rsid w:val="000F3E7D"/>
    <w:rsid w:val="000F4579"/>
    <w:rsid w:val="000F4DE7"/>
    <w:rsid w:val="000F4F4A"/>
    <w:rsid w:val="000F516F"/>
    <w:rsid w:val="000F5631"/>
    <w:rsid w:val="000F6133"/>
    <w:rsid w:val="000F61AB"/>
    <w:rsid w:val="000F7317"/>
    <w:rsid w:val="000F7758"/>
    <w:rsid w:val="00100678"/>
    <w:rsid w:val="00100C16"/>
    <w:rsid w:val="00100E71"/>
    <w:rsid w:val="0010162B"/>
    <w:rsid w:val="00101AED"/>
    <w:rsid w:val="00102043"/>
    <w:rsid w:val="00102AB7"/>
    <w:rsid w:val="00102E5C"/>
    <w:rsid w:val="00102FBC"/>
    <w:rsid w:val="00102FE4"/>
    <w:rsid w:val="001040F8"/>
    <w:rsid w:val="00104C1F"/>
    <w:rsid w:val="001051F8"/>
    <w:rsid w:val="00105276"/>
    <w:rsid w:val="001054B4"/>
    <w:rsid w:val="00105903"/>
    <w:rsid w:val="00105D0F"/>
    <w:rsid w:val="00105F93"/>
    <w:rsid w:val="00106950"/>
    <w:rsid w:val="00106D3C"/>
    <w:rsid w:val="0010703F"/>
    <w:rsid w:val="001071DF"/>
    <w:rsid w:val="00107848"/>
    <w:rsid w:val="00107897"/>
    <w:rsid w:val="00107E5D"/>
    <w:rsid w:val="0011070C"/>
    <w:rsid w:val="00111058"/>
    <w:rsid w:val="001116BE"/>
    <w:rsid w:val="0011192E"/>
    <w:rsid w:val="00111A15"/>
    <w:rsid w:val="00111AB8"/>
    <w:rsid w:val="0011236F"/>
    <w:rsid w:val="0011253E"/>
    <w:rsid w:val="001125B0"/>
    <w:rsid w:val="001129B7"/>
    <w:rsid w:val="00112CCD"/>
    <w:rsid w:val="0011370A"/>
    <w:rsid w:val="0011375A"/>
    <w:rsid w:val="00114DC8"/>
    <w:rsid w:val="001156FA"/>
    <w:rsid w:val="00116524"/>
    <w:rsid w:val="001169FF"/>
    <w:rsid w:val="00117353"/>
    <w:rsid w:val="0011735E"/>
    <w:rsid w:val="001175DA"/>
    <w:rsid w:val="0011762E"/>
    <w:rsid w:val="00117670"/>
    <w:rsid w:val="00117F71"/>
    <w:rsid w:val="001208BE"/>
    <w:rsid w:val="001209F9"/>
    <w:rsid w:val="00121C7C"/>
    <w:rsid w:val="00122421"/>
    <w:rsid w:val="00122518"/>
    <w:rsid w:val="00122B1F"/>
    <w:rsid w:val="00122F28"/>
    <w:rsid w:val="001231ED"/>
    <w:rsid w:val="0012378A"/>
    <w:rsid w:val="0012496C"/>
    <w:rsid w:val="00124CA6"/>
    <w:rsid w:val="00124FBB"/>
    <w:rsid w:val="00125386"/>
    <w:rsid w:val="001258B3"/>
    <w:rsid w:val="00125A33"/>
    <w:rsid w:val="00126404"/>
    <w:rsid w:val="00126705"/>
    <w:rsid w:val="00126A6C"/>
    <w:rsid w:val="00127135"/>
    <w:rsid w:val="001273D5"/>
    <w:rsid w:val="0012781D"/>
    <w:rsid w:val="00127B22"/>
    <w:rsid w:val="00127DA6"/>
    <w:rsid w:val="00130ABA"/>
    <w:rsid w:val="00131018"/>
    <w:rsid w:val="00131081"/>
    <w:rsid w:val="00131411"/>
    <w:rsid w:val="00132612"/>
    <w:rsid w:val="001327DB"/>
    <w:rsid w:val="00132B10"/>
    <w:rsid w:val="00132C85"/>
    <w:rsid w:val="00133A74"/>
    <w:rsid w:val="00133B37"/>
    <w:rsid w:val="00133D83"/>
    <w:rsid w:val="0013429A"/>
    <w:rsid w:val="00134657"/>
    <w:rsid w:val="00134997"/>
    <w:rsid w:val="00134C44"/>
    <w:rsid w:val="00135823"/>
    <w:rsid w:val="0013583D"/>
    <w:rsid w:val="00135892"/>
    <w:rsid w:val="00135B37"/>
    <w:rsid w:val="00135C1F"/>
    <w:rsid w:val="00135DA3"/>
    <w:rsid w:val="00136053"/>
    <w:rsid w:val="00136E17"/>
    <w:rsid w:val="001371A9"/>
    <w:rsid w:val="00140612"/>
    <w:rsid w:val="0014077D"/>
    <w:rsid w:val="00140A22"/>
    <w:rsid w:val="00140AFA"/>
    <w:rsid w:val="00140FAA"/>
    <w:rsid w:val="00141314"/>
    <w:rsid w:val="001414E5"/>
    <w:rsid w:val="00141896"/>
    <w:rsid w:val="00141A66"/>
    <w:rsid w:val="00141A83"/>
    <w:rsid w:val="00141BC7"/>
    <w:rsid w:val="00142345"/>
    <w:rsid w:val="00142998"/>
    <w:rsid w:val="00142DE7"/>
    <w:rsid w:val="00142FDA"/>
    <w:rsid w:val="00143049"/>
    <w:rsid w:val="00143111"/>
    <w:rsid w:val="00143207"/>
    <w:rsid w:val="00143313"/>
    <w:rsid w:val="00143974"/>
    <w:rsid w:val="00143D49"/>
    <w:rsid w:val="00144D45"/>
    <w:rsid w:val="00145356"/>
    <w:rsid w:val="00145944"/>
    <w:rsid w:val="001459BB"/>
    <w:rsid w:val="00145FBE"/>
    <w:rsid w:val="00146144"/>
    <w:rsid w:val="00146601"/>
    <w:rsid w:val="00146895"/>
    <w:rsid w:val="00147261"/>
    <w:rsid w:val="00147367"/>
    <w:rsid w:val="00147B92"/>
    <w:rsid w:val="001507AB"/>
    <w:rsid w:val="001509DE"/>
    <w:rsid w:val="00150A90"/>
    <w:rsid w:val="00150EE7"/>
    <w:rsid w:val="00151117"/>
    <w:rsid w:val="00151CE3"/>
    <w:rsid w:val="00152035"/>
    <w:rsid w:val="001534F0"/>
    <w:rsid w:val="00154694"/>
    <w:rsid w:val="00154BD1"/>
    <w:rsid w:val="00154D60"/>
    <w:rsid w:val="00155454"/>
    <w:rsid w:val="001556F0"/>
    <w:rsid w:val="00155C9D"/>
    <w:rsid w:val="00156170"/>
    <w:rsid w:val="00156D8F"/>
    <w:rsid w:val="001571CF"/>
    <w:rsid w:val="00157547"/>
    <w:rsid w:val="0016057F"/>
    <w:rsid w:val="00160624"/>
    <w:rsid w:val="00160BE4"/>
    <w:rsid w:val="0016124D"/>
    <w:rsid w:val="001613A5"/>
    <w:rsid w:val="00161BC9"/>
    <w:rsid w:val="00161CB1"/>
    <w:rsid w:val="00161E63"/>
    <w:rsid w:val="001621C4"/>
    <w:rsid w:val="00162C1A"/>
    <w:rsid w:val="00162ECD"/>
    <w:rsid w:val="00162FA1"/>
    <w:rsid w:val="00163092"/>
    <w:rsid w:val="0016310C"/>
    <w:rsid w:val="00163C56"/>
    <w:rsid w:val="00164365"/>
    <w:rsid w:val="0016443A"/>
    <w:rsid w:val="00164765"/>
    <w:rsid w:val="001647EC"/>
    <w:rsid w:val="00164AFC"/>
    <w:rsid w:val="00164C9A"/>
    <w:rsid w:val="00165213"/>
    <w:rsid w:val="00165225"/>
    <w:rsid w:val="00165280"/>
    <w:rsid w:val="001653C9"/>
    <w:rsid w:val="00165B60"/>
    <w:rsid w:val="00165EFA"/>
    <w:rsid w:val="001660C2"/>
    <w:rsid w:val="00166220"/>
    <w:rsid w:val="001665C0"/>
    <w:rsid w:val="001669AD"/>
    <w:rsid w:val="00166EC5"/>
    <w:rsid w:val="001670E0"/>
    <w:rsid w:val="001671E3"/>
    <w:rsid w:val="0016741C"/>
    <w:rsid w:val="00167833"/>
    <w:rsid w:val="001678BC"/>
    <w:rsid w:val="00167ACA"/>
    <w:rsid w:val="001702E0"/>
    <w:rsid w:val="0017092D"/>
    <w:rsid w:val="00170B37"/>
    <w:rsid w:val="00170B6E"/>
    <w:rsid w:val="00171416"/>
    <w:rsid w:val="00171CED"/>
    <w:rsid w:val="00172873"/>
    <w:rsid w:val="001728DE"/>
    <w:rsid w:val="00172D72"/>
    <w:rsid w:val="00173327"/>
    <w:rsid w:val="00173353"/>
    <w:rsid w:val="0017359D"/>
    <w:rsid w:val="00173C54"/>
    <w:rsid w:val="00173E3C"/>
    <w:rsid w:val="00174120"/>
    <w:rsid w:val="0017429D"/>
    <w:rsid w:val="00174405"/>
    <w:rsid w:val="00174911"/>
    <w:rsid w:val="00174E4D"/>
    <w:rsid w:val="00175FC6"/>
    <w:rsid w:val="00176628"/>
    <w:rsid w:val="00177037"/>
    <w:rsid w:val="00177680"/>
    <w:rsid w:val="00177D01"/>
    <w:rsid w:val="00177F2F"/>
    <w:rsid w:val="00180370"/>
    <w:rsid w:val="00180CCE"/>
    <w:rsid w:val="00180EBD"/>
    <w:rsid w:val="0018149E"/>
    <w:rsid w:val="001815C1"/>
    <w:rsid w:val="0018160E"/>
    <w:rsid w:val="00181FE7"/>
    <w:rsid w:val="00182EB8"/>
    <w:rsid w:val="001831F6"/>
    <w:rsid w:val="00183A15"/>
    <w:rsid w:val="00183AC5"/>
    <w:rsid w:val="00183DFB"/>
    <w:rsid w:val="0018479E"/>
    <w:rsid w:val="00186947"/>
    <w:rsid w:val="00187DE8"/>
    <w:rsid w:val="00187F3E"/>
    <w:rsid w:val="001903CE"/>
    <w:rsid w:val="001907DF"/>
    <w:rsid w:val="00190EBE"/>
    <w:rsid w:val="001913E9"/>
    <w:rsid w:val="0019146B"/>
    <w:rsid w:val="001919DE"/>
    <w:rsid w:val="00192201"/>
    <w:rsid w:val="001925A4"/>
    <w:rsid w:val="00192606"/>
    <w:rsid w:val="00192E68"/>
    <w:rsid w:val="00193C03"/>
    <w:rsid w:val="001945E9"/>
    <w:rsid w:val="00194C0B"/>
    <w:rsid w:val="00194C44"/>
    <w:rsid w:val="001956B4"/>
    <w:rsid w:val="00195723"/>
    <w:rsid w:val="00195FCD"/>
    <w:rsid w:val="001968C0"/>
    <w:rsid w:val="00197742"/>
    <w:rsid w:val="001A0125"/>
    <w:rsid w:val="001A041D"/>
    <w:rsid w:val="001A04B0"/>
    <w:rsid w:val="001A09A6"/>
    <w:rsid w:val="001A0C0E"/>
    <w:rsid w:val="001A1756"/>
    <w:rsid w:val="001A1C97"/>
    <w:rsid w:val="001A2185"/>
    <w:rsid w:val="001A234E"/>
    <w:rsid w:val="001A246B"/>
    <w:rsid w:val="001A255E"/>
    <w:rsid w:val="001A2ED3"/>
    <w:rsid w:val="001A3187"/>
    <w:rsid w:val="001A3640"/>
    <w:rsid w:val="001A3A3F"/>
    <w:rsid w:val="001A3E6D"/>
    <w:rsid w:val="001A3F6C"/>
    <w:rsid w:val="001A4278"/>
    <w:rsid w:val="001A5FDB"/>
    <w:rsid w:val="001A6412"/>
    <w:rsid w:val="001A6A0D"/>
    <w:rsid w:val="001A6C25"/>
    <w:rsid w:val="001A7307"/>
    <w:rsid w:val="001A736A"/>
    <w:rsid w:val="001A755D"/>
    <w:rsid w:val="001A7708"/>
    <w:rsid w:val="001A772F"/>
    <w:rsid w:val="001A795E"/>
    <w:rsid w:val="001A79BD"/>
    <w:rsid w:val="001A7BA8"/>
    <w:rsid w:val="001A7D9A"/>
    <w:rsid w:val="001B03D7"/>
    <w:rsid w:val="001B0419"/>
    <w:rsid w:val="001B05E8"/>
    <w:rsid w:val="001B0CDF"/>
    <w:rsid w:val="001B13A9"/>
    <w:rsid w:val="001B24F7"/>
    <w:rsid w:val="001B2E31"/>
    <w:rsid w:val="001B324F"/>
    <w:rsid w:val="001B36B5"/>
    <w:rsid w:val="001B4052"/>
    <w:rsid w:val="001B4401"/>
    <w:rsid w:val="001B4A02"/>
    <w:rsid w:val="001B4D0A"/>
    <w:rsid w:val="001B5110"/>
    <w:rsid w:val="001B5600"/>
    <w:rsid w:val="001B5E7B"/>
    <w:rsid w:val="001B5F85"/>
    <w:rsid w:val="001B6D98"/>
    <w:rsid w:val="001B7267"/>
    <w:rsid w:val="001B7572"/>
    <w:rsid w:val="001B78C4"/>
    <w:rsid w:val="001C0B94"/>
    <w:rsid w:val="001C0D16"/>
    <w:rsid w:val="001C19BE"/>
    <w:rsid w:val="001C21A8"/>
    <w:rsid w:val="001C223B"/>
    <w:rsid w:val="001C2C9B"/>
    <w:rsid w:val="001C2C9C"/>
    <w:rsid w:val="001C30B7"/>
    <w:rsid w:val="001C3EEE"/>
    <w:rsid w:val="001C4116"/>
    <w:rsid w:val="001C4304"/>
    <w:rsid w:val="001C4B22"/>
    <w:rsid w:val="001C4B73"/>
    <w:rsid w:val="001C4F1D"/>
    <w:rsid w:val="001C53A4"/>
    <w:rsid w:val="001C5706"/>
    <w:rsid w:val="001C5C22"/>
    <w:rsid w:val="001C6541"/>
    <w:rsid w:val="001C681A"/>
    <w:rsid w:val="001C681F"/>
    <w:rsid w:val="001C6876"/>
    <w:rsid w:val="001C69DC"/>
    <w:rsid w:val="001C6F9E"/>
    <w:rsid w:val="001C7299"/>
    <w:rsid w:val="001C74C6"/>
    <w:rsid w:val="001C7E31"/>
    <w:rsid w:val="001D06A0"/>
    <w:rsid w:val="001D08FA"/>
    <w:rsid w:val="001D0DEC"/>
    <w:rsid w:val="001D1173"/>
    <w:rsid w:val="001D140E"/>
    <w:rsid w:val="001D2028"/>
    <w:rsid w:val="001D22D1"/>
    <w:rsid w:val="001D2429"/>
    <w:rsid w:val="001D25BB"/>
    <w:rsid w:val="001D2907"/>
    <w:rsid w:val="001D3000"/>
    <w:rsid w:val="001D328F"/>
    <w:rsid w:val="001D32DD"/>
    <w:rsid w:val="001D3961"/>
    <w:rsid w:val="001D3967"/>
    <w:rsid w:val="001D3DD7"/>
    <w:rsid w:val="001D3F31"/>
    <w:rsid w:val="001D4861"/>
    <w:rsid w:val="001D4894"/>
    <w:rsid w:val="001D495B"/>
    <w:rsid w:val="001D4D60"/>
    <w:rsid w:val="001D533E"/>
    <w:rsid w:val="001D54CF"/>
    <w:rsid w:val="001D605F"/>
    <w:rsid w:val="001D6743"/>
    <w:rsid w:val="001D6A18"/>
    <w:rsid w:val="001D6D8F"/>
    <w:rsid w:val="001D6ED9"/>
    <w:rsid w:val="001D6FDB"/>
    <w:rsid w:val="001D704D"/>
    <w:rsid w:val="001D7769"/>
    <w:rsid w:val="001D77FB"/>
    <w:rsid w:val="001D7C5F"/>
    <w:rsid w:val="001E02C7"/>
    <w:rsid w:val="001E14AB"/>
    <w:rsid w:val="001E1A6B"/>
    <w:rsid w:val="001E1E69"/>
    <w:rsid w:val="001E2791"/>
    <w:rsid w:val="001E2A7D"/>
    <w:rsid w:val="001E2C14"/>
    <w:rsid w:val="001E37C1"/>
    <w:rsid w:val="001E3CF6"/>
    <w:rsid w:val="001E4212"/>
    <w:rsid w:val="001E4298"/>
    <w:rsid w:val="001E44EF"/>
    <w:rsid w:val="001E47E7"/>
    <w:rsid w:val="001E4999"/>
    <w:rsid w:val="001E4AAE"/>
    <w:rsid w:val="001E4E94"/>
    <w:rsid w:val="001E4F30"/>
    <w:rsid w:val="001E531E"/>
    <w:rsid w:val="001E5477"/>
    <w:rsid w:val="001E5DE2"/>
    <w:rsid w:val="001E5F89"/>
    <w:rsid w:val="001E6127"/>
    <w:rsid w:val="001E713C"/>
    <w:rsid w:val="001E7884"/>
    <w:rsid w:val="001E7A26"/>
    <w:rsid w:val="001E7D36"/>
    <w:rsid w:val="001F02C6"/>
    <w:rsid w:val="001F0380"/>
    <w:rsid w:val="001F0D91"/>
    <w:rsid w:val="001F1505"/>
    <w:rsid w:val="001F1533"/>
    <w:rsid w:val="001F1909"/>
    <w:rsid w:val="001F1B67"/>
    <w:rsid w:val="001F1F44"/>
    <w:rsid w:val="001F2503"/>
    <w:rsid w:val="001F26C5"/>
    <w:rsid w:val="001F27CC"/>
    <w:rsid w:val="001F2B02"/>
    <w:rsid w:val="001F2BF8"/>
    <w:rsid w:val="001F2D10"/>
    <w:rsid w:val="001F2DF8"/>
    <w:rsid w:val="001F35E0"/>
    <w:rsid w:val="001F3AE0"/>
    <w:rsid w:val="001F3E88"/>
    <w:rsid w:val="001F3EEF"/>
    <w:rsid w:val="001F4373"/>
    <w:rsid w:val="001F43B7"/>
    <w:rsid w:val="001F4945"/>
    <w:rsid w:val="001F51C4"/>
    <w:rsid w:val="001F5523"/>
    <w:rsid w:val="001F5EC9"/>
    <w:rsid w:val="001F5F06"/>
    <w:rsid w:val="001F6589"/>
    <w:rsid w:val="001F6DD4"/>
    <w:rsid w:val="001F7065"/>
    <w:rsid w:val="001F774F"/>
    <w:rsid w:val="0020012E"/>
    <w:rsid w:val="00200644"/>
    <w:rsid w:val="002007E4"/>
    <w:rsid w:val="0020096D"/>
    <w:rsid w:val="00201886"/>
    <w:rsid w:val="00201F0C"/>
    <w:rsid w:val="00202281"/>
    <w:rsid w:val="002023AC"/>
    <w:rsid w:val="002029A3"/>
    <w:rsid w:val="00202D0C"/>
    <w:rsid w:val="00202D8B"/>
    <w:rsid w:val="00202ED0"/>
    <w:rsid w:val="00202F56"/>
    <w:rsid w:val="00203766"/>
    <w:rsid w:val="00203776"/>
    <w:rsid w:val="00203834"/>
    <w:rsid w:val="00203A05"/>
    <w:rsid w:val="00203F64"/>
    <w:rsid w:val="0020427F"/>
    <w:rsid w:val="00204BCF"/>
    <w:rsid w:val="0020526F"/>
    <w:rsid w:val="0020599A"/>
    <w:rsid w:val="00205A7A"/>
    <w:rsid w:val="00206546"/>
    <w:rsid w:val="00206DCE"/>
    <w:rsid w:val="00206F39"/>
    <w:rsid w:val="002078AB"/>
    <w:rsid w:val="002078D6"/>
    <w:rsid w:val="00207E95"/>
    <w:rsid w:val="002108F8"/>
    <w:rsid w:val="00210C22"/>
    <w:rsid w:val="00211525"/>
    <w:rsid w:val="00211D65"/>
    <w:rsid w:val="002120E7"/>
    <w:rsid w:val="0021215E"/>
    <w:rsid w:val="00212AF3"/>
    <w:rsid w:val="002133FB"/>
    <w:rsid w:val="002135B4"/>
    <w:rsid w:val="00214024"/>
    <w:rsid w:val="00214497"/>
    <w:rsid w:val="00214EEE"/>
    <w:rsid w:val="0021506B"/>
    <w:rsid w:val="00215376"/>
    <w:rsid w:val="00215A90"/>
    <w:rsid w:val="00215B64"/>
    <w:rsid w:val="00215E11"/>
    <w:rsid w:val="00215FC0"/>
    <w:rsid w:val="00216032"/>
    <w:rsid w:val="002165F2"/>
    <w:rsid w:val="00216BF4"/>
    <w:rsid w:val="002173F6"/>
    <w:rsid w:val="00220206"/>
    <w:rsid w:val="0022021D"/>
    <w:rsid w:val="00220536"/>
    <w:rsid w:val="00220C4C"/>
    <w:rsid w:val="00221467"/>
    <w:rsid w:val="002215BD"/>
    <w:rsid w:val="00221C11"/>
    <w:rsid w:val="00221D91"/>
    <w:rsid w:val="00222F6A"/>
    <w:rsid w:val="00223D2E"/>
    <w:rsid w:val="00224634"/>
    <w:rsid w:val="00224BAD"/>
    <w:rsid w:val="002252D1"/>
    <w:rsid w:val="0022534F"/>
    <w:rsid w:val="0022537A"/>
    <w:rsid w:val="002254AB"/>
    <w:rsid w:val="0022565D"/>
    <w:rsid w:val="00226042"/>
    <w:rsid w:val="0022646F"/>
    <w:rsid w:val="002278A8"/>
    <w:rsid w:val="00227BC6"/>
    <w:rsid w:val="00230875"/>
    <w:rsid w:val="002309B1"/>
    <w:rsid w:val="002320B6"/>
    <w:rsid w:val="002325CE"/>
    <w:rsid w:val="00232E81"/>
    <w:rsid w:val="00233815"/>
    <w:rsid w:val="002338B6"/>
    <w:rsid w:val="002338B8"/>
    <w:rsid w:val="00233CA3"/>
    <w:rsid w:val="00233EE8"/>
    <w:rsid w:val="0023507D"/>
    <w:rsid w:val="002350B7"/>
    <w:rsid w:val="002359EF"/>
    <w:rsid w:val="0023637E"/>
    <w:rsid w:val="00236394"/>
    <w:rsid w:val="002367F4"/>
    <w:rsid w:val="00237A64"/>
    <w:rsid w:val="00237A82"/>
    <w:rsid w:val="00240076"/>
    <w:rsid w:val="0024008E"/>
    <w:rsid w:val="002406E8"/>
    <w:rsid w:val="0024097A"/>
    <w:rsid w:val="00240D2C"/>
    <w:rsid w:val="00240DD8"/>
    <w:rsid w:val="002417CF"/>
    <w:rsid w:val="00241BD8"/>
    <w:rsid w:val="00241D80"/>
    <w:rsid w:val="00241E8C"/>
    <w:rsid w:val="002421BF"/>
    <w:rsid w:val="002426C1"/>
    <w:rsid w:val="002428BB"/>
    <w:rsid w:val="00242FB5"/>
    <w:rsid w:val="00243120"/>
    <w:rsid w:val="002432C2"/>
    <w:rsid w:val="0024356C"/>
    <w:rsid w:val="00244208"/>
    <w:rsid w:val="0024448A"/>
    <w:rsid w:val="00244998"/>
    <w:rsid w:val="00244B5B"/>
    <w:rsid w:val="00244E35"/>
    <w:rsid w:val="002452CD"/>
    <w:rsid w:val="00245389"/>
    <w:rsid w:val="00245766"/>
    <w:rsid w:val="00245DF0"/>
    <w:rsid w:val="00245EAB"/>
    <w:rsid w:val="00246425"/>
    <w:rsid w:val="00246552"/>
    <w:rsid w:val="002466CF"/>
    <w:rsid w:val="00246797"/>
    <w:rsid w:val="00246B3D"/>
    <w:rsid w:val="00247347"/>
    <w:rsid w:val="002478FD"/>
    <w:rsid w:val="00250CAF"/>
    <w:rsid w:val="00250DD9"/>
    <w:rsid w:val="00251216"/>
    <w:rsid w:val="00251346"/>
    <w:rsid w:val="0025138A"/>
    <w:rsid w:val="002515EC"/>
    <w:rsid w:val="002518BA"/>
    <w:rsid w:val="0025228E"/>
    <w:rsid w:val="00252A00"/>
    <w:rsid w:val="00252AEC"/>
    <w:rsid w:val="00252B26"/>
    <w:rsid w:val="0025301E"/>
    <w:rsid w:val="0025372B"/>
    <w:rsid w:val="00254A5F"/>
    <w:rsid w:val="00254AF2"/>
    <w:rsid w:val="002552E6"/>
    <w:rsid w:val="00255F6D"/>
    <w:rsid w:val="00256401"/>
    <w:rsid w:val="002569FE"/>
    <w:rsid w:val="00257064"/>
    <w:rsid w:val="0025735C"/>
    <w:rsid w:val="002579DD"/>
    <w:rsid w:val="00260637"/>
    <w:rsid w:val="00260C5F"/>
    <w:rsid w:val="00260F3B"/>
    <w:rsid w:val="002612A3"/>
    <w:rsid w:val="00261B46"/>
    <w:rsid w:val="002624BA"/>
    <w:rsid w:val="00262F45"/>
    <w:rsid w:val="002633C5"/>
    <w:rsid w:val="00263504"/>
    <w:rsid w:val="0026395F"/>
    <w:rsid w:val="00263C39"/>
    <w:rsid w:val="00263D21"/>
    <w:rsid w:val="00264765"/>
    <w:rsid w:val="00264A69"/>
    <w:rsid w:val="00264E8F"/>
    <w:rsid w:val="00265ECB"/>
    <w:rsid w:val="00266458"/>
    <w:rsid w:val="0026662E"/>
    <w:rsid w:val="00266C8B"/>
    <w:rsid w:val="00267424"/>
    <w:rsid w:val="00267426"/>
    <w:rsid w:val="00267E73"/>
    <w:rsid w:val="0027111D"/>
    <w:rsid w:val="002713F6"/>
    <w:rsid w:val="002716C0"/>
    <w:rsid w:val="00271822"/>
    <w:rsid w:val="002718AA"/>
    <w:rsid w:val="00271CE3"/>
    <w:rsid w:val="0027283A"/>
    <w:rsid w:val="00272BF7"/>
    <w:rsid w:val="00272D09"/>
    <w:rsid w:val="00274341"/>
    <w:rsid w:val="00274858"/>
    <w:rsid w:val="0027571C"/>
    <w:rsid w:val="002759C5"/>
    <w:rsid w:val="002761A1"/>
    <w:rsid w:val="00276835"/>
    <w:rsid w:val="0027687B"/>
    <w:rsid w:val="00276E2B"/>
    <w:rsid w:val="0027719B"/>
    <w:rsid w:val="002776FF"/>
    <w:rsid w:val="0027794C"/>
    <w:rsid w:val="00277E7D"/>
    <w:rsid w:val="002803CC"/>
    <w:rsid w:val="002804D9"/>
    <w:rsid w:val="0028168A"/>
    <w:rsid w:val="002816CC"/>
    <w:rsid w:val="00281C38"/>
    <w:rsid w:val="00282014"/>
    <w:rsid w:val="00282A51"/>
    <w:rsid w:val="00282F44"/>
    <w:rsid w:val="002830C8"/>
    <w:rsid w:val="002840A9"/>
    <w:rsid w:val="00284482"/>
    <w:rsid w:val="002847E1"/>
    <w:rsid w:val="0028488C"/>
    <w:rsid w:val="00285439"/>
    <w:rsid w:val="00285E72"/>
    <w:rsid w:val="00286B75"/>
    <w:rsid w:val="0028737D"/>
    <w:rsid w:val="002878C3"/>
    <w:rsid w:val="002879A1"/>
    <w:rsid w:val="00287C24"/>
    <w:rsid w:val="00290494"/>
    <w:rsid w:val="00290C8F"/>
    <w:rsid w:val="00290CC4"/>
    <w:rsid w:val="00290EF3"/>
    <w:rsid w:val="00291941"/>
    <w:rsid w:val="002921D4"/>
    <w:rsid w:val="0029285C"/>
    <w:rsid w:val="002931E6"/>
    <w:rsid w:val="00293209"/>
    <w:rsid w:val="002932F2"/>
    <w:rsid w:val="00293450"/>
    <w:rsid w:val="00293832"/>
    <w:rsid w:val="00294242"/>
    <w:rsid w:val="00294579"/>
    <w:rsid w:val="002950A9"/>
    <w:rsid w:val="00295544"/>
    <w:rsid w:val="002957FE"/>
    <w:rsid w:val="00295B7E"/>
    <w:rsid w:val="00295C16"/>
    <w:rsid w:val="00295C98"/>
    <w:rsid w:val="00295F59"/>
    <w:rsid w:val="00297217"/>
    <w:rsid w:val="00297442"/>
    <w:rsid w:val="00297489"/>
    <w:rsid w:val="00297514"/>
    <w:rsid w:val="00297B43"/>
    <w:rsid w:val="00297C0C"/>
    <w:rsid w:val="002A0A75"/>
    <w:rsid w:val="002A1475"/>
    <w:rsid w:val="002A156F"/>
    <w:rsid w:val="002A1C2A"/>
    <w:rsid w:val="002A1DE1"/>
    <w:rsid w:val="002A2135"/>
    <w:rsid w:val="002A223E"/>
    <w:rsid w:val="002A2A7C"/>
    <w:rsid w:val="002A2AD5"/>
    <w:rsid w:val="002A2B21"/>
    <w:rsid w:val="002A2C61"/>
    <w:rsid w:val="002A3A2D"/>
    <w:rsid w:val="002A4035"/>
    <w:rsid w:val="002A410E"/>
    <w:rsid w:val="002A41B8"/>
    <w:rsid w:val="002A48C0"/>
    <w:rsid w:val="002A54DC"/>
    <w:rsid w:val="002A5D27"/>
    <w:rsid w:val="002A5E7D"/>
    <w:rsid w:val="002A6011"/>
    <w:rsid w:val="002A60E7"/>
    <w:rsid w:val="002A63CB"/>
    <w:rsid w:val="002A6479"/>
    <w:rsid w:val="002A668F"/>
    <w:rsid w:val="002A6706"/>
    <w:rsid w:val="002A6762"/>
    <w:rsid w:val="002A67CD"/>
    <w:rsid w:val="002A6B6E"/>
    <w:rsid w:val="002A6FB5"/>
    <w:rsid w:val="002A70E8"/>
    <w:rsid w:val="002A7C21"/>
    <w:rsid w:val="002A7D00"/>
    <w:rsid w:val="002B04A4"/>
    <w:rsid w:val="002B0B91"/>
    <w:rsid w:val="002B0D1B"/>
    <w:rsid w:val="002B0DB2"/>
    <w:rsid w:val="002B1437"/>
    <w:rsid w:val="002B1E40"/>
    <w:rsid w:val="002B2010"/>
    <w:rsid w:val="002B214E"/>
    <w:rsid w:val="002B21E5"/>
    <w:rsid w:val="002B2233"/>
    <w:rsid w:val="002B2C2A"/>
    <w:rsid w:val="002B2E31"/>
    <w:rsid w:val="002B30FF"/>
    <w:rsid w:val="002B3AFE"/>
    <w:rsid w:val="002B3FB4"/>
    <w:rsid w:val="002B4280"/>
    <w:rsid w:val="002B46BA"/>
    <w:rsid w:val="002B48DE"/>
    <w:rsid w:val="002B5343"/>
    <w:rsid w:val="002B6066"/>
    <w:rsid w:val="002B64F7"/>
    <w:rsid w:val="002B6AF3"/>
    <w:rsid w:val="002B6C16"/>
    <w:rsid w:val="002B6CBB"/>
    <w:rsid w:val="002B7244"/>
    <w:rsid w:val="002C01BF"/>
    <w:rsid w:val="002C0554"/>
    <w:rsid w:val="002C07B7"/>
    <w:rsid w:val="002C0940"/>
    <w:rsid w:val="002C0D50"/>
    <w:rsid w:val="002C0E03"/>
    <w:rsid w:val="002C153D"/>
    <w:rsid w:val="002C1B6A"/>
    <w:rsid w:val="002C1C98"/>
    <w:rsid w:val="002C27F1"/>
    <w:rsid w:val="002C30AF"/>
    <w:rsid w:val="002C3305"/>
    <w:rsid w:val="002C372F"/>
    <w:rsid w:val="002C38B7"/>
    <w:rsid w:val="002C38EC"/>
    <w:rsid w:val="002C3B2D"/>
    <w:rsid w:val="002C4320"/>
    <w:rsid w:val="002C4CBC"/>
    <w:rsid w:val="002C4E77"/>
    <w:rsid w:val="002C58C0"/>
    <w:rsid w:val="002C6FC8"/>
    <w:rsid w:val="002C70C7"/>
    <w:rsid w:val="002C712A"/>
    <w:rsid w:val="002C7B40"/>
    <w:rsid w:val="002D0344"/>
    <w:rsid w:val="002D04AE"/>
    <w:rsid w:val="002D04B3"/>
    <w:rsid w:val="002D0BE5"/>
    <w:rsid w:val="002D113B"/>
    <w:rsid w:val="002D13A0"/>
    <w:rsid w:val="002D16A6"/>
    <w:rsid w:val="002D1788"/>
    <w:rsid w:val="002D214A"/>
    <w:rsid w:val="002D2343"/>
    <w:rsid w:val="002D2F09"/>
    <w:rsid w:val="002D3012"/>
    <w:rsid w:val="002D355C"/>
    <w:rsid w:val="002D3606"/>
    <w:rsid w:val="002D3C4C"/>
    <w:rsid w:val="002D4470"/>
    <w:rsid w:val="002D4543"/>
    <w:rsid w:val="002D4CE1"/>
    <w:rsid w:val="002D5042"/>
    <w:rsid w:val="002D507D"/>
    <w:rsid w:val="002D544D"/>
    <w:rsid w:val="002D5A92"/>
    <w:rsid w:val="002D5D1B"/>
    <w:rsid w:val="002D5E16"/>
    <w:rsid w:val="002D63CA"/>
    <w:rsid w:val="002D6963"/>
    <w:rsid w:val="002D6DD0"/>
    <w:rsid w:val="002D7001"/>
    <w:rsid w:val="002D726F"/>
    <w:rsid w:val="002D7CEA"/>
    <w:rsid w:val="002D7D4A"/>
    <w:rsid w:val="002D7F56"/>
    <w:rsid w:val="002E0121"/>
    <w:rsid w:val="002E08ED"/>
    <w:rsid w:val="002E0C06"/>
    <w:rsid w:val="002E0D5D"/>
    <w:rsid w:val="002E13ED"/>
    <w:rsid w:val="002E1427"/>
    <w:rsid w:val="002E19F7"/>
    <w:rsid w:val="002E1CF1"/>
    <w:rsid w:val="002E1D69"/>
    <w:rsid w:val="002E226F"/>
    <w:rsid w:val="002E2477"/>
    <w:rsid w:val="002E25FC"/>
    <w:rsid w:val="002E29EB"/>
    <w:rsid w:val="002E47B8"/>
    <w:rsid w:val="002E48D9"/>
    <w:rsid w:val="002E4B44"/>
    <w:rsid w:val="002E4DBF"/>
    <w:rsid w:val="002E4DF0"/>
    <w:rsid w:val="002E5188"/>
    <w:rsid w:val="002E563C"/>
    <w:rsid w:val="002E5F1A"/>
    <w:rsid w:val="002E62D6"/>
    <w:rsid w:val="002E62EE"/>
    <w:rsid w:val="002E641E"/>
    <w:rsid w:val="002E6A42"/>
    <w:rsid w:val="002E70D7"/>
    <w:rsid w:val="002E71C1"/>
    <w:rsid w:val="002E750D"/>
    <w:rsid w:val="002E7D46"/>
    <w:rsid w:val="002E7D5A"/>
    <w:rsid w:val="002F02FC"/>
    <w:rsid w:val="002F06D6"/>
    <w:rsid w:val="002F0B0D"/>
    <w:rsid w:val="002F0C3B"/>
    <w:rsid w:val="002F0CFF"/>
    <w:rsid w:val="002F122C"/>
    <w:rsid w:val="002F15DC"/>
    <w:rsid w:val="002F1699"/>
    <w:rsid w:val="002F1C70"/>
    <w:rsid w:val="002F1D0F"/>
    <w:rsid w:val="002F32FB"/>
    <w:rsid w:val="002F3729"/>
    <w:rsid w:val="002F3E2F"/>
    <w:rsid w:val="002F3E54"/>
    <w:rsid w:val="002F4477"/>
    <w:rsid w:val="002F4B37"/>
    <w:rsid w:val="002F4CF5"/>
    <w:rsid w:val="002F614B"/>
    <w:rsid w:val="002F626B"/>
    <w:rsid w:val="002F637C"/>
    <w:rsid w:val="002F662C"/>
    <w:rsid w:val="002F6EC9"/>
    <w:rsid w:val="002F72F3"/>
    <w:rsid w:val="002F7A05"/>
    <w:rsid w:val="002F7AF4"/>
    <w:rsid w:val="003002D5"/>
    <w:rsid w:val="00300383"/>
    <w:rsid w:val="0030071F"/>
    <w:rsid w:val="00300762"/>
    <w:rsid w:val="003007E4"/>
    <w:rsid w:val="0030098F"/>
    <w:rsid w:val="003009DB"/>
    <w:rsid w:val="00300B6E"/>
    <w:rsid w:val="00300DD1"/>
    <w:rsid w:val="003019F1"/>
    <w:rsid w:val="00301B7D"/>
    <w:rsid w:val="0030240F"/>
    <w:rsid w:val="00302553"/>
    <w:rsid w:val="00302E12"/>
    <w:rsid w:val="00304241"/>
    <w:rsid w:val="003044F0"/>
    <w:rsid w:val="00304F3A"/>
    <w:rsid w:val="0030506C"/>
    <w:rsid w:val="0030509C"/>
    <w:rsid w:val="003050F6"/>
    <w:rsid w:val="00305A4D"/>
    <w:rsid w:val="003065CB"/>
    <w:rsid w:val="00306731"/>
    <w:rsid w:val="00306C90"/>
    <w:rsid w:val="003074B3"/>
    <w:rsid w:val="003074BE"/>
    <w:rsid w:val="003075D4"/>
    <w:rsid w:val="00310271"/>
    <w:rsid w:val="00310A62"/>
    <w:rsid w:val="00310CB5"/>
    <w:rsid w:val="003111D8"/>
    <w:rsid w:val="00311766"/>
    <w:rsid w:val="003119B7"/>
    <w:rsid w:val="0031210B"/>
    <w:rsid w:val="003136CE"/>
    <w:rsid w:val="00314886"/>
    <w:rsid w:val="00314944"/>
    <w:rsid w:val="00314962"/>
    <w:rsid w:val="00314C7C"/>
    <w:rsid w:val="00314F52"/>
    <w:rsid w:val="00314FF3"/>
    <w:rsid w:val="00315029"/>
    <w:rsid w:val="00315856"/>
    <w:rsid w:val="00315A91"/>
    <w:rsid w:val="00315C03"/>
    <w:rsid w:val="00315D09"/>
    <w:rsid w:val="00316809"/>
    <w:rsid w:val="00316A03"/>
    <w:rsid w:val="00316AEB"/>
    <w:rsid w:val="00317373"/>
    <w:rsid w:val="0031741D"/>
    <w:rsid w:val="0031746C"/>
    <w:rsid w:val="00317BD0"/>
    <w:rsid w:val="00317DF8"/>
    <w:rsid w:val="00320549"/>
    <w:rsid w:val="003209B3"/>
    <w:rsid w:val="00320E47"/>
    <w:rsid w:val="00321E64"/>
    <w:rsid w:val="0032216C"/>
    <w:rsid w:val="0032273D"/>
    <w:rsid w:val="00323163"/>
    <w:rsid w:val="0032340B"/>
    <w:rsid w:val="00323444"/>
    <w:rsid w:val="0032384D"/>
    <w:rsid w:val="00324094"/>
    <w:rsid w:val="0032432E"/>
    <w:rsid w:val="00324632"/>
    <w:rsid w:val="003254D7"/>
    <w:rsid w:val="00325A0E"/>
    <w:rsid w:val="00325B21"/>
    <w:rsid w:val="00325F62"/>
    <w:rsid w:val="00326042"/>
    <w:rsid w:val="00326A7F"/>
    <w:rsid w:val="0032768E"/>
    <w:rsid w:val="003277C3"/>
    <w:rsid w:val="003301D4"/>
    <w:rsid w:val="00330D3F"/>
    <w:rsid w:val="00331981"/>
    <w:rsid w:val="00331A6D"/>
    <w:rsid w:val="00331D03"/>
    <w:rsid w:val="00332064"/>
    <w:rsid w:val="003324CD"/>
    <w:rsid w:val="003327C9"/>
    <w:rsid w:val="003329B0"/>
    <w:rsid w:val="00332E48"/>
    <w:rsid w:val="003330B6"/>
    <w:rsid w:val="00333EC7"/>
    <w:rsid w:val="00334984"/>
    <w:rsid w:val="00334C9B"/>
    <w:rsid w:val="00334CD7"/>
    <w:rsid w:val="00335649"/>
    <w:rsid w:val="00335910"/>
    <w:rsid w:val="0033593F"/>
    <w:rsid w:val="00336228"/>
    <w:rsid w:val="003365AB"/>
    <w:rsid w:val="00336D55"/>
    <w:rsid w:val="00337615"/>
    <w:rsid w:val="00337B60"/>
    <w:rsid w:val="00337BA4"/>
    <w:rsid w:val="003402D8"/>
    <w:rsid w:val="00340F26"/>
    <w:rsid w:val="003414CB"/>
    <w:rsid w:val="00341BA2"/>
    <w:rsid w:val="00341DD4"/>
    <w:rsid w:val="0034296F"/>
    <w:rsid w:val="00342C91"/>
    <w:rsid w:val="00342E52"/>
    <w:rsid w:val="00342F08"/>
    <w:rsid w:val="0034368A"/>
    <w:rsid w:val="00343FC9"/>
    <w:rsid w:val="003442F4"/>
    <w:rsid w:val="00344ACE"/>
    <w:rsid w:val="00345358"/>
    <w:rsid w:val="00345B39"/>
    <w:rsid w:val="00345CFC"/>
    <w:rsid w:val="00346149"/>
    <w:rsid w:val="00346865"/>
    <w:rsid w:val="00346B53"/>
    <w:rsid w:val="00346BBF"/>
    <w:rsid w:val="003479AA"/>
    <w:rsid w:val="00347ED7"/>
    <w:rsid w:val="00347EDD"/>
    <w:rsid w:val="0035117A"/>
    <w:rsid w:val="00351390"/>
    <w:rsid w:val="00351571"/>
    <w:rsid w:val="003518AB"/>
    <w:rsid w:val="00352037"/>
    <w:rsid w:val="00352050"/>
    <w:rsid w:val="003529A0"/>
    <w:rsid w:val="003529E4"/>
    <w:rsid w:val="00352F39"/>
    <w:rsid w:val="003537AB"/>
    <w:rsid w:val="00353BC0"/>
    <w:rsid w:val="0035453D"/>
    <w:rsid w:val="0035453F"/>
    <w:rsid w:val="003545CF"/>
    <w:rsid w:val="00354E19"/>
    <w:rsid w:val="00354F49"/>
    <w:rsid w:val="003550A4"/>
    <w:rsid w:val="003551F5"/>
    <w:rsid w:val="00355239"/>
    <w:rsid w:val="003554B6"/>
    <w:rsid w:val="00355862"/>
    <w:rsid w:val="00355C5F"/>
    <w:rsid w:val="00356074"/>
    <w:rsid w:val="00356AFE"/>
    <w:rsid w:val="00356DDE"/>
    <w:rsid w:val="003570F4"/>
    <w:rsid w:val="003571C8"/>
    <w:rsid w:val="00357643"/>
    <w:rsid w:val="0035793F"/>
    <w:rsid w:val="0036016D"/>
    <w:rsid w:val="00360498"/>
    <w:rsid w:val="003605D4"/>
    <w:rsid w:val="00360F11"/>
    <w:rsid w:val="00361597"/>
    <w:rsid w:val="00361939"/>
    <w:rsid w:val="0036197B"/>
    <w:rsid w:val="00361CC0"/>
    <w:rsid w:val="00361CD6"/>
    <w:rsid w:val="0036201C"/>
    <w:rsid w:val="00362586"/>
    <w:rsid w:val="003628DA"/>
    <w:rsid w:val="00363513"/>
    <w:rsid w:val="003639C7"/>
    <w:rsid w:val="0036406A"/>
    <w:rsid w:val="003641A5"/>
    <w:rsid w:val="003648B5"/>
    <w:rsid w:val="00364939"/>
    <w:rsid w:val="00364BC7"/>
    <w:rsid w:val="00364DCB"/>
    <w:rsid w:val="00365784"/>
    <w:rsid w:val="003659EE"/>
    <w:rsid w:val="00365C91"/>
    <w:rsid w:val="00366BF9"/>
    <w:rsid w:val="00367120"/>
    <w:rsid w:val="003673FA"/>
    <w:rsid w:val="00367D0F"/>
    <w:rsid w:val="003700EE"/>
    <w:rsid w:val="0037026C"/>
    <w:rsid w:val="00370451"/>
    <w:rsid w:val="003706CB"/>
    <w:rsid w:val="00370CD6"/>
    <w:rsid w:val="00371562"/>
    <w:rsid w:val="00371BE5"/>
    <w:rsid w:val="00372146"/>
    <w:rsid w:val="003724D2"/>
    <w:rsid w:val="00372A12"/>
    <w:rsid w:val="00372F9B"/>
    <w:rsid w:val="00373672"/>
    <w:rsid w:val="003736C4"/>
    <w:rsid w:val="00375581"/>
    <w:rsid w:val="00375C7C"/>
    <w:rsid w:val="00375DCA"/>
    <w:rsid w:val="00375F5B"/>
    <w:rsid w:val="00376899"/>
    <w:rsid w:val="0037745A"/>
    <w:rsid w:val="00377C0B"/>
    <w:rsid w:val="00377E68"/>
    <w:rsid w:val="00380608"/>
    <w:rsid w:val="00380AB1"/>
    <w:rsid w:val="00380BD1"/>
    <w:rsid w:val="003813FD"/>
    <w:rsid w:val="00381B4A"/>
    <w:rsid w:val="00381CD5"/>
    <w:rsid w:val="00381E5F"/>
    <w:rsid w:val="00381EFE"/>
    <w:rsid w:val="00382392"/>
    <w:rsid w:val="003826A1"/>
    <w:rsid w:val="003827DD"/>
    <w:rsid w:val="00382C32"/>
    <w:rsid w:val="00382D2B"/>
    <w:rsid w:val="00383691"/>
    <w:rsid w:val="00383B60"/>
    <w:rsid w:val="00383C69"/>
    <w:rsid w:val="00383F0B"/>
    <w:rsid w:val="00383F9F"/>
    <w:rsid w:val="00384B4E"/>
    <w:rsid w:val="00385338"/>
    <w:rsid w:val="00385D58"/>
    <w:rsid w:val="003861BD"/>
    <w:rsid w:val="00386DE6"/>
    <w:rsid w:val="003873CF"/>
    <w:rsid w:val="0038770F"/>
    <w:rsid w:val="00387948"/>
    <w:rsid w:val="00387B50"/>
    <w:rsid w:val="00387DED"/>
    <w:rsid w:val="003906CD"/>
    <w:rsid w:val="0039082B"/>
    <w:rsid w:val="00391088"/>
    <w:rsid w:val="00391349"/>
    <w:rsid w:val="003916B2"/>
    <w:rsid w:val="00391FA9"/>
    <w:rsid w:val="00392AC9"/>
    <w:rsid w:val="0039346A"/>
    <w:rsid w:val="003937DD"/>
    <w:rsid w:val="00394013"/>
    <w:rsid w:val="003943CA"/>
    <w:rsid w:val="00394E2B"/>
    <w:rsid w:val="00395879"/>
    <w:rsid w:val="00395B61"/>
    <w:rsid w:val="00396011"/>
    <w:rsid w:val="0039611E"/>
    <w:rsid w:val="0039634B"/>
    <w:rsid w:val="00396564"/>
    <w:rsid w:val="00396710"/>
    <w:rsid w:val="00396D0D"/>
    <w:rsid w:val="00396D94"/>
    <w:rsid w:val="00396FAD"/>
    <w:rsid w:val="00397330"/>
    <w:rsid w:val="003977E6"/>
    <w:rsid w:val="00397A44"/>
    <w:rsid w:val="00397A9D"/>
    <w:rsid w:val="003A01AD"/>
    <w:rsid w:val="003A087C"/>
    <w:rsid w:val="003A0969"/>
    <w:rsid w:val="003A16A9"/>
    <w:rsid w:val="003A1A56"/>
    <w:rsid w:val="003A1D50"/>
    <w:rsid w:val="003A22BB"/>
    <w:rsid w:val="003A2361"/>
    <w:rsid w:val="003A273A"/>
    <w:rsid w:val="003A3DFE"/>
    <w:rsid w:val="003A40DB"/>
    <w:rsid w:val="003A43BC"/>
    <w:rsid w:val="003A454D"/>
    <w:rsid w:val="003A49E5"/>
    <w:rsid w:val="003A4F89"/>
    <w:rsid w:val="003A513B"/>
    <w:rsid w:val="003A52B2"/>
    <w:rsid w:val="003A5780"/>
    <w:rsid w:val="003A59EF"/>
    <w:rsid w:val="003A5AC5"/>
    <w:rsid w:val="003A5D23"/>
    <w:rsid w:val="003A5D36"/>
    <w:rsid w:val="003A5D71"/>
    <w:rsid w:val="003A5FC2"/>
    <w:rsid w:val="003A600D"/>
    <w:rsid w:val="003A64CD"/>
    <w:rsid w:val="003A6EF2"/>
    <w:rsid w:val="003A7059"/>
    <w:rsid w:val="003A719C"/>
    <w:rsid w:val="003A7276"/>
    <w:rsid w:val="003A7545"/>
    <w:rsid w:val="003A777C"/>
    <w:rsid w:val="003B06FB"/>
    <w:rsid w:val="003B0A0E"/>
    <w:rsid w:val="003B1174"/>
    <w:rsid w:val="003B1F0A"/>
    <w:rsid w:val="003B203D"/>
    <w:rsid w:val="003B23DC"/>
    <w:rsid w:val="003B23DF"/>
    <w:rsid w:val="003B2545"/>
    <w:rsid w:val="003B2B06"/>
    <w:rsid w:val="003B2C74"/>
    <w:rsid w:val="003B2E0E"/>
    <w:rsid w:val="003B3028"/>
    <w:rsid w:val="003B305D"/>
    <w:rsid w:val="003B328F"/>
    <w:rsid w:val="003B3BED"/>
    <w:rsid w:val="003B3F29"/>
    <w:rsid w:val="003B3F72"/>
    <w:rsid w:val="003B3FB4"/>
    <w:rsid w:val="003B40D0"/>
    <w:rsid w:val="003B4255"/>
    <w:rsid w:val="003B44D9"/>
    <w:rsid w:val="003B47B4"/>
    <w:rsid w:val="003B4A65"/>
    <w:rsid w:val="003B4D89"/>
    <w:rsid w:val="003B5591"/>
    <w:rsid w:val="003B5604"/>
    <w:rsid w:val="003B560A"/>
    <w:rsid w:val="003B5735"/>
    <w:rsid w:val="003B5931"/>
    <w:rsid w:val="003B5DA1"/>
    <w:rsid w:val="003B61ED"/>
    <w:rsid w:val="003B66B5"/>
    <w:rsid w:val="003B6BDB"/>
    <w:rsid w:val="003B6E29"/>
    <w:rsid w:val="003B6EA5"/>
    <w:rsid w:val="003B7002"/>
    <w:rsid w:val="003C06CA"/>
    <w:rsid w:val="003C06D4"/>
    <w:rsid w:val="003C0896"/>
    <w:rsid w:val="003C08A9"/>
    <w:rsid w:val="003C0C76"/>
    <w:rsid w:val="003C0D8B"/>
    <w:rsid w:val="003C0FE0"/>
    <w:rsid w:val="003C109F"/>
    <w:rsid w:val="003C1423"/>
    <w:rsid w:val="003C15DF"/>
    <w:rsid w:val="003C178B"/>
    <w:rsid w:val="003C2236"/>
    <w:rsid w:val="003C310E"/>
    <w:rsid w:val="003C31AC"/>
    <w:rsid w:val="003C34D6"/>
    <w:rsid w:val="003C4021"/>
    <w:rsid w:val="003C40FE"/>
    <w:rsid w:val="003C41BE"/>
    <w:rsid w:val="003C4315"/>
    <w:rsid w:val="003C435B"/>
    <w:rsid w:val="003C4D0C"/>
    <w:rsid w:val="003C5045"/>
    <w:rsid w:val="003C5A46"/>
    <w:rsid w:val="003C5A76"/>
    <w:rsid w:val="003C5F9F"/>
    <w:rsid w:val="003C6C8C"/>
    <w:rsid w:val="003C6C9A"/>
    <w:rsid w:val="003C6DA3"/>
    <w:rsid w:val="003C6DFF"/>
    <w:rsid w:val="003C7BB2"/>
    <w:rsid w:val="003D021D"/>
    <w:rsid w:val="003D0CDE"/>
    <w:rsid w:val="003D1529"/>
    <w:rsid w:val="003D1861"/>
    <w:rsid w:val="003D2067"/>
    <w:rsid w:val="003D2214"/>
    <w:rsid w:val="003D236C"/>
    <w:rsid w:val="003D270A"/>
    <w:rsid w:val="003D378B"/>
    <w:rsid w:val="003D3962"/>
    <w:rsid w:val="003D3CC8"/>
    <w:rsid w:val="003D3FBD"/>
    <w:rsid w:val="003D3FBE"/>
    <w:rsid w:val="003D4D44"/>
    <w:rsid w:val="003D511E"/>
    <w:rsid w:val="003D55C3"/>
    <w:rsid w:val="003D5719"/>
    <w:rsid w:val="003D5A7E"/>
    <w:rsid w:val="003D5C93"/>
    <w:rsid w:val="003D642E"/>
    <w:rsid w:val="003D67D3"/>
    <w:rsid w:val="003D6887"/>
    <w:rsid w:val="003D710F"/>
    <w:rsid w:val="003D727A"/>
    <w:rsid w:val="003D79A3"/>
    <w:rsid w:val="003E0061"/>
    <w:rsid w:val="003E0435"/>
    <w:rsid w:val="003E0BC8"/>
    <w:rsid w:val="003E0F56"/>
    <w:rsid w:val="003E128F"/>
    <w:rsid w:val="003E12C5"/>
    <w:rsid w:val="003E17E2"/>
    <w:rsid w:val="003E2010"/>
    <w:rsid w:val="003E23E9"/>
    <w:rsid w:val="003E2990"/>
    <w:rsid w:val="003E2F95"/>
    <w:rsid w:val="003E391A"/>
    <w:rsid w:val="003E3C0F"/>
    <w:rsid w:val="003E53CB"/>
    <w:rsid w:val="003E5BDB"/>
    <w:rsid w:val="003E5C20"/>
    <w:rsid w:val="003E5F75"/>
    <w:rsid w:val="003E5F8C"/>
    <w:rsid w:val="003E5FC5"/>
    <w:rsid w:val="003E739B"/>
    <w:rsid w:val="003E7CCB"/>
    <w:rsid w:val="003F0A99"/>
    <w:rsid w:val="003F0E81"/>
    <w:rsid w:val="003F0EB4"/>
    <w:rsid w:val="003F18F7"/>
    <w:rsid w:val="003F2343"/>
    <w:rsid w:val="003F235E"/>
    <w:rsid w:val="003F2452"/>
    <w:rsid w:val="003F255B"/>
    <w:rsid w:val="003F2AF7"/>
    <w:rsid w:val="003F2B43"/>
    <w:rsid w:val="003F2D00"/>
    <w:rsid w:val="003F2FE4"/>
    <w:rsid w:val="003F373C"/>
    <w:rsid w:val="003F39AB"/>
    <w:rsid w:val="003F3EF9"/>
    <w:rsid w:val="003F432C"/>
    <w:rsid w:val="003F43A9"/>
    <w:rsid w:val="003F4630"/>
    <w:rsid w:val="003F605A"/>
    <w:rsid w:val="003F6111"/>
    <w:rsid w:val="003F6B59"/>
    <w:rsid w:val="003F6CA0"/>
    <w:rsid w:val="003F7288"/>
    <w:rsid w:val="003F7E9A"/>
    <w:rsid w:val="00400156"/>
    <w:rsid w:val="00400E60"/>
    <w:rsid w:val="00401A6C"/>
    <w:rsid w:val="00401CB3"/>
    <w:rsid w:val="0040204C"/>
    <w:rsid w:val="004023FB"/>
    <w:rsid w:val="004027C4"/>
    <w:rsid w:val="00402E34"/>
    <w:rsid w:val="00402F6B"/>
    <w:rsid w:val="00403523"/>
    <w:rsid w:val="004037CD"/>
    <w:rsid w:val="00403929"/>
    <w:rsid w:val="00403C4D"/>
    <w:rsid w:val="00403F20"/>
    <w:rsid w:val="00404047"/>
    <w:rsid w:val="00404105"/>
    <w:rsid w:val="00404326"/>
    <w:rsid w:val="0040443C"/>
    <w:rsid w:val="00404FC2"/>
    <w:rsid w:val="00405531"/>
    <w:rsid w:val="00405707"/>
    <w:rsid w:val="004059FC"/>
    <w:rsid w:val="00405CE1"/>
    <w:rsid w:val="004060A3"/>
    <w:rsid w:val="004061F8"/>
    <w:rsid w:val="004065EC"/>
    <w:rsid w:val="004068B9"/>
    <w:rsid w:val="0040747B"/>
    <w:rsid w:val="004077CD"/>
    <w:rsid w:val="00407A9C"/>
    <w:rsid w:val="00407C7D"/>
    <w:rsid w:val="00410B79"/>
    <w:rsid w:val="004110B8"/>
    <w:rsid w:val="00411488"/>
    <w:rsid w:val="004117BC"/>
    <w:rsid w:val="00411839"/>
    <w:rsid w:val="00411F50"/>
    <w:rsid w:val="00412928"/>
    <w:rsid w:val="00412A83"/>
    <w:rsid w:val="00412E8D"/>
    <w:rsid w:val="00413D5B"/>
    <w:rsid w:val="00413DBE"/>
    <w:rsid w:val="004140D2"/>
    <w:rsid w:val="004146C5"/>
    <w:rsid w:val="00414A71"/>
    <w:rsid w:val="00414CCC"/>
    <w:rsid w:val="004151F7"/>
    <w:rsid w:val="00415F44"/>
    <w:rsid w:val="00415FFC"/>
    <w:rsid w:val="00416552"/>
    <w:rsid w:val="004168EB"/>
    <w:rsid w:val="00416A3D"/>
    <w:rsid w:val="00417BC5"/>
    <w:rsid w:val="00417C01"/>
    <w:rsid w:val="00417E78"/>
    <w:rsid w:val="00420193"/>
    <w:rsid w:val="0042057A"/>
    <w:rsid w:val="0042062D"/>
    <w:rsid w:val="00420C8B"/>
    <w:rsid w:val="00420DD7"/>
    <w:rsid w:val="00421C90"/>
    <w:rsid w:val="00421EF7"/>
    <w:rsid w:val="00422160"/>
    <w:rsid w:val="00422649"/>
    <w:rsid w:val="00422670"/>
    <w:rsid w:val="0042279D"/>
    <w:rsid w:val="00423470"/>
    <w:rsid w:val="00423681"/>
    <w:rsid w:val="00423A2B"/>
    <w:rsid w:val="00423B90"/>
    <w:rsid w:val="00424658"/>
    <w:rsid w:val="00424AF7"/>
    <w:rsid w:val="00425201"/>
    <w:rsid w:val="0042523C"/>
    <w:rsid w:val="004255D6"/>
    <w:rsid w:val="00425A42"/>
    <w:rsid w:val="00425AA4"/>
    <w:rsid w:val="00426380"/>
    <w:rsid w:val="004266A7"/>
    <w:rsid w:val="00426ED9"/>
    <w:rsid w:val="00426FBC"/>
    <w:rsid w:val="00427778"/>
    <w:rsid w:val="00427975"/>
    <w:rsid w:val="00427F6E"/>
    <w:rsid w:val="004300DB"/>
    <w:rsid w:val="00430963"/>
    <w:rsid w:val="00430D5D"/>
    <w:rsid w:val="00430EC9"/>
    <w:rsid w:val="004313D2"/>
    <w:rsid w:val="004314B5"/>
    <w:rsid w:val="00431ACD"/>
    <w:rsid w:val="00431F60"/>
    <w:rsid w:val="00432CDD"/>
    <w:rsid w:val="004331A7"/>
    <w:rsid w:val="004332E2"/>
    <w:rsid w:val="0043339D"/>
    <w:rsid w:val="004334C7"/>
    <w:rsid w:val="00433A2D"/>
    <w:rsid w:val="00434259"/>
    <w:rsid w:val="0043467B"/>
    <w:rsid w:val="00434F8B"/>
    <w:rsid w:val="0043522C"/>
    <w:rsid w:val="0043585E"/>
    <w:rsid w:val="00435AE9"/>
    <w:rsid w:val="00436A9A"/>
    <w:rsid w:val="00437017"/>
    <w:rsid w:val="004370C2"/>
    <w:rsid w:val="0043762F"/>
    <w:rsid w:val="00437631"/>
    <w:rsid w:val="00437F6B"/>
    <w:rsid w:val="004400B1"/>
    <w:rsid w:val="0044051C"/>
    <w:rsid w:val="0044067D"/>
    <w:rsid w:val="00440812"/>
    <w:rsid w:val="004409D2"/>
    <w:rsid w:val="00440EB8"/>
    <w:rsid w:val="00441231"/>
    <w:rsid w:val="00441268"/>
    <w:rsid w:val="0044134D"/>
    <w:rsid w:val="00441389"/>
    <w:rsid w:val="004413DF"/>
    <w:rsid w:val="00441465"/>
    <w:rsid w:val="00441503"/>
    <w:rsid w:val="00441D1F"/>
    <w:rsid w:val="00442666"/>
    <w:rsid w:val="004435E4"/>
    <w:rsid w:val="004438DA"/>
    <w:rsid w:val="004442DE"/>
    <w:rsid w:val="00444419"/>
    <w:rsid w:val="004449E4"/>
    <w:rsid w:val="00444AD7"/>
    <w:rsid w:val="00445396"/>
    <w:rsid w:val="004458DF"/>
    <w:rsid w:val="00445BBC"/>
    <w:rsid w:val="00445C3F"/>
    <w:rsid w:val="00445FE4"/>
    <w:rsid w:val="00446263"/>
    <w:rsid w:val="0044640C"/>
    <w:rsid w:val="004464C9"/>
    <w:rsid w:val="00446D2E"/>
    <w:rsid w:val="00447050"/>
    <w:rsid w:val="004506E3"/>
    <w:rsid w:val="00450DFD"/>
    <w:rsid w:val="00450E84"/>
    <w:rsid w:val="00450FB2"/>
    <w:rsid w:val="00451966"/>
    <w:rsid w:val="00451A96"/>
    <w:rsid w:val="00451D48"/>
    <w:rsid w:val="00451F8E"/>
    <w:rsid w:val="00452478"/>
    <w:rsid w:val="0045294C"/>
    <w:rsid w:val="00452EA3"/>
    <w:rsid w:val="00453089"/>
    <w:rsid w:val="0045322A"/>
    <w:rsid w:val="004533BE"/>
    <w:rsid w:val="00453489"/>
    <w:rsid w:val="00453BE6"/>
    <w:rsid w:val="00454084"/>
    <w:rsid w:val="00454853"/>
    <w:rsid w:val="0045506D"/>
    <w:rsid w:val="004553F3"/>
    <w:rsid w:val="004556AF"/>
    <w:rsid w:val="004560EE"/>
    <w:rsid w:val="0045639A"/>
    <w:rsid w:val="00456E0F"/>
    <w:rsid w:val="00456FC5"/>
    <w:rsid w:val="00457303"/>
    <w:rsid w:val="0045760C"/>
    <w:rsid w:val="00457AD1"/>
    <w:rsid w:val="0046002E"/>
    <w:rsid w:val="004606F6"/>
    <w:rsid w:val="00460DD9"/>
    <w:rsid w:val="00460F02"/>
    <w:rsid w:val="00461D3D"/>
    <w:rsid w:val="00462269"/>
    <w:rsid w:val="00462C45"/>
    <w:rsid w:val="00463258"/>
    <w:rsid w:val="00463598"/>
    <w:rsid w:val="0046359B"/>
    <w:rsid w:val="0046365A"/>
    <w:rsid w:val="00463677"/>
    <w:rsid w:val="004644C1"/>
    <w:rsid w:val="004645B4"/>
    <w:rsid w:val="00464702"/>
    <w:rsid w:val="004647DB"/>
    <w:rsid w:val="00465159"/>
    <w:rsid w:val="0046524D"/>
    <w:rsid w:val="0046588A"/>
    <w:rsid w:val="00465B70"/>
    <w:rsid w:val="00465DB1"/>
    <w:rsid w:val="00466460"/>
    <w:rsid w:val="00466B7F"/>
    <w:rsid w:val="0046728F"/>
    <w:rsid w:val="0046752B"/>
    <w:rsid w:val="00467BD6"/>
    <w:rsid w:val="00467F4B"/>
    <w:rsid w:val="004700C5"/>
    <w:rsid w:val="004702A8"/>
    <w:rsid w:val="004705EE"/>
    <w:rsid w:val="0047094E"/>
    <w:rsid w:val="00470E24"/>
    <w:rsid w:val="0047107B"/>
    <w:rsid w:val="0047191A"/>
    <w:rsid w:val="00471992"/>
    <w:rsid w:val="00471C3D"/>
    <w:rsid w:val="00471FA9"/>
    <w:rsid w:val="00472047"/>
    <w:rsid w:val="004722A5"/>
    <w:rsid w:val="0047239C"/>
    <w:rsid w:val="00472609"/>
    <w:rsid w:val="004726FB"/>
    <w:rsid w:val="0047270A"/>
    <w:rsid w:val="00472A30"/>
    <w:rsid w:val="00472EC8"/>
    <w:rsid w:val="004730A1"/>
    <w:rsid w:val="004731CF"/>
    <w:rsid w:val="004735AD"/>
    <w:rsid w:val="0047375F"/>
    <w:rsid w:val="0047410B"/>
    <w:rsid w:val="0047449D"/>
    <w:rsid w:val="00474668"/>
    <w:rsid w:val="0047473C"/>
    <w:rsid w:val="00474CB5"/>
    <w:rsid w:val="00474FE5"/>
    <w:rsid w:val="004750A6"/>
    <w:rsid w:val="0047587F"/>
    <w:rsid w:val="004758C4"/>
    <w:rsid w:val="00475C12"/>
    <w:rsid w:val="004760C0"/>
    <w:rsid w:val="00476175"/>
    <w:rsid w:val="004767EA"/>
    <w:rsid w:val="00476893"/>
    <w:rsid w:val="00476992"/>
    <w:rsid w:val="00476BBF"/>
    <w:rsid w:val="0047729D"/>
    <w:rsid w:val="004801EC"/>
    <w:rsid w:val="0048035A"/>
    <w:rsid w:val="0048070D"/>
    <w:rsid w:val="004811F0"/>
    <w:rsid w:val="00481414"/>
    <w:rsid w:val="00481573"/>
    <w:rsid w:val="0048221E"/>
    <w:rsid w:val="00482A63"/>
    <w:rsid w:val="00482B8B"/>
    <w:rsid w:val="00483769"/>
    <w:rsid w:val="004837A3"/>
    <w:rsid w:val="004838D2"/>
    <w:rsid w:val="00483978"/>
    <w:rsid w:val="00484439"/>
    <w:rsid w:val="004845DF"/>
    <w:rsid w:val="0048465E"/>
    <w:rsid w:val="004849A2"/>
    <w:rsid w:val="00484DDC"/>
    <w:rsid w:val="0048526F"/>
    <w:rsid w:val="00485D96"/>
    <w:rsid w:val="00485DC5"/>
    <w:rsid w:val="004864C7"/>
    <w:rsid w:val="004865B0"/>
    <w:rsid w:val="00486961"/>
    <w:rsid w:val="00486AE3"/>
    <w:rsid w:val="00486EB5"/>
    <w:rsid w:val="0048759C"/>
    <w:rsid w:val="00487B47"/>
    <w:rsid w:val="00487C01"/>
    <w:rsid w:val="00487DFD"/>
    <w:rsid w:val="00487E03"/>
    <w:rsid w:val="0049089E"/>
    <w:rsid w:val="00491A6E"/>
    <w:rsid w:val="004921F5"/>
    <w:rsid w:val="0049224F"/>
    <w:rsid w:val="0049304D"/>
    <w:rsid w:val="004937AF"/>
    <w:rsid w:val="00494076"/>
    <w:rsid w:val="0049414C"/>
    <w:rsid w:val="004945F3"/>
    <w:rsid w:val="00494766"/>
    <w:rsid w:val="00494C34"/>
    <w:rsid w:val="00494ED6"/>
    <w:rsid w:val="00494F27"/>
    <w:rsid w:val="004950C8"/>
    <w:rsid w:val="0049568B"/>
    <w:rsid w:val="00495D96"/>
    <w:rsid w:val="00495E67"/>
    <w:rsid w:val="00496D7B"/>
    <w:rsid w:val="00496D82"/>
    <w:rsid w:val="0049797D"/>
    <w:rsid w:val="00497B20"/>
    <w:rsid w:val="00497BF8"/>
    <w:rsid w:val="00497CE0"/>
    <w:rsid w:val="00497E06"/>
    <w:rsid w:val="004A0058"/>
    <w:rsid w:val="004A0718"/>
    <w:rsid w:val="004A07FB"/>
    <w:rsid w:val="004A1CDB"/>
    <w:rsid w:val="004A1D96"/>
    <w:rsid w:val="004A1F6D"/>
    <w:rsid w:val="004A2033"/>
    <w:rsid w:val="004A2BA6"/>
    <w:rsid w:val="004A2D71"/>
    <w:rsid w:val="004A3178"/>
    <w:rsid w:val="004A3212"/>
    <w:rsid w:val="004A3609"/>
    <w:rsid w:val="004A37DA"/>
    <w:rsid w:val="004A38D2"/>
    <w:rsid w:val="004A3984"/>
    <w:rsid w:val="004A4956"/>
    <w:rsid w:val="004A4C94"/>
    <w:rsid w:val="004A6CF1"/>
    <w:rsid w:val="004A783B"/>
    <w:rsid w:val="004A7E8C"/>
    <w:rsid w:val="004B0377"/>
    <w:rsid w:val="004B03D9"/>
    <w:rsid w:val="004B04F6"/>
    <w:rsid w:val="004B0A01"/>
    <w:rsid w:val="004B1D4B"/>
    <w:rsid w:val="004B1F53"/>
    <w:rsid w:val="004B36EC"/>
    <w:rsid w:val="004B3AB7"/>
    <w:rsid w:val="004B44A3"/>
    <w:rsid w:val="004B4B97"/>
    <w:rsid w:val="004B599F"/>
    <w:rsid w:val="004B6628"/>
    <w:rsid w:val="004B6B08"/>
    <w:rsid w:val="004B6D22"/>
    <w:rsid w:val="004B7015"/>
    <w:rsid w:val="004B707A"/>
    <w:rsid w:val="004B710C"/>
    <w:rsid w:val="004B7448"/>
    <w:rsid w:val="004B77F7"/>
    <w:rsid w:val="004B7B74"/>
    <w:rsid w:val="004B7E7A"/>
    <w:rsid w:val="004C0D10"/>
    <w:rsid w:val="004C15E0"/>
    <w:rsid w:val="004C1A8D"/>
    <w:rsid w:val="004C1F4E"/>
    <w:rsid w:val="004C2437"/>
    <w:rsid w:val="004C31A6"/>
    <w:rsid w:val="004C44C8"/>
    <w:rsid w:val="004C46F0"/>
    <w:rsid w:val="004C4C19"/>
    <w:rsid w:val="004C521A"/>
    <w:rsid w:val="004C52CA"/>
    <w:rsid w:val="004C55D1"/>
    <w:rsid w:val="004C594B"/>
    <w:rsid w:val="004C5A7B"/>
    <w:rsid w:val="004C5B3C"/>
    <w:rsid w:val="004C5CFF"/>
    <w:rsid w:val="004C64F1"/>
    <w:rsid w:val="004C6B46"/>
    <w:rsid w:val="004C6D4A"/>
    <w:rsid w:val="004C72EB"/>
    <w:rsid w:val="004C7C5D"/>
    <w:rsid w:val="004D06A0"/>
    <w:rsid w:val="004D0F1D"/>
    <w:rsid w:val="004D0F84"/>
    <w:rsid w:val="004D12E1"/>
    <w:rsid w:val="004D1A46"/>
    <w:rsid w:val="004D1E73"/>
    <w:rsid w:val="004D22B2"/>
    <w:rsid w:val="004D2416"/>
    <w:rsid w:val="004D25A1"/>
    <w:rsid w:val="004D29C5"/>
    <w:rsid w:val="004D2A27"/>
    <w:rsid w:val="004D2E17"/>
    <w:rsid w:val="004D3150"/>
    <w:rsid w:val="004D3882"/>
    <w:rsid w:val="004D3CEA"/>
    <w:rsid w:val="004D3F94"/>
    <w:rsid w:val="004D4408"/>
    <w:rsid w:val="004D44D0"/>
    <w:rsid w:val="004D599D"/>
    <w:rsid w:val="004D61CB"/>
    <w:rsid w:val="004D682B"/>
    <w:rsid w:val="004D6AF5"/>
    <w:rsid w:val="004D6CBA"/>
    <w:rsid w:val="004D6E8C"/>
    <w:rsid w:val="004D6F6F"/>
    <w:rsid w:val="004D7080"/>
    <w:rsid w:val="004D710E"/>
    <w:rsid w:val="004E0118"/>
    <w:rsid w:val="004E01E6"/>
    <w:rsid w:val="004E0288"/>
    <w:rsid w:val="004E0EB9"/>
    <w:rsid w:val="004E17AC"/>
    <w:rsid w:val="004E1E7B"/>
    <w:rsid w:val="004E2635"/>
    <w:rsid w:val="004E35C1"/>
    <w:rsid w:val="004E37F6"/>
    <w:rsid w:val="004E3922"/>
    <w:rsid w:val="004E3A3C"/>
    <w:rsid w:val="004E404D"/>
    <w:rsid w:val="004E40B1"/>
    <w:rsid w:val="004E42AA"/>
    <w:rsid w:val="004E43E9"/>
    <w:rsid w:val="004E4F23"/>
    <w:rsid w:val="004E5DCA"/>
    <w:rsid w:val="004E61B1"/>
    <w:rsid w:val="004E657F"/>
    <w:rsid w:val="004E6FEA"/>
    <w:rsid w:val="004F09A3"/>
    <w:rsid w:val="004F0AC3"/>
    <w:rsid w:val="004F0ACB"/>
    <w:rsid w:val="004F10B3"/>
    <w:rsid w:val="004F1843"/>
    <w:rsid w:val="004F1B99"/>
    <w:rsid w:val="004F1CCC"/>
    <w:rsid w:val="004F21F7"/>
    <w:rsid w:val="004F2886"/>
    <w:rsid w:val="004F2BC2"/>
    <w:rsid w:val="004F2C4C"/>
    <w:rsid w:val="004F3435"/>
    <w:rsid w:val="004F348D"/>
    <w:rsid w:val="004F398B"/>
    <w:rsid w:val="004F39C3"/>
    <w:rsid w:val="004F40C0"/>
    <w:rsid w:val="004F418E"/>
    <w:rsid w:val="004F456C"/>
    <w:rsid w:val="004F4870"/>
    <w:rsid w:val="004F4CDA"/>
    <w:rsid w:val="004F5262"/>
    <w:rsid w:val="004F5892"/>
    <w:rsid w:val="004F5F3D"/>
    <w:rsid w:val="004F5FA4"/>
    <w:rsid w:val="004F61A9"/>
    <w:rsid w:val="004F62BB"/>
    <w:rsid w:val="004F65E8"/>
    <w:rsid w:val="004F6D5B"/>
    <w:rsid w:val="004F70A1"/>
    <w:rsid w:val="004F72F9"/>
    <w:rsid w:val="00500176"/>
    <w:rsid w:val="00500DFA"/>
    <w:rsid w:val="00500F66"/>
    <w:rsid w:val="005011CB"/>
    <w:rsid w:val="00501785"/>
    <w:rsid w:val="00501D42"/>
    <w:rsid w:val="0050245A"/>
    <w:rsid w:val="00502739"/>
    <w:rsid w:val="005027E8"/>
    <w:rsid w:val="00502C75"/>
    <w:rsid w:val="0050308E"/>
    <w:rsid w:val="00503446"/>
    <w:rsid w:val="00503846"/>
    <w:rsid w:val="0050394A"/>
    <w:rsid w:val="005039C3"/>
    <w:rsid w:val="00504158"/>
    <w:rsid w:val="005041EB"/>
    <w:rsid w:val="00505049"/>
    <w:rsid w:val="0050582B"/>
    <w:rsid w:val="00505CD7"/>
    <w:rsid w:val="00505EA0"/>
    <w:rsid w:val="00506C67"/>
    <w:rsid w:val="00506D17"/>
    <w:rsid w:val="00506FA4"/>
    <w:rsid w:val="00506FB7"/>
    <w:rsid w:val="005077F9"/>
    <w:rsid w:val="00507D88"/>
    <w:rsid w:val="00507FDB"/>
    <w:rsid w:val="0051053D"/>
    <w:rsid w:val="0051160C"/>
    <w:rsid w:val="005116C8"/>
    <w:rsid w:val="005117DA"/>
    <w:rsid w:val="0051194D"/>
    <w:rsid w:val="00511DAE"/>
    <w:rsid w:val="0051215F"/>
    <w:rsid w:val="00512AE0"/>
    <w:rsid w:val="00512B42"/>
    <w:rsid w:val="00512F3A"/>
    <w:rsid w:val="0051475C"/>
    <w:rsid w:val="00514B1B"/>
    <w:rsid w:val="0051512C"/>
    <w:rsid w:val="0051713D"/>
    <w:rsid w:val="00517663"/>
    <w:rsid w:val="00517FE9"/>
    <w:rsid w:val="00520020"/>
    <w:rsid w:val="0052032C"/>
    <w:rsid w:val="00520699"/>
    <w:rsid w:val="00520871"/>
    <w:rsid w:val="005208CC"/>
    <w:rsid w:val="005210A6"/>
    <w:rsid w:val="0052117D"/>
    <w:rsid w:val="00521310"/>
    <w:rsid w:val="005216ED"/>
    <w:rsid w:val="00521ACC"/>
    <w:rsid w:val="00522215"/>
    <w:rsid w:val="0052278E"/>
    <w:rsid w:val="00522822"/>
    <w:rsid w:val="005238AA"/>
    <w:rsid w:val="00523C70"/>
    <w:rsid w:val="0052452B"/>
    <w:rsid w:val="00524656"/>
    <w:rsid w:val="005249F8"/>
    <w:rsid w:val="00524B79"/>
    <w:rsid w:val="00524EC3"/>
    <w:rsid w:val="005250B2"/>
    <w:rsid w:val="00526406"/>
    <w:rsid w:val="00526432"/>
    <w:rsid w:val="005273B0"/>
    <w:rsid w:val="00527830"/>
    <w:rsid w:val="0052797A"/>
    <w:rsid w:val="00527D7D"/>
    <w:rsid w:val="00527D82"/>
    <w:rsid w:val="005302ED"/>
    <w:rsid w:val="00530763"/>
    <w:rsid w:val="0053103B"/>
    <w:rsid w:val="005312A2"/>
    <w:rsid w:val="0053141F"/>
    <w:rsid w:val="005314AD"/>
    <w:rsid w:val="00532021"/>
    <w:rsid w:val="0053252D"/>
    <w:rsid w:val="00533F26"/>
    <w:rsid w:val="00534244"/>
    <w:rsid w:val="0053432D"/>
    <w:rsid w:val="0053437E"/>
    <w:rsid w:val="0053472B"/>
    <w:rsid w:val="00534B00"/>
    <w:rsid w:val="00534D3F"/>
    <w:rsid w:val="00535088"/>
    <w:rsid w:val="005352F9"/>
    <w:rsid w:val="00535768"/>
    <w:rsid w:val="0053579A"/>
    <w:rsid w:val="0053596B"/>
    <w:rsid w:val="0053622D"/>
    <w:rsid w:val="0053639B"/>
    <w:rsid w:val="0053676B"/>
    <w:rsid w:val="00537257"/>
    <w:rsid w:val="005373F2"/>
    <w:rsid w:val="00537D8B"/>
    <w:rsid w:val="005400CC"/>
    <w:rsid w:val="00540329"/>
    <w:rsid w:val="005404E2"/>
    <w:rsid w:val="005405B9"/>
    <w:rsid w:val="00540716"/>
    <w:rsid w:val="00540DA2"/>
    <w:rsid w:val="00540DE8"/>
    <w:rsid w:val="0054101D"/>
    <w:rsid w:val="00541766"/>
    <w:rsid w:val="00541DCE"/>
    <w:rsid w:val="00541EDF"/>
    <w:rsid w:val="005420C1"/>
    <w:rsid w:val="00543EEE"/>
    <w:rsid w:val="00544144"/>
    <w:rsid w:val="00544265"/>
    <w:rsid w:val="00544646"/>
    <w:rsid w:val="00544A75"/>
    <w:rsid w:val="0054510B"/>
    <w:rsid w:val="0054642B"/>
    <w:rsid w:val="00546A42"/>
    <w:rsid w:val="00546AC1"/>
    <w:rsid w:val="00547612"/>
    <w:rsid w:val="00547CD6"/>
    <w:rsid w:val="0055003D"/>
    <w:rsid w:val="0055005B"/>
    <w:rsid w:val="00550CAA"/>
    <w:rsid w:val="005513DB"/>
    <w:rsid w:val="00551871"/>
    <w:rsid w:val="005518A4"/>
    <w:rsid w:val="00552420"/>
    <w:rsid w:val="00552604"/>
    <w:rsid w:val="0055286F"/>
    <w:rsid w:val="00553709"/>
    <w:rsid w:val="005539B6"/>
    <w:rsid w:val="0055410F"/>
    <w:rsid w:val="00554300"/>
    <w:rsid w:val="00554F4C"/>
    <w:rsid w:val="005552F9"/>
    <w:rsid w:val="00555309"/>
    <w:rsid w:val="0055534C"/>
    <w:rsid w:val="005553F6"/>
    <w:rsid w:val="00555DAD"/>
    <w:rsid w:val="0055605C"/>
    <w:rsid w:val="0055614D"/>
    <w:rsid w:val="005561DF"/>
    <w:rsid w:val="00556425"/>
    <w:rsid w:val="005573B9"/>
    <w:rsid w:val="0055747C"/>
    <w:rsid w:val="00557E79"/>
    <w:rsid w:val="00560C43"/>
    <w:rsid w:val="005612D4"/>
    <w:rsid w:val="00561333"/>
    <w:rsid w:val="005613F0"/>
    <w:rsid w:val="005614C1"/>
    <w:rsid w:val="005616E4"/>
    <w:rsid w:val="005618DC"/>
    <w:rsid w:val="00561935"/>
    <w:rsid w:val="005625D5"/>
    <w:rsid w:val="00562860"/>
    <w:rsid w:val="00562ABC"/>
    <w:rsid w:val="00562B02"/>
    <w:rsid w:val="00562FBA"/>
    <w:rsid w:val="00563A75"/>
    <w:rsid w:val="00564075"/>
    <w:rsid w:val="00564352"/>
    <w:rsid w:val="00564C40"/>
    <w:rsid w:val="00564E91"/>
    <w:rsid w:val="00565009"/>
    <w:rsid w:val="005651DF"/>
    <w:rsid w:val="005659D3"/>
    <w:rsid w:val="00565A7B"/>
    <w:rsid w:val="0056614E"/>
    <w:rsid w:val="0056666D"/>
    <w:rsid w:val="00566F65"/>
    <w:rsid w:val="00567844"/>
    <w:rsid w:val="00567A0A"/>
    <w:rsid w:val="00567DD4"/>
    <w:rsid w:val="00567E80"/>
    <w:rsid w:val="00567FE6"/>
    <w:rsid w:val="00570DAC"/>
    <w:rsid w:val="0057254D"/>
    <w:rsid w:val="0057274C"/>
    <w:rsid w:val="00572A26"/>
    <w:rsid w:val="00572A3F"/>
    <w:rsid w:val="0057369E"/>
    <w:rsid w:val="00573723"/>
    <w:rsid w:val="00573894"/>
    <w:rsid w:val="00573BAC"/>
    <w:rsid w:val="00573F19"/>
    <w:rsid w:val="005741BA"/>
    <w:rsid w:val="00574557"/>
    <w:rsid w:val="00574948"/>
    <w:rsid w:val="00574CBF"/>
    <w:rsid w:val="00574F4B"/>
    <w:rsid w:val="00575038"/>
    <w:rsid w:val="005751A1"/>
    <w:rsid w:val="005754DD"/>
    <w:rsid w:val="005755B6"/>
    <w:rsid w:val="00576051"/>
    <w:rsid w:val="0057702E"/>
    <w:rsid w:val="005773CE"/>
    <w:rsid w:val="0057754E"/>
    <w:rsid w:val="00577D13"/>
    <w:rsid w:val="00577F83"/>
    <w:rsid w:val="00580B28"/>
    <w:rsid w:val="00581629"/>
    <w:rsid w:val="00581966"/>
    <w:rsid w:val="0058216F"/>
    <w:rsid w:val="0058219A"/>
    <w:rsid w:val="00582332"/>
    <w:rsid w:val="00582810"/>
    <w:rsid w:val="00582E23"/>
    <w:rsid w:val="00583545"/>
    <w:rsid w:val="005837C5"/>
    <w:rsid w:val="00583CE8"/>
    <w:rsid w:val="005842DE"/>
    <w:rsid w:val="0058455E"/>
    <w:rsid w:val="0058518B"/>
    <w:rsid w:val="005857DE"/>
    <w:rsid w:val="005860A8"/>
    <w:rsid w:val="0058620A"/>
    <w:rsid w:val="00586A15"/>
    <w:rsid w:val="00586F4B"/>
    <w:rsid w:val="005871FE"/>
    <w:rsid w:val="00587288"/>
    <w:rsid w:val="005874E7"/>
    <w:rsid w:val="005875C0"/>
    <w:rsid w:val="005878C1"/>
    <w:rsid w:val="005902C8"/>
    <w:rsid w:val="005904E8"/>
    <w:rsid w:val="0059059B"/>
    <w:rsid w:val="00591BB4"/>
    <w:rsid w:val="0059207F"/>
    <w:rsid w:val="005920B0"/>
    <w:rsid w:val="0059219E"/>
    <w:rsid w:val="0059268E"/>
    <w:rsid w:val="00592A70"/>
    <w:rsid w:val="00592B36"/>
    <w:rsid w:val="00592DFA"/>
    <w:rsid w:val="00593192"/>
    <w:rsid w:val="0059323D"/>
    <w:rsid w:val="00593814"/>
    <w:rsid w:val="005938C3"/>
    <w:rsid w:val="005938F4"/>
    <w:rsid w:val="00593C79"/>
    <w:rsid w:val="00594553"/>
    <w:rsid w:val="00594566"/>
    <w:rsid w:val="005958C3"/>
    <w:rsid w:val="00595921"/>
    <w:rsid w:val="0059602C"/>
    <w:rsid w:val="00596AB9"/>
    <w:rsid w:val="00596ADE"/>
    <w:rsid w:val="00596C61"/>
    <w:rsid w:val="00596F10"/>
    <w:rsid w:val="00596FAE"/>
    <w:rsid w:val="00596FF5"/>
    <w:rsid w:val="00597E3B"/>
    <w:rsid w:val="005A04A7"/>
    <w:rsid w:val="005A0A52"/>
    <w:rsid w:val="005A0D06"/>
    <w:rsid w:val="005A0E1E"/>
    <w:rsid w:val="005A0E9F"/>
    <w:rsid w:val="005A1D70"/>
    <w:rsid w:val="005A1F10"/>
    <w:rsid w:val="005A2256"/>
    <w:rsid w:val="005A22B1"/>
    <w:rsid w:val="005A316C"/>
    <w:rsid w:val="005A32A2"/>
    <w:rsid w:val="005A3380"/>
    <w:rsid w:val="005A3B2A"/>
    <w:rsid w:val="005A3C58"/>
    <w:rsid w:val="005A40CE"/>
    <w:rsid w:val="005A41F1"/>
    <w:rsid w:val="005A46BC"/>
    <w:rsid w:val="005A49D2"/>
    <w:rsid w:val="005A49F3"/>
    <w:rsid w:val="005A4F76"/>
    <w:rsid w:val="005A5127"/>
    <w:rsid w:val="005A55E9"/>
    <w:rsid w:val="005A5888"/>
    <w:rsid w:val="005A5B16"/>
    <w:rsid w:val="005A6468"/>
    <w:rsid w:val="005A6A5D"/>
    <w:rsid w:val="005A6C5D"/>
    <w:rsid w:val="005A6EEB"/>
    <w:rsid w:val="005A77BC"/>
    <w:rsid w:val="005A7A5A"/>
    <w:rsid w:val="005A7F1F"/>
    <w:rsid w:val="005B0030"/>
    <w:rsid w:val="005B0870"/>
    <w:rsid w:val="005B134A"/>
    <w:rsid w:val="005B1890"/>
    <w:rsid w:val="005B1CC1"/>
    <w:rsid w:val="005B2749"/>
    <w:rsid w:val="005B2958"/>
    <w:rsid w:val="005B2D47"/>
    <w:rsid w:val="005B30B4"/>
    <w:rsid w:val="005B3628"/>
    <w:rsid w:val="005B4202"/>
    <w:rsid w:val="005B42AA"/>
    <w:rsid w:val="005B4799"/>
    <w:rsid w:val="005B507F"/>
    <w:rsid w:val="005B50C7"/>
    <w:rsid w:val="005B5467"/>
    <w:rsid w:val="005B55AB"/>
    <w:rsid w:val="005B5C8F"/>
    <w:rsid w:val="005B6360"/>
    <w:rsid w:val="005B63E7"/>
    <w:rsid w:val="005B67C5"/>
    <w:rsid w:val="005B6BCA"/>
    <w:rsid w:val="005B6EC6"/>
    <w:rsid w:val="005B6F95"/>
    <w:rsid w:val="005B70CD"/>
    <w:rsid w:val="005B74DF"/>
    <w:rsid w:val="005B7770"/>
    <w:rsid w:val="005B7DA2"/>
    <w:rsid w:val="005B7DB8"/>
    <w:rsid w:val="005C0549"/>
    <w:rsid w:val="005C0F2F"/>
    <w:rsid w:val="005C1B59"/>
    <w:rsid w:val="005C2571"/>
    <w:rsid w:val="005C326E"/>
    <w:rsid w:val="005C332C"/>
    <w:rsid w:val="005C39C9"/>
    <w:rsid w:val="005C3BEA"/>
    <w:rsid w:val="005C3BF9"/>
    <w:rsid w:val="005C43A2"/>
    <w:rsid w:val="005C44AD"/>
    <w:rsid w:val="005C47F8"/>
    <w:rsid w:val="005C4D30"/>
    <w:rsid w:val="005C5D3B"/>
    <w:rsid w:val="005C5D50"/>
    <w:rsid w:val="005C5F86"/>
    <w:rsid w:val="005C60A1"/>
    <w:rsid w:val="005C662E"/>
    <w:rsid w:val="005C693B"/>
    <w:rsid w:val="005C6D3A"/>
    <w:rsid w:val="005C6D9E"/>
    <w:rsid w:val="005C7097"/>
    <w:rsid w:val="005C7B7A"/>
    <w:rsid w:val="005D0573"/>
    <w:rsid w:val="005D0BAA"/>
    <w:rsid w:val="005D0CE8"/>
    <w:rsid w:val="005D14AD"/>
    <w:rsid w:val="005D2778"/>
    <w:rsid w:val="005D2BBB"/>
    <w:rsid w:val="005D3175"/>
    <w:rsid w:val="005D3B09"/>
    <w:rsid w:val="005D3B94"/>
    <w:rsid w:val="005D3BDC"/>
    <w:rsid w:val="005D4D48"/>
    <w:rsid w:val="005D535B"/>
    <w:rsid w:val="005D542C"/>
    <w:rsid w:val="005D575A"/>
    <w:rsid w:val="005D59C9"/>
    <w:rsid w:val="005D5A39"/>
    <w:rsid w:val="005D5A7E"/>
    <w:rsid w:val="005D617C"/>
    <w:rsid w:val="005D6BB7"/>
    <w:rsid w:val="005D6F29"/>
    <w:rsid w:val="005D72FC"/>
    <w:rsid w:val="005D7893"/>
    <w:rsid w:val="005D7CDF"/>
    <w:rsid w:val="005E01F0"/>
    <w:rsid w:val="005E01FD"/>
    <w:rsid w:val="005E0434"/>
    <w:rsid w:val="005E070C"/>
    <w:rsid w:val="005E13FE"/>
    <w:rsid w:val="005E1525"/>
    <w:rsid w:val="005E1CA9"/>
    <w:rsid w:val="005E1D14"/>
    <w:rsid w:val="005E1E4D"/>
    <w:rsid w:val="005E20F5"/>
    <w:rsid w:val="005E291A"/>
    <w:rsid w:val="005E2A2D"/>
    <w:rsid w:val="005E2B10"/>
    <w:rsid w:val="005E2B78"/>
    <w:rsid w:val="005E2BD9"/>
    <w:rsid w:val="005E31F9"/>
    <w:rsid w:val="005E3FF7"/>
    <w:rsid w:val="005E409F"/>
    <w:rsid w:val="005E43AD"/>
    <w:rsid w:val="005E460C"/>
    <w:rsid w:val="005E46F3"/>
    <w:rsid w:val="005E49B7"/>
    <w:rsid w:val="005E4B90"/>
    <w:rsid w:val="005E4E76"/>
    <w:rsid w:val="005E538C"/>
    <w:rsid w:val="005E55A1"/>
    <w:rsid w:val="005E5C15"/>
    <w:rsid w:val="005E5D92"/>
    <w:rsid w:val="005E5E94"/>
    <w:rsid w:val="005E6AF5"/>
    <w:rsid w:val="005E6E6D"/>
    <w:rsid w:val="005E70EF"/>
    <w:rsid w:val="005E7B23"/>
    <w:rsid w:val="005E7C4A"/>
    <w:rsid w:val="005F026F"/>
    <w:rsid w:val="005F06C5"/>
    <w:rsid w:val="005F07A6"/>
    <w:rsid w:val="005F0D6E"/>
    <w:rsid w:val="005F0F60"/>
    <w:rsid w:val="005F1069"/>
    <w:rsid w:val="005F1076"/>
    <w:rsid w:val="005F1B46"/>
    <w:rsid w:val="005F1CED"/>
    <w:rsid w:val="005F2184"/>
    <w:rsid w:val="005F227B"/>
    <w:rsid w:val="005F2F41"/>
    <w:rsid w:val="005F3366"/>
    <w:rsid w:val="005F36F2"/>
    <w:rsid w:val="005F3984"/>
    <w:rsid w:val="005F3E30"/>
    <w:rsid w:val="005F4016"/>
    <w:rsid w:val="005F40CC"/>
    <w:rsid w:val="005F40DE"/>
    <w:rsid w:val="005F4159"/>
    <w:rsid w:val="005F42D1"/>
    <w:rsid w:val="005F486B"/>
    <w:rsid w:val="005F4B54"/>
    <w:rsid w:val="005F4EF7"/>
    <w:rsid w:val="005F5380"/>
    <w:rsid w:val="005F5472"/>
    <w:rsid w:val="005F580F"/>
    <w:rsid w:val="005F5C28"/>
    <w:rsid w:val="005F6285"/>
    <w:rsid w:val="005F6467"/>
    <w:rsid w:val="005F71FE"/>
    <w:rsid w:val="005F7673"/>
    <w:rsid w:val="005F7763"/>
    <w:rsid w:val="005F7A00"/>
    <w:rsid w:val="005F7B02"/>
    <w:rsid w:val="005F7E3D"/>
    <w:rsid w:val="00600182"/>
    <w:rsid w:val="0060032F"/>
    <w:rsid w:val="00600547"/>
    <w:rsid w:val="0060090A"/>
    <w:rsid w:val="00600BDB"/>
    <w:rsid w:val="00600C95"/>
    <w:rsid w:val="00601CE5"/>
    <w:rsid w:val="00601D85"/>
    <w:rsid w:val="00602401"/>
    <w:rsid w:val="00602B11"/>
    <w:rsid w:val="00602D53"/>
    <w:rsid w:val="0060317D"/>
    <w:rsid w:val="006033AD"/>
    <w:rsid w:val="006039EB"/>
    <w:rsid w:val="00603C1E"/>
    <w:rsid w:val="00603D5F"/>
    <w:rsid w:val="00603FCB"/>
    <w:rsid w:val="006041B0"/>
    <w:rsid w:val="006042A2"/>
    <w:rsid w:val="00604561"/>
    <w:rsid w:val="006045E1"/>
    <w:rsid w:val="00604767"/>
    <w:rsid w:val="0060539E"/>
    <w:rsid w:val="00605607"/>
    <w:rsid w:val="00605E6D"/>
    <w:rsid w:val="00606F1A"/>
    <w:rsid w:val="006072A8"/>
    <w:rsid w:val="00607556"/>
    <w:rsid w:val="0060769A"/>
    <w:rsid w:val="0061124A"/>
    <w:rsid w:val="00611251"/>
    <w:rsid w:val="00611325"/>
    <w:rsid w:val="00611663"/>
    <w:rsid w:val="00611A67"/>
    <w:rsid w:val="00611D14"/>
    <w:rsid w:val="00611F97"/>
    <w:rsid w:val="00611FC9"/>
    <w:rsid w:val="0061222D"/>
    <w:rsid w:val="00612297"/>
    <w:rsid w:val="006126E3"/>
    <w:rsid w:val="006131A3"/>
    <w:rsid w:val="00613B90"/>
    <w:rsid w:val="00614244"/>
    <w:rsid w:val="006142AD"/>
    <w:rsid w:val="0061509B"/>
    <w:rsid w:val="0061549A"/>
    <w:rsid w:val="0061645B"/>
    <w:rsid w:val="006174FB"/>
    <w:rsid w:val="00617930"/>
    <w:rsid w:val="00617B64"/>
    <w:rsid w:val="00617FA7"/>
    <w:rsid w:val="0062005C"/>
    <w:rsid w:val="00620586"/>
    <w:rsid w:val="006205D9"/>
    <w:rsid w:val="00620D72"/>
    <w:rsid w:val="0062133B"/>
    <w:rsid w:val="00621A43"/>
    <w:rsid w:val="00621D5C"/>
    <w:rsid w:val="00622024"/>
    <w:rsid w:val="00622E63"/>
    <w:rsid w:val="0062358A"/>
    <w:rsid w:val="006238A3"/>
    <w:rsid w:val="006242ED"/>
    <w:rsid w:val="00624E0E"/>
    <w:rsid w:val="006251A9"/>
    <w:rsid w:val="00625895"/>
    <w:rsid w:val="00625A0A"/>
    <w:rsid w:val="00625B80"/>
    <w:rsid w:val="00625C2E"/>
    <w:rsid w:val="00625DA0"/>
    <w:rsid w:val="00625F7B"/>
    <w:rsid w:val="006260B0"/>
    <w:rsid w:val="00626624"/>
    <w:rsid w:val="00627724"/>
    <w:rsid w:val="00627870"/>
    <w:rsid w:val="00627DE0"/>
    <w:rsid w:val="00627F2B"/>
    <w:rsid w:val="006303AF"/>
    <w:rsid w:val="00630F90"/>
    <w:rsid w:val="00631D4B"/>
    <w:rsid w:val="006325D3"/>
    <w:rsid w:val="00632D25"/>
    <w:rsid w:val="006332BC"/>
    <w:rsid w:val="00633382"/>
    <w:rsid w:val="00633651"/>
    <w:rsid w:val="00633739"/>
    <w:rsid w:val="00633CE0"/>
    <w:rsid w:val="00633ED3"/>
    <w:rsid w:val="00634D98"/>
    <w:rsid w:val="00635190"/>
    <w:rsid w:val="0063594D"/>
    <w:rsid w:val="00636209"/>
    <w:rsid w:val="00636515"/>
    <w:rsid w:val="006365DE"/>
    <w:rsid w:val="0063692E"/>
    <w:rsid w:val="00636CAA"/>
    <w:rsid w:val="00636FD0"/>
    <w:rsid w:val="0063739E"/>
    <w:rsid w:val="00637C2D"/>
    <w:rsid w:val="006405E6"/>
    <w:rsid w:val="0064066D"/>
    <w:rsid w:val="00640DF0"/>
    <w:rsid w:val="00641693"/>
    <w:rsid w:val="00641E5B"/>
    <w:rsid w:val="0064296A"/>
    <w:rsid w:val="00642BB2"/>
    <w:rsid w:val="00642F84"/>
    <w:rsid w:val="006432C3"/>
    <w:rsid w:val="0064366E"/>
    <w:rsid w:val="006439E8"/>
    <w:rsid w:val="00643AA7"/>
    <w:rsid w:val="00643B9C"/>
    <w:rsid w:val="00643E4B"/>
    <w:rsid w:val="00644170"/>
    <w:rsid w:val="0064486F"/>
    <w:rsid w:val="00644B1D"/>
    <w:rsid w:val="00645092"/>
    <w:rsid w:val="00645B61"/>
    <w:rsid w:val="00645DE8"/>
    <w:rsid w:val="00645FC1"/>
    <w:rsid w:val="006461D5"/>
    <w:rsid w:val="00646458"/>
    <w:rsid w:val="006464A3"/>
    <w:rsid w:val="006464AE"/>
    <w:rsid w:val="00646B4E"/>
    <w:rsid w:val="00647B51"/>
    <w:rsid w:val="006502F8"/>
    <w:rsid w:val="006510C8"/>
    <w:rsid w:val="006519D1"/>
    <w:rsid w:val="00651E19"/>
    <w:rsid w:val="0065232B"/>
    <w:rsid w:val="00652810"/>
    <w:rsid w:val="00652BC3"/>
    <w:rsid w:val="00653143"/>
    <w:rsid w:val="00653BC7"/>
    <w:rsid w:val="00653C20"/>
    <w:rsid w:val="00653DAD"/>
    <w:rsid w:val="0065406A"/>
    <w:rsid w:val="006545E5"/>
    <w:rsid w:val="006548FB"/>
    <w:rsid w:val="0065558D"/>
    <w:rsid w:val="006557E2"/>
    <w:rsid w:val="00655894"/>
    <w:rsid w:val="006561AD"/>
    <w:rsid w:val="006574FB"/>
    <w:rsid w:val="00657BCC"/>
    <w:rsid w:val="006611A4"/>
    <w:rsid w:val="006613DA"/>
    <w:rsid w:val="006614CF"/>
    <w:rsid w:val="00661752"/>
    <w:rsid w:val="006619F5"/>
    <w:rsid w:val="00661EF9"/>
    <w:rsid w:val="00662608"/>
    <w:rsid w:val="006630FA"/>
    <w:rsid w:val="00663208"/>
    <w:rsid w:val="0066330F"/>
    <w:rsid w:val="00663796"/>
    <w:rsid w:val="00663B7C"/>
    <w:rsid w:val="006643DE"/>
    <w:rsid w:val="00664E3A"/>
    <w:rsid w:val="0066524E"/>
    <w:rsid w:val="006656D9"/>
    <w:rsid w:val="00665ACC"/>
    <w:rsid w:val="00666212"/>
    <w:rsid w:val="00666214"/>
    <w:rsid w:val="00666766"/>
    <w:rsid w:val="00666799"/>
    <w:rsid w:val="00666B73"/>
    <w:rsid w:val="00666E7D"/>
    <w:rsid w:val="006675CB"/>
    <w:rsid w:val="00667A5C"/>
    <w:rsid w:val="00667B2B"/>
    <w:rsid w:val="006706D9"/>
    <w:rsid w:val="00670D74"/>
    <w:rsid w:val="006721BC"/>
    <w:rsid w:val="00672225"/>
    <w:rsid w:val="006726F8"/>
    <w:rsid w:val="006730B0"/>
    <w:rsid w:val="00673813"/>
    <w:rsid w:val="006740DC"/>
    <w:rsid w:val="00675818"/>
    <w:rsid w:val="00675D9D"/>
    <w:rsid w:val="00676A9E"/>
    <w:rsid w:val="00676EAE"/>
    <w:rsid w:val="006770B1"/>
    <w:rsid w:val="006773CB"/>
    <w:rsid w:val="006779EA"/>
    <w:rsid w:val="00677ECA"/>
    <w:rsid w:val="00680145"/>
    <w:rsid w:val="0068059B"/>
    <w:rsid w:val="00680695"/>
    <w:rsid w:val="00680B41"/>
    <w:rsid w:val="00681CE9"/>
    <w:rsid w:val="00681EA5"/>
    <w:rsid w:val="00681FF7"/>
    <w:rsid w:val="00682240"/>
    <w:rsid w:val="00682419"/>
    <w:rsid w:val="006827C1"/>
    <w:rsid w:val="006831BD"/>
    <w:rsid w:val="006833DF"/>
    <w:rsid w:val="00684073"/>
    <w:rsid w:val="00684321"/>
    <w:rsid w:val="00684AE4"/>
    <w:rsid w:val="00684C42"/>
    <w:rsid w:val="0068502F"/>
    <w:rsid w:val="0068527D"/>
    <w:rsid w:val="0068547C"/>
    <w:rsid w:val="0068567F"/>
    <w:rsid w:val="006867A3"/>
    <w:rsid w:val="00686E78"/>
    <w:rsid w:val="006874AF"/>
    <w:rsid w:val="006879B9"/>
    <w:rsid w:val="00687B0E"/>
    <w:rsid w:val="00690533"/>
    <w:rsid w:val="00690A53"/>
    <w:rsid w:val="0069162E"/>
    <w:rsid w:val="00691B65"/>
    <w:rsid w:val="00692555"/>
    <w:rsid w:val="00692562"/>
    <w:rsid w:val="006925D8"/>
    <w:rsid w:val="0069278A"/>
    <w:rsid w:val="00692FBE"/>
    <w:rsid w:val="00693B73"/>
    <w:rsid w:val="00693BDA"/>
    <w:rsid w:val="00693D6A"/>
    <w:rsid w:val="006945F3"/>
    <w:rsid w:val="00694B66"/>
    <w:rsid w:val="00694F05"/>
    <w:rsid w:val="00695394"/>
    <w:rsid w:val="006957C5"/>
    <w:rsid w:val="00695895"/>
    <w:rsid w:val="006960BA"/>
    <w:rsid w:val="00696A1F"/>
    <w:rsid w:val="00696BCA"/>
    <w:rsid w:val="00697322"/>
    <w:rsid w:val="00697450"/>
    <w:rsid w:val="0069764B"/>
    <w:rsid w:val="00697CA6"/>
    <w:rsid w:val="006A0200"/>
    <w:rsid w:val="006A061C"/>
    <w:rsid w:val="006A0BB2"/>
    <w:rsid w:val="006A0CB3"/>
    <w:rsid w:val="006A0E0F"/>
    <w:rsid w:val="006A1040"/>
    <w:rsid w:val="006A137E"/>
    <w:rsid w:val="006A15C5"/>
    <w:rsid w:val="006A188E"/>
    <w:rsid w:val="006A1D10"/>
    <w:rsid w:val="006A2474"/>
    <w:rsid w:val="006A260B"/>
    <w:rsid w:val="006A2772"/>
    <w:rsid w:val="006A2D2A"/>
    <w:rsid w:val="006A2EB6"/>
    <w:rsid w:val="006A301E"/>
    <w:rsid w:val="006A3DE0"/>
    <w:rsid w:val="006A3F76"/>
    <w:rsid w:val="006A440F"/>
    <w:rsid w:val="006A4445"/>
    <w:rsid w:val="006A44AE"/>
    <w:rsid w:val="006A4593"/>
    <w:rsid w:val="006A4BCB"/>
    <w:rsid w:val="006A51DF"/>
    <w:rsid w:val="006A54E6"/>
    <w:rsid w:val="006A597D"/>
    <w:rsid w:val="006A6B44"/>
    <w:rsid w:val="006A6BD8"/>
    <w:rsid w:val="006A6ECF"/>
    <w:rsid w:val="006A7044"/>
    <w:rsid w:val="006A795E"/>
    <w:rsid w:val="006A7B1C"/>
    <w:rsid w:val="006A7D99"/>
    <w:rsid w:val="006B02BB"/>
    <w:rsid w:val="006B07A2"/>
    <w:rsid w:val="006B0F73"/>
    <w:rsid w:val="006B10EE"/>
    <w:rsid w:val="006B167E"/>
    <w:rsid w:val="006B1B7B"/>
    <w:rsid w:val="006B22A0"/>
    <w:rsid w:val="006B22A8"/>
    <w:rsid w:val="006B231F"/>
    <w:rsid w:val="006B40EA"/>
    <w:rsid w:val="006B4853"/>
    <w:rsid w:val="006B572F"/>
    <w:rsid w:val="006B5EB7"/>
    <w:rsid w:val="006B6874"/>
    <w:rsid w:val="006B6C94"/>
    <w:rsid w:val="006B6F10"/>
    <w:rsid w:val="006B6FF6"/>
    <w:rsid w:val="006B7183"/>
    <w:rsid w:val="006C0C7C"/>
    <w:rsid w:val="006C0DD6"/>
    <w:rsid w:val="006C15BB"/>
    <w:rsid w:val="006C25C4"/>
    <w:rsid w:val="006C27AF"/>
    <w:rsid w:val="006C2802"/>
    <w:rsid w:val="006C2BF8"/>
    <w:rsid w:val="006C2DAB"/>
    <w:rsid w:val="006C2DEA"/>
    <w:rsid w:val="006C2FBC"/>
    <w:rsid w:val="006C3184"/>
    <w:rsid w:val="006C31B4"/>
    <w:rsid w:val="006C4197"/>
    <w:rsid w:val="006C5193"/>
    <w:rsid w:val="006C52DD"/>
    <w:rsid w:val="006C5AFF"/>
    <w:rsid w:val="006C5E76"/>
    <w:rsid w:val="006C6048"/>
    <w:rsid w:val="006C6763"/>
    <w:rsid w:val="006C6CB7"/>
    <w:rsid w:val="006C7A5D"/>
    <w:rsid w:val="006C7CDC"/>
    <w:rsid w:val="006D00EC"/>
    <w:rsid w:val="006D0EE0"/>
    <w:rsid w:val="006D1163"/>
    <w:rsid w:val="006D209C"/>
    <w:rsid w:val="006D21C1"/>
    <w:rsid w:val="006D29A8"/>
    <w:rsid w:val="006D2A60"/>
    <w:rsid w:val="006D2BC2"/>
    <w:rsid w:val="006D2CE6"/>
    <w:rsid w:val="006D2DB2"/>
    <w:rsid w:val="006D2E1B"/>
    <w:rsid w:val="006D3E9C"/>
    <w:rsid w:val="006D4296"/>
    <w:rsid w:val="006D42CB"/>
    <w:rsid w:val="006D4400"/>
    <w:rsid w:val="006D466B"/>
    <w:rsid w:val="006D502D"/>
    <w:rsid w:val="006D5418"/>
    <w:rsid w:val="006D622D"/>
    <w:rsid w:val="006D6304"/>
    <w:rsid w:val="006D658A"/>
    <w:rsid w:val="006D66AE"/>
    <w:rsid w:val="006D69C7"/>
    <w:rsid w:val="006D69F9"/>
    <w:rsid w:val="006D6BD3"/>
    <w:rsid w:val="006D771F"/>
    <w:rsid w:val="006D7DEC"/>
    <w:rsid w:val="006D7E7D"/>
    <w:rsid w:val="006E0376"/>
    <w:rsid w:val="006E072D"/>
    <w:rsid w:val="006E0F28"/>
    <w:rsid w:val="006E1A95"/>
    <w:rsid w:val="006E1E9E"/>
    <w:rsid w:val="006E2545"/>
    <w:rsid w:val="006E2649"/>
    <w:rsid w:val="006E2AB0"/>
    <w:rsid w:val="006E32E0"/>
    <w:rsid w:val="006E3513"/>
    <w:rsid w:val="006E356F"/>
    <w:rsid w:val="006E3803"/>
    <w:rsid w:val="006E3864"/>
    <w:rsid w:val="006E3B19"/>
    <w:rsid w:val="006E3CE7"/>
    <w:rsid w:val="006E4324"/>
    <w:rsid w:val="006E499A"/>
    <w:rsid w:val="006E59EF"/>
    <w:rsid w:val="006E60E6"/>
    <w:rsid w:val="006E6701"/>
    <w:rsid w:val="006E7E90"/>
    <w:rsid w:val="006F064C"/>
    <w:rsid w:val="006F0FCC"/>
    <w:rsid w:val="006F146F"/>
    <w:rsid w:val="006F151E"/>
    <w:rsid w:val="006F1973"/>
    <w:rsid w:val="006F1A6B"/>
    <w:rsid w:val="006F22E0"/>
    <w:rsid w:val="006F23F3"/>
    <w:rsid w:val="006F2640"/>
    <w:rsid w:val="006F2B22"/>
    <w:rsid w:val="006F3373"/>
    <w:rsid w:val="006F389A"/>
    <w:rsid w:val="006F3EFB"/>
    <w:rsid w:val="006F42E4"/>
    <w:rsid w:val="006F4521"/>
    <w:rsid w:val="006F4656"/>
    <w:rsid w:val="006F491D"/>
    <w:rsid w:val="006F4DC5"/>
    <w:rsid w:val="006F4FC7"/>
    <w:rsid w:val="006F5559"/>
    <w:rsid w:val="006F5BAC"/>
    <w:rsid w:val="006F63D0"/>
    <w:rsid w:val="006F64B5"/>
    <w:rsid w:val="006F695E"/>
    <w:rsid w:val="006F6C7E"/>
    <w:rsid w:val="006F7DA4"/>
    <w:rsid w:val="007004CA"/>
    <w:rsid w:val="00700979"/>
    <w:rsid w:val="00701449"/>
    <w:rsid w:val="007014A8"/>
    <w:rsid w:val="00701682"/>
    <w:rsid w:val="00701780"/>
    <w:rsid w:val="00701C5D"/>
    <w:rsid w:val="0070207D"/>
    <w:rsid w:val="007020B2"/>
    <w:rsid w:val="0070242B"/>
    <w:rsid w:val="007028FA"/>
    <w:rsid w:val="00702B01"/>
    <w:rsid w:val="00702D5A"/>
    <w:rsid w:val="007032F2"/>
    <w:rsid w:val="00703559"/>
    <w:rsid w:val="007035DD"/>
    <w:rsid w:val="00703763"/>
    <w:rsid w:val="007039E5"/>
    <w:rsid w:val="00703C25"/>
    <w:rsid w:val="00703C50"/>
    <w:rsid w:val="00704763"/>
    <w:rsid w:val="00704B8B"/>
    <w:rsid w:val="00704B91"/>
    <w:rsid w:val="00704D4A"/>
    <w:rsid w:val="00705965"/>
    <w:rsid w:val="00705E04"/>
    <w:rsid w:val="007064D8"/>
    <w:rsid w:val="00706652"/>
    <w:rsid w:val="00706695"/>
    <w:rsid w:val="007070EE"/>
    <w:rsid w:val="007072B2"/>
    <w:rsid w:val="00707AE0"/>
    <w:rsid w:val="00707FCF"/>
    <w:rsid w:val="00710466"/>
    <w:rsid w:val="007105BA"/>
    <w:rsid w:val="00710D1E"/>
    <w:rsid w:val="00710D70"/>
    <w:rsid w:val="00710E79"/>
    <w:rsid w:val="00710E82"/>
    <w:rsid w:val="00711021"/>
    <w:rsid w:val="00711486"/>
    <w:rsid w:val="007114EE"/>
    <w:rsid w:val="0071183B"/>
    <w:rsid w:val="0071272E"/>
    <w:rsid w:val="00712C5F"/>
    <w:rsid w:val="00713012"/>
    <w:rsid w:val="007139D8"/>
    <w:rsid w:val="007139E6"/>
    <w:rsid w:val="00713E2F"/>
    <w:rsid w:val="00713FDC"/>
    <w:rsid w:val="00714132"/>
    <w:rsid w:val="007144D1"/>
    <w:rsid w:val="00714609"/>
    <w:rsid w:val="00714A9A"/>
    <w:rsid w:val="007153BF"/>
    <w:rsid w:val="00715420"/>
    <w:rsid w:val="0071560F"/>
    <w:rsid w:val="00715EAE"/>
    <w:rsid w:val="00715FE9"/>
    <w:rsid w:val="00716443"/>
    <w:rsid w:val="007165DB"/>
    <w:rsid w:val="00717FED"/>
    <w:rsid w:val="007200C3"/>
    <w:rsid w:val="00720274"/>
    <w:rsid w:val="0072059D"/>
    <w:rsid w:val="00720817"/>
    <w:rsid w:val="00720998"/>
    <w:rsid w:val="00720BB9"/>
    <w:rsid w:val="00720EAD"/>
    <w:rsid w:val="007213D1"/>
    <w:rsid w:val="007213E2"/>
    <w:rsid w:val="00721582"/>
    <w:rsid w:val="0072178C"/>
    <w:rsid w:val="0072297B"/>
    <w:rsid w:val="00722AE4"/>
    <w:rsid w:val="00722B98"/>
    <w:rsid w:val="0072304E"/>
    <w:rsid w:val="00723073"/>
    <w:rsid w:val="00724275"/>
    <w:rsid w:val="00724837"/>
    <w:rsid w:val="00724C41"/>
    <w:rsid w:val="00724D9B"/>
    <w:rsid w:val="0072578B"/>
    <w:rsid w:val="007267B9"/>
    <w:rsid w:val="00726AAF"/>
    <w:rsid w:val="00726C4A"/>
    <w:rsid w:val="00726C63"/>
    <w:rsid w:val="0072720A"/>
    <w:rsid w:val="0072757B"/>
    <w:rsid w:val="00730099"/>
    <w:rsid w:val="00730175"/>
    <w:rsid w:val="007303BC"/>
    <w:rsid w:val="0073091B"/>
    <w:rsid w:val="00730D68"/>
    <w:rsid w:val="00730F0C"/>
    <w:rsid w:val="00730F80"/>
    <w:rsid w:val="00731747"/>
    <w:rsid w:val="00731F26"/>
    <w:rsid w:val="00733540"/>
    <w:rsid w:val="00733D49"/>
    <w:rsid w:val="00734023"/>
    <w:rsid w:val="0073461B"/>
    <w:rsid w:val="00734B45"/>
    <w:rsid w:val="007351B7"/>
    <w:rsid w:val="00735616"/>
    <w:rsid w:val="00735684"/>
    <w:rsid w:val="00736554"/>
    <w:rsid w:val="00736568"/>
    <w:rsid w:val="0073684D"/>
    <w:rsid w:val="00736A38"/>
    <w:rsid w:val="00736E33"/>
    <w:rsid w:val="0073707F"/>
    <w:rsid w:val="007376C0"/>
    <w:rsid w:val="00737778"/>
    <w:rsid w:val="00737942"/>
    <w:rsid w:val="00737E3E"/>
    <w:rsid w:val="00737F39"/>
    <w:rsid w:val="00740486"/>
    <w:rsid w:val="0074115F"/>
    <w:rsid w:val="007418CA"/>
    <w:rsid w:val="00741B96"/>
    <w:rsid w:val="0074209F"/>
    <w:rsid w:val="007424B9"/>
    <w:rsid w:val="007424E2"/>
    <w:rsid w:val="00742DD4"/>
    <w:rsid w:val="0074332A"/>
    <w:rsid w:val="00743490"/>
    <w:rsid w:val="00743A47"/>
    <w:rsid w:val="00743DA0"/>
    <w:rsid w:val="00743E25"/>
    <w:rsid w:val="0074440B"/>
    <w:rsid w:val="00744CC2"/>
    <w:rsid w:val="007450E5"/>
    <w:rsid w:val="0074510E"/>
    <w:rsid w:val="0074542D"/>
    <w:rsid w:val="00745B3C"/>
    <w:rsid w:val="00746BDF"/>
    <w:rsid w:val="00746D19"/>
    <w:rsid w:val="00746D8E"/>
    <w:rsid w:val="0074708B"/>
    <w:rsid w:val="00747319"/>
    <w:rsid w:val="00747325"/>
    <w:rsid w:val="00747A50"/>
    <w:rsid w:val="00747F76"/>
    <w:rsid w:val="00750297"/>
    <w:rsid w:val="00750966"/>
    <w:rsid w:val="00751BBC"/>
    <w:rsid w:val="00752949"/>
    <w:rsid w:val="00752D36"/>
    <w:rsid w:val="00752D65"/>
    <w:rsid w:val="00752D98"/>
    <w:rsid w:val="00752DDE"/>
    <w:rsid w:val="0075325F"/>
    <w:rsid w:val="00753B55"/>
    <w:rsid w:val="00753C4B"/>
    <w:rsid w:val="00753D13"/>
    <w:rsid w:val="00754796"/>
    <w:rsid w:val="0075485B"/>
    <w:rsid w:val="00754B41"/>
    <w:rsid w:val="00754B5B"/>
    <w:rsid w:val="00754FD4"/>
    <w:rsid w:val="00755190"/>
    <w:rsid w:val="007555D6"/>
    <w:rsid w:val="00755E8B"/>
    <w:rsid w:val="00756491"/>
    <w:rsid w:val="0075715D"/>
    <w:rsid w:val="00757664"/>
    <w:rsid w:val="007577AF"/>
    <w:rsid w:val="0075795A"/>
    <w:rsid w:val="00757D87"/>
    <w:rsid w:val="0076067F"/>
    <w:rsid w:val="00760B3D"/>
    <w:rsid w:val="00760D5C"/>
    <w:rsid w:val="00761289"/>
    <w:rsid w:val="007615A2"/>
    <w:rsid w:val="00761820"/>
    <w:rsid w:val="00761B9C"/>
    <w:rsid w:val="00762407"/>
    <w:rsid w:val="00762655"/>
    <w:rsid w:val="00762693"/>
    <w:rsid w:val="00762D2C"/>
    <w:rsid w:val="00763705"/>
    <w:rsid w:val="007638D6"/>
    <w:rsid w:val="00764BAE"/>
    <w:rsid w:val="00764D8A"/>
    <w:rsid w:val="00765719"/>
    <w:rsid w:val="00766820"/>
    <w:rsid w:val="00767406"/>
    <w:rsid w:val="00770BDC"/>
    <w:rsid w:val="00771164"/>
    <w:rsid w:val="00771D0C"/>
    <w:rsid w:val="007722A2"/>
    <w:rsid w:val="007722E7"/>
    <w:rsid w:val="00772D16"/>
    <w:rsid w:val="007735AD"/>
    <w:rsid w:val="007738A0"/>
    <w:rsid w:val="00774404"/>
    <w:rsid w:val="00774705"/>
    <w:rsid w:val="00774B50"/>
    <w:rsid w:val="00774BB0"/>
    <w:rsid w:val="007759C0"/>
    <w:rsid w:val="00775A68"/>
    <w:rsid w:val="00775F95"/>
    <w:rsid w:val="007761D2"/>
    <w:rsid w:val="0077632F"/>
    <w:rsid w:val="00776BB2"/>
    <w:rsid w:val="00776E3C"/>
    <w:rsid w:val="00777100"/>
    <w:rsid w:val="00777362"/>
    <w:rsid w:val="00777EFE"/>
    <w:rsid w:val="007803A9"/>
    <w:rsid w:val="00780536"/>
    <w:rsid w:val="00781A26"/>
    <w:rsid w:val="00781C06"/>
    <w:rsid w:val="00781C82"/>
    <w:rsid w:val="00782422"/>
    <w:rsid w:val="007824CD"/>
    <w:rsid w:val="00782AAE"/>
    <w:rsid w:val="00782AB9"/>
    <w:rsid w:val="00782F86"/>
    <w:rsid w:val="007832EE"/>
    <w:rsid w:val="007833CB"/>
    <w:rsid w:val="00783552"/>
    <w:rsid w:val="00783B31"/>
    <w:rsid w:val="00783E91"/>
    <w:rsid w:val="007840B1"/>
    <w:rsid w:val="0078423B"/>
    <w:rsid w:val="0078439C"/>
    <w:rsid w:val="007845A8"/>
    <w:rsid w:val="00784D90"/>
    <w:rsid w:val="007853D3"/>
    <w:rsid w:val="00785DD6"/>
    <w:rsid w:val="00785E13"/>
    <w:rsid w:val="00785FA8"/>
    <w:rsid w:val="0078635F"/>
    <w:rsid w:val="007863E0"/>
    <w:rsid w:val="00786443"/>
    <w:rsid w:val="007866B1"/>
    <w:rsid w:val="007868EE"/>
    <w:rsid w:val="00786987"/>
    <w:rsid w:val="00786D14"/>
    <w:rsid w:val="007872BC"/>
    <w:rsid w:val="00787B9F"/>
    <w:rsid w:val="0079034D"/>
    <w:rsid w:val="00790611"/>
    <w:rsid w:val="00790720"/>
    <w:rsid w:val="00790797"/>
    <w:rsid w:val="0079141D"/>
    <w:rsid w:val="0079162C"/>
    <w:rsid w:val="00791721"/>
    <w:rsid w:val="00791DB3"/>
    <w:rsid w:val="007921BF"/>
    <w:rsid w:val="0079354D"/>
    <w:rsid w:val="00793573"/>
    <w:rsid w:val="007939EE"/>
    <w:rsid w:val="00793D0A"/>
    <w:rsid w:val="00793EA0"/>
    <w:rsid w:val="00793F13"/>
    <w:rsid w:val="00793F94"/>
    <w:rsid w:val="0079427F"/>
    <w:rsid w:val="007942F9"/>
    <w:rsid w:val="00794301"/>
    <w:rsid w:val="00794890"/>
    <w:rsid w:val="00794FE4"/>
    <w:rsid w:val="00795476"/>
    <w:rsid w:val="007955E7"/>
    <w:rsid w:val="00795620"/>
    <w:rsid w:val="00795973"/>
    <w:rsid w:val="00795A38"/>
    <w:rsid w:val="00796004"/>
    <w:rsid w:val="0079625A"/>
    <w:rsid w:val="00796262"/>
    <w:rsid w:val="00796769"/>
    <w:rsid w:val="00796788"/>
    <w:rsid w:val="00796B39"/>
    <w:rsid w:val="007971F4"/>
    <w:rsid w:val="00797B3F"/>
    <w:rsid w:val="007A069C"/>
    <w:rsid w:val="007A0A95"/>
    <w:rsid w:val="007A0C20"/>
    <w:rsid w:val="007A0D9E"/>
    <w:rsid w:val="007A0EF2"/>
    <w:rsid w:val="007A0FEC"/>
    <w:rsid w:val="007A1D42"/>
    <w:rsid w:val="007A223C"/>
    <w:rsid w:val="007A226A"/>
    <w:rsid w:val="007A2376"/>
    <w:rsid w:val="007A24B3"/>
    <w:rsid w:val="007A24DE"/>
    <w:rsid w:val="007A25B1"/>
    <w:rsid w:val="007A2855"/>
    <w:rsid w:val="007A2D7E"/>
    <w:rsid w:val="007A3363"/>
    <w:rsid w:val="007A3D06"/>
    <w:rsid w:val="007A4031"/>
    <w:rsid w:val="007A4053"/>
    <w:rsid w:val="007A4128"/>
    <w:rsid w:val="007A4488"/>
    <w:rsid w:val="007A553A"/>
    <w:rsid w:val="007A62B6"/>
    <w:rsid w:val="007A6693"/>
    <w:rsid w:val="007A6939"/>
    <w:rsid w:val="007A6A80"/>
    <w:rsid w:val="007A709E"/>
    <w:rsid w:val="007A70FA"/>
    <w:rsid w:val="007A7143"/>
    <w:rsid w:val="007A7C40"/>
    <w:rsid w:val="007B0053"/>
    <w:rsid w:val="007B0A95"/>
    <w:rsid w:val="007B0F05"/>
    <w:rsid w:val="007B10E5"/>
    <w:rsid w:val="007B117F"/>
    <w:rsid w:val="007B149F"/>
    <w:rsid w:val="007B14D8"/>
    <w:rsid w:val="007B1CA6"/>
    <w:rsid w:val="007B1CD1"/>
    <w:rsid w:val="007B1F63"/>
    <w:rsid w:val="007B2443"/>
    <w:rsid w:val="007B245B"/>
    <w:rsid w:val="007B25EC"/>
    <w:rsid w:val="007B2611"/>
    <w:rsid w:val="007B2A79"/>
    <w:rsid w:val="007B30FC"/>
    <w:rsid w:val="007B353F"/>
    <w:rsid w:val="007B35CB"/>
    <w:rsid w:val="007B3F86"/>
    <w:rsid w:val="007B41BC"/>
    <w:rsid w:val="007B44B0"/>
    <w:rsid w:val="007B4CD6"/>
    <w:rsid w:val="007B5038"/>
    <w:rsid w:val="007B528E"/>
    <w:rsid w:val="007B5385"/>
    <w:rsid w:val="007B5C4C"/>
    <w:rsid w:val="007B6EAD"/>
    <w:rsid w:val="007B742D"/>
    <w:rsid w:val="007B7F19"/>
    <w:rsid w:val="007C04E0"/>
    <w:rsid w:val="007C0B49"/>
    <w:rsid w:val="007C0C62"/>
    <w:rsid w:val="007C1755"/>
    <w:rsid w:val="007C1843"/>
    <w:rsid w:val="007C1919"/>
    <w:rsid w:val="007C19A9"/>
    <w:rsid w:val="007C1B60"/>
    <w:rsid w:val="007C1D6E"/>
    <w:rsid w:val="007C2391"/>
    <w:rsid w:val="007C341B"/>
    <w:rsid w:val="007C3900"/>
    <w:rsid w:val="007C406D"/>
    <w:rsid w:val="007C4772"/>
    <w:rsid w:val="007C49C3"/>
    <w:rsid w:val="007C4C28"/>
    <w:rsid w:val="007C4C58"/>
    <w:rsid w:val="007C4C70"/>
    <w:rsid w:val="007C4EDD"/>
    <w:rsid w:val="007C503B"/>
    <w:rsid w:val="007C52D0"/>
    <w:rsid w:val="007C547B"/>
    <w:rsid w:val="007C6128"/>
    <w:rsid w:val="007C769E"/>
    <w:rsid w:val="007C7C82"/>
    <w:rsid w:val="007C7D09"/>
    <w:rsid w:val="007D0073"/>
    <w:rsid w:val="007D0484"/>
    <w:rsid w:val="007D05CF"/>
    <w:rsid w:val="007D0657"/>
    <w:rsid w:val="007D0A6A"/>
    <w:rsid w:val="007D0ADC"/>
    <w:rsid w:val="007D1196"/>
    <w:rsid w:val="007D1487"/>
    <w:rsid w:val="007D19E5"/>
    <w:rsid w:val="007D1E65"/>
    <w:rsid w:val="007D2281"/>
    <w:rsid w:val="007D3112"/>
    <w:rsid w:val="007D34C4"/>
    <w:rsid w:val="007D3AA1"/>
    <w:rsid w:val="007D44AD"/>
    <w:rsid w:val="007D4740"/>
    <w:rsid w:val="007D4D18"/>
    <w:rsid w:val="007D5B74"/>
    <w:rsid w:val="007D5E8B"/>
    <w:rsid w:val="007D65D3"/>
    <w:rsid w:val="007D6CA9"/>
    <w:rsid w:val="007D712A"/>
    <w:rsid w:val="007D7588"/>
    <w:rsid w:val="007D7972"/>
    <w:rsid w:val="007D7C6E"/>
    <w:rsid w:val="007D7D08"/>
    <w:rsid w:val="007E0420"/>
    <w:rsid w:val="007E08CB"/>
    <w:rsid w:val="007E0FDE"/>
    <w:rsid w:val="007E1632"/>
    <w:rsid w:val="007E1923"/>
    <w:rsid w:val="007E2151"/>
    <w:rsid w:val="007E2501"/>
    <w:rsid w:val="007E2B56"/>
    <w:rsid w:val="007E2E7F"/>
    <w:rsid w:val="007E30C0"/>
    <w:rsid w:val="007E33BE"/>
    <w:rsid w:val="007E3541"/>
    <w:rsid w:val="007E3A14"/>
    <w:rsid w:val="007E4896"/>
    <w:rsid w:val="007E4FD0"/>
    <w:rsid w:val="007E5AFC"/>
    <w:rsid w:val="007E6F68"/>
    <w:rsid w:val="007E781A"/>
    <w:rsid w:val="007E7DC6"/>
    <w:rsid w:val="007F0011"/>
    <w:rsid w:val="007F0410"/>
    <w:rsid w:val="007F07C4"/>
    <w:rsid w:val="007F0B4E"/>
    <w:rsid w:val="007F120C"/>
    <w:rsid w:val="007F1BB4"/>
    <w:rsid w:val="007F2038"/>
    <w:rsid w:val="007F2822"/>
    <w:rsid w:val="007F2D2C"/>
    <w:rsid w:val="007F2E1F"/>
    <w:rsid w:val="007F322B"/>
    <w:rsid w:val="007F3951"/>
    <w:rsid w:val="007F4494"/>
    <w:rsid w:val="007F4910"/>
    <w:rsid w:val="007F4D93"/>
    <w:rsid w:val="007F53BC"/>
    <w:rsid w:val="007F58B6"/>
    <w:rsid w:val="007F591C"/>
    <w:rsid w:val="007F5BEE"/>
    <w:rsid w:val="007F616F"/>
    <w:rsid w:val="007F6F57"/>
    <w:rsid w:val="007F72C8"/>
    <w:rsid w:val="007F74FB"/>
    <w:rsid w:val="007F79A1"/>
    <w:rsid w:val="007F7B05"/>
    <w:rsid w:val="00800753"/>
    <w:rsid w:val="00800E8A"/>
    <w:rsid w:val="008011F3"/>
    <w:rsid w:val="0080158B"/>
    <w:rsid w:val="00801692"/>
    <w:rsid w:val="00801FAA"/>
    <w:rsid w:val="00803223"/>
    <w:rsid w:val="0080378A"/>
    <w:rsid w:val="008037B2"/>
    <w:rsid w:val="008039BA"/>
    <w:rsid w:val="00803B80"/>
    <w:rsid w:val="008040E7"/>
    <w:rsid w:val="00804504"/>
    <w:rsid w:val="00804B92"/>
    <w:rsid w:val="00804B99"/>
    <w:rsid w:val="00804E3E"/>
    <w:rsid w:val="00804EA5"/>
    <w:rsid w:val="00804F14"/>
    <w:rsid w:val="00805080"/>
    <w:rsid w:val="008050B1"/>
    <w:rsid w:val="008054A2"/>
    <w:rsid w:val="008058FB"/>
    <w:rsid w:val="00805C20"/>
    <w:rsid w:val="00805D4D"/>
    <w:rsid w:val="00805F36"/>
    <w:rsid w:val="0080606E"/>
    <w:rsid w:val="00806741"/>
    <w:rsid w:val="00806891"/>
    <w:rsid w:val="00806C4C"/>
    <w:rsid w:val="00807356"/>
    <w:rsid w:val="008075AB"/>
    <w:rsid w:val="008076B7"/>
    <w:rsid w:val="0080779E"/>
    <w:rsid w:val="00807CF6"/>
    <w:rsid w:val="00807DD8"/>
    <w:rsid w:val="0081026B"/>
    <w:rsid w:val="00810574"/>
    <w:rsid w:val="008109CE"/>
    <w:rsid w:val="00810F0D"/>
    <w:rsid w:val="00810F87"/>
    <w:rsid w:val="0081142A"/>
    <w:rsid w:val="00811506"/>
    <w:rsid w:val="00811886"/>
    <w:rsid w:val="008127C8"/>
    <w:rsid w:val="0081291D"/>
    <w:rsid w:val="00812E58"/>
    <w:rsid w:val="0081347A"/>
    <w:rsid w:val="00813A4E"/>
    <w:rsid w:val="00813B42"/>
    <w:rsid w:val="00814CF3"/>
    <w:rsid w:val="0081551D"/>
    <w:rsid w:val="0081562D"/>
    <w:rsid w:val="008159FC"/>
    <w:rsid w:val="00815D72"/>
    <w:rsid w:val="008168B7"/>
    <w:rsid w:val="00816EF9"/>
    <w:rsid w:val="00816FCB"/>
    <w:rsid w:val="00820A9F"/>
    <w:rsid w:val="00820E23"/>
    <w:rsid w:val="0082140F"/>
    <w:rsid w:val="008221FD"/>
    <w:rsid w:val="008223B8"/>
    <w:rsid w:val="00822671"/>
    <w:rsid w:val="00822DF7"/>
    <w:rsid w:val="00822EA6"/>
    <w:rsid w:val="00822F46"/>
    <w:rsid w:val="0082364D"/>
    <w:rsid w:val="0082399C"/>
    <w:rsid w:val="00823A9E"/>
    <w:rsid w:val="00823BC0"/>
    <w:rsid w:val="0082479A"/>
    <w:rsid w:val="008247F6"/>
    <w:rsid w:val="0082515D"/>
    <w:rsid w:val="00825DF2"/>
    <w:rsid w:val="00826069"/>
    <w:rsid w:val="008270D4"/>
    <w:rsid w:val="00827566"/>
    <w:rsid w:val="008275AF"/>
    <w:rsid w:val="00827685"/>
    <w:rsid w:val="0082789C"/>
    <w:rsid w:val="00827AB6"/>
    <w:rsid w:val="0083029A"/>
    <w:rsid w:val="0083082B"/>
    <w:rsid w:val="00830BF9"/>
    <w:rsid w:val="00831157"/>
    <w:rsid w:val="008311F0"/>
    <w:rsid w:val="008313D8"/>
    <w:rsid w:val="008314A4"/>
    <w:rsid w:val="008319CA"/>
    <w:rsid w:val="00831A6C"/>
    <w:rsid w:val="00831FE0"/>
    <w:rsid w:val="0083206B"/>
    <w:rsid w:val="008326A2"/>
    <w:rsid w:val="00832CE1"/>
    <w:rsid w:val="00832E0A"/>
    <w:rsid w:val="00833AF6"/>
    <w:rsid w:val="00834363"/>
    <w:rsid w:val="00834698"/>
    <w:rsid w:val="008348B0"/>
    <w:rsid w:val="00835451"/>
    <w:rsid w:val="00835A9A"/>
    <w:rsid w:val="00835E5B"/>
    <w:rsid w:val="008360B9"/>
    <w:rsid w:val="0083629E"/>
    <w:rsid w:val="00836DF6"/>
    <w:rsid w:val="0083709F"/>
    <w:rsid w:val="0083760C"/>
    <w:rsid w:val="00837B7D"/>
    <w:rsid w:val="008401C0"/>
    <w:rsid w:val="0084060A"/>
    <w:rsid w:val="00840A06"/>
    <w:rsid w:val="00840BB5"/>
    <w:rsid w:val="00840C8F"/>
    <w:rsid w:val="00841C9C"/>
    <w:rsid w:val="00841EEB"/>
    <w:rsid w:val="008424BE"/>
    <w:rsid w:val="00842B5C"/>
    <w:rsid w:val="00842BD6"/>
    <w:rsid w:val="0084350A"/>
    <w:rsid w:val="008435F2"/>
    <w:rsid w:val="0084386A"/>
    <w:rsid w:val="008438EA"/>
    <w:rsid w:val="00843B57"/>
    <w:rsid w:val="00843F1C"/>
    <w:rsid w:val="008442FC"/>
    <w:rsid w:val="00844353"/>
    <w:rsid w:val="00844FF1"/>
    <w:rsid w:val="00845275"/>
    <w:rsid w:val="008454C6"/>
    <w:rsid w:val="008454E5"/>
    <w:rsid w:val="008458B4"/>
    <w:rsid w:val="00845E5B"/>
    <w:rsid w:val="0084728C"/>
    <w:rsid w:val="00847423"/>
    <w:rsid w:val="008500D8"/>
    <w:rsid w:val="00850140"/>
    <w:rsid w:val="00850435"/>
    <w:rsid w:val="00850722"/>
    <w:rsid w:val="00850D69"/>
    <w:rsid w:val="00850D8D"/>
    <w:rsid w:val="0085101F"/>
    <w:rsid w:val="00851965"/>
    <w:rsid w:val="00851C16"/>
    <w:rsid w:val="0085277A"/>
    <w:rsid w:val="008529B1"/>
    <w:rsid w:val="00852E91"/>
    <w:rsid w:val="00852F07"/>
    <w:rsid w:val="00852F30"/>
    <w:rsid w:val="008530B9"/>
    <w:rsid w:val="0085330D"/>
    <w:rsid w:val="00853BE4"/>
    <w:rsid w:val="00853E7C"/>
    <w:rsid w:val="00854140"/>
    <w:rsid w:val="0085421A"/>
    <w:rsid w:val="008554EE"/>
    <w:rsid w:val="00855F2B"/>
    <w:rsid w:val="008560ED"/>
    <w:rsid w:val="008561B3"/>
    <w:rsid w:val="008562D4"/>
    <w:rsid w:val="008570BD"/>
    <w:rsid w:val="00857C81"/>
    <w:rsid w:val="008603C8"/>
    <w:rsid w:val="00860863"/>
    <w:rsid w:val="00860963"/>
    <w:rsid w:val="00860B74"/>
    <w:rsid w:val="00860E80"/>
    <w:rsid w:val="008613CC"/>
    <w:rsid w:val="00861547"/>
    <w:rsid w:val="008616B1"/>
    <w:rsid w:val="00861E58"/>
    <w:rsid w:val="0086238C"/>
    <w:rsid w:val="00862BD1"/>
    <w:rsid w:val="00862F64"/>
    <w:rsid w:val="00863475"/>
    <w:rsid w:val="00863AC5"/>
    <w:rsid w:val="00863BD8"/>
    <w:rsid w:val="008644CD"/>
    <w:rsid w:val="00864828"/>
    <w:rsid w:val="00864836"/>
    <w:rsid w:val="00864A0C"/>
    <w:rsid w:val="00864DD5"/>
    <w:rsid w:val="00864EC9"/>
    <w:rsid w:val="008654F7"/>
    <w:rsid w:val="00865526"/>
    <w:rsid w:val="008661A5"/>
    <w:rsid w:val="0086637E"/>
    <w:rsid w:val="00866771"/>
    <w:rsid w:val="008670CF"/>
    <w:rsid w:val="008671BD"/>
    <w:rsid w:val="00867C10"/>
    <w:rsid w:val="00867E77"/>
    <w:rsid w:val="00870F90"/>
    <w:rsid w:val="00871184"/>
    <w:rsid w:val="008711FB"/>
    <w:rsid w:val="0087198D"/>
    <w:rsid w:val="008722AF"/>
    <w:rsid w:val="00872FD4"/>
    <w:rsid w:val="008735C8"/>
    <w:rsid w:val="00873B00"/>
    <w:rsid w:val="00874432"/>
    <w:rsid w:val="00874677"/>
    <w:rsid w:val="00875211"/>
    <w:rsid w:val="0087539B"/>
    <w:rsid w:val="008753C4"/>
    <w:rsid w:val="0087590A"/>
    <w:rsid w:val="00875986"/>
    <w:rsid w:val="00875E85"/>
    <w:rsid w:val="008766BE"/>
    <w:rsid w:val="008767A5"/>
    <w:rsid w:val="008768CB"/>
    <w:rsid w:val="00877205"/>
    <w:rsid w:val="00877529"/>
    <w:rsid w:val="0087799C"/>
    <w:rsid w:val="00877C78"/>
    <w:rsid w:val="008800A6"/>
    <w:rsid w:val="008801C7"/>
    <w:rsid w:val="00880AF8"/>
    <w:rsid w:val="00880B04"/>
    <w:rsid w:val="00880EDC"/>
    <w:rsid w:val="008813AD"/>
    <w:rsid w:val="00881FAE"/>
    <w:rsid w:val="00881FE6"/>
    <w:rsid w:val="008821AA"/>
    <w:rsid w:val="008827B1"/>
    <w:rsid w:val="00882AD3"/>
    <w:rsid w:val="00883096"/>
    <w:rsid w:val="0088320D"/>
    <w:rsid w:val="008836AF"/>
    <w:rsid w:val="008838FF"/>
    <w:rsid w:val="008842BE"/>
    <w:rsid w:val="00884409"/>
    <w:rsid w:val="0088459E"/>
    <w:rsid w:val="0088462C"/>
    <w:rsid w:val="00884DEA"/>
    <w:rsid w:val="00885E99"/>
    <w:rsid w:val="008861BE"/>
    <w:rsid w:val="008867D4"/>
    <w:rsid w:val="00886A57"/>
    <w:rsid w:val="00887C8A"/>
    <w:rsid w:val="008901CF"/>
    <w:rsid w:val="008904E3"/>
    <w:rsid w:val="008904F6"/>
    <w:rsid w:val="00890A7C"/>
    <w:rsid w:val="00890F11"/>
    <w:rsid w:val="00891D0A"/>
    <w:rsid w:val="00892232"/>
    <w:rsid w:val="0089288F"/>
    <w:rsid w:val="008931D2"/>
    <w:rsid w:val="008935B8"/>
    <w:rsid w:val="0089364C"/>
    <w:rsid w:val="00893A05"/>
    <w:rsid w:val="0089442C"/>
    <w:rsid w:val="00895049"/>
    <w:rsid w:val="00895A74"/>
    <w:rsid w:val="00896299"/>
    <w:rsid w:val="00896A3F"/>
    <w:rsid w:val="00896CB6"/>
    <w:rsid w:val="00896E84"/>
    <w:rsid w:val="00897B3B"/>
    <w:rsid w:val="00897D9B"/>
    <w:rsid w:val="008A01AE"/>
    <w:rsid w:val="008A05B2"/>
    <w:rsid w:val="008A0789"/>
    <w:rsid w:val="008A08E1"/>
    <w:rsid w:val="008A0CBA"/>
    <w:rsid w:val="008A0D66"/>
    <w:rsid w:val="008A0F5A"/>
    <w:rsid w:val="008A1456"/>
    <w:rsid w:val="008A237D"/>
    <w:rsid w:val="008A2E8D"/>
    <w:rsid w:val="008A2EE8"/>
    <w:rsid w:val="008A3D41"/>
    <w:rsid w:val="008A435F"/>
    <w:rsid w:val="008A44C3"/>
    <w:rsid w:val="008A4AAF"/>
    <w:rsid w:val="008A4B59"/>
    <w:rsid w:val="008A662B"/>
    <w:rsid w:val="008A7309"/>
    <w:rsid w:val="008B01AB"/>
    <w:rsid w:val="008B10A9"/>
    <w:rsid w:val="008B1737"/>
    <w:rsid w:val="008B1D21"/>
    <w:rsid w:val="008B1FB3"/>
    <w:rsid w:val="008B203C"/>
    <w:rsid w:val="008B2416"/>
    <w:rsid w:val="008B2BFE"/>
    <w:rsid w:val="008B302F"/>
    <w:rsid w:val="008B3040"/>
    <w:rsid w:val="008B34D4"/>
    <w:rsid w:val="008B36B2"/>
    <w:rsid w:val="008B3B18"/>
    <w:rsid w:val="008B3BDE"/>
    <w:rsid w:val="008B3D5E"/>
    <w:rsid w:val="008B45AF"/>
    <w:rsid w:val="008B4EE5"/>
    <w:rsid w:val="008B53BF"/>
    <w:rsid w:val="008B5B6C"/>
    <w:rsid w:val="008B5E8C"/>
    <w:rsid w:val="008B5F28"/>
    <w:rsid w:val="008B5FC1"/>
    <w:rsid w:val="008B63C3"/>
    <w:rsid w:val="008B6522"/>
    <w:rsid w:val="008B71CF"/>
    <w:rsid w:val="008C03A9"/>
    <w:rsid w:val="008C04A5"/>
    <w:rsid w:val="008C051C"/>
    <w:rsid w:val="008C0729"/>
    <w:rsid w:val="008C154E"/>
    <w:rsid w:val="008C1629"/>
    <w:rsid w:val="008C194B"/>
    <w:rsid w:val="008C2452"/>
    <w:rsid w:val="008C2FAA"/>
    <w:rsid w:val="008C43B9"/>
    <w:rsid w:val="008C458D"/>
    <w:rsid w:val="008C5C8F"/>
    <w:rsid w:val="008C5E54"/>
    <w:rsid w:val="008C61CB"/>
    <w:rsid w:val="008C62BF"/>
    <w:rsid w:val="008C67D1"/>
    <w:rsid w:val="008C7051"/>
    <w:rsid w:val="008C7379"/>
    <w:rsid w:val="008C77FD"/>
    <w:rsid w:val="008D0550"/>
    <w:rsid w:val="008D05CB"/>
    <w:rsid w:val="008D0D0E"/>
    <w:rsid w:val="008D10FC"/>
    <w:rsid w:val="008D1ADE"/>
    <w:rsid w:val="008D1BD3"/>
    <w:rsid w:val="008D1C89"/>
    <w:rsid w:val="008D1F6A"/>
    <w:rsid w:val="008D2079"/>
    <w:rsid w:val="008D20AA"/>
    <w:rsid w:val="008D37C2"/>
    <w:rsid w:val="008D38A9"/>
    <w:rsid w:val="008D38E9"/>
    <w:rsid w:val="008D3A99"/>
    <w:rsid w:val="008D3BCC"/>
    <w:rsid w:val="008D400E"/>
    <w:rsid w:val="008D419C"/>
    <w:rsid w:val="008D5BC6"/>
    <w:rsid w:val="008D5BF3"/>
    <w:rsid w:val="008D5DE4"/>
    <w:rsid w:val="008D5E11"/>
    <w:rsid w:val="008D68C2"/>
    <w:rsid w:val="008D6E30"/>
    <w:rsid w:val="008D70C2"/>
    <w:rsid w:val="008D743D"/>
    <w:rsid w:val="008D74B0"/>
    <w:rsid w:val="008D7A46"/>
    <w:rsid w:val="008E0340"/>
    <w:rsid w:val="008E06B4"/>
    <w:rsid w:val="008E0A7B"/>
    <w:rsid w:val="008E1FC8"/>
    <w:rsid w:val="008E2BD1"/>
    <w:rsid w:val="008E3165"/>
    <w:rsid w:val="008E3DF3"/>
    <w:rsid w:val="008E3E77"/>
    <w:rsid w:val="008E4058"/>
    <w:rsid w:val="008E460A"/>
    <w:rsid w:val="008E4DAE"/>
    <w:rsid w:val="008E5201"/>
    <w:rsid w:val="008E6D14"/>
    <w:rsid w:val="008E6D33"/>
    <w:rsid w:val="008F0093"/>
    <w:rsid w:val="008F0695"/>
    <w:rsid w:val="008F0749"/>
    <w:rsid w:val="008F0E88"/>
    <w:rsid w:val="008F150C"/>
    <w:rsid w:val="008F18DD"/>
    <w:rsid w:val="008F1F6E"/>
    <w:rsid w:val="008F22F8"/>
    <w:rsid w:val="008F238C"/>
    <w:rsid w:val="008F3919"/>
    <w:rsid w:val="008F3B73"/>
    <w:rsid w:val="008F3DB4"/>
    <w:rsid w:val="008F3DF5"/>
    <w:rsid w:val="008F4014"/>
    <w:rsid w:val="008F44A3"/>
    <w:rsid w:val="008F4FC8"/>
    <w:rsid w:val="008F57CB"/>
    <w:rsid w:val="008F5A53"/>
    <w:rsid w:val="008F5A99"/>
    <w:rsid w:val="008F6264"/>
    <w:rsid w:val="008F63B1"/>
    <w:rsid w:val="008F6F89"/>
    <w:rsid w:val="008F76C3"/>
    <w:rsid w:val="008F7AAE"/>
    <w:rsid w:val="008F7ED9"/>
    <w:rsid w:val="00900689"/>
    <w:rsid w:val="00900CCE"/>
    <w:rsid w:val="00900D2E"/>
    <w:rsid w:val="0090100D"/>
    <w:rsid w:val="00901853"/>
    <w:rsid w:val="00901A97"/>
    <w:rsid w:val="00901B03"/>
    <w:rsid w:val="00901CB6"/>
    <w:rsid w:val="00902457"/>
    <w:rsid w:val="00902850"/>
    <w:rsid w:val="009030F8"/>
    <w:rsid w:val="00903C7E"/>
    <w:rsid w:val="00903DF1"/>
    <w:rsid w:val="00903E4C"/>
    <w:rsid w:val="00904283"/>
    <w:rsid w:val="00904B54"/>
    <w:rsid w:val="00904CA7"/>
    <w:rsid w:val="0090513E"/>
    <w:rsid w:val="0090532A"/>
    <w:rsid w:val="00905AA2"/>
    <w:rsid w:val="00906143"/>
    <w:rsid w:val="00906B06"/>
    <w:rsid w:val="00906F62"/>
    <w:rsid w:val="009076D1"/>
    <w:rsid w:val="00907760"/>
    <w:rsid w:val="00910032"/>
    <w:rsid w:val="00910FD3"/>
    <w:rsid w:val="009110A8"/>
    <w:rsid w:val="00911853"/>
    <w:rsid w:val="00911E38"/>
    <w:rsid w:val="00911EE5"/>
    <w:rsid w:val="009123E7"/>
    <w:rsid w:val="00912594"/>
    <w:rsid w:val="00912AA6"/>
    <w:rsid w:val="00912AFD"/>
    <w:rsid w:val="00912FBD"/>
    <w:rsid w:val="00913039"/>
    <w:rsid w:val="009138B8"/>
    <w:rsid w:val="009139F5"/>
    <w:rsid w:val="00913DD1"/>
    <w:rsid w:val="00913EB4"/>
    <w:rsid w:val="009140AC"/>
    <w:rsid w:val="00914661"/>
    <w:rsid w:val="00914D79"/>
    <w:rsid w:val="0091539D"/>
    <w:rsid w:val="0091545B"/>
    <w:rsid w:val="0091631D"/>
    <w:rsid w:val="00916547"/>
    <w:rsid w:val="0091754A"/>
    <w:rsid w:val="00920A95"/>
    <w:rsid w:val="009216CA"/>
    <w:rsid w:val="00921C63"/>
    <w:rsid w:val="00921E6E"/>
    <w:rsid w:val="0092229A"/>
    <w:rsid w:val="009225EA"/>
    <w:rsid w:val="00922B85"/>
    <w:rsid w:val="00923352"/>
    <w:rsid w:val="009239A3"/>
    <w:rsid w:val="00923C89"/>
    <w:rsid w:val="009241A8"/>
    <w:rsid w:val="009243AD"/>
    <w:rsid w:val="00924452"/>
    <w:rsid w:val="009244D6"/>
    <w:rsid w:val="00924DDA"/>
    <w:rsid w:val="00924EB2"/>
    <w:rsid w:val="009250E8"/>
    <w:rsid w:val="0092527F"/>
    <w:rsid w:val="009256D8"/>
    <w:rsid w:val="00925761"/>
    <w:rsid w:val="00925947"/>
    <w:rsid w:val="00925A4B"/>
    <w:rsid w:val="009263CC"/>
    <w:rsid w:val="00926660"/>
    <w:rsid w:val="00926B3E"/>
    <w:rsid w:val="009270CD"/>
    <w:rsid w:val="009271D8"/>
    <w:rsid w:val="00927549"/>
    <w:rsid w:val="00927BD1"/>
    <w:rsid w:val="00927E3F"/>
    <w:rsid w:val="00927F28"/>
    <w:rsid w:val="00930921"/>
    <w:rsid w:val="00931747"/>
    <w:rsid w:val="0093179D"/>
    <w:rsid w:val="00931827"/>
    <w:rsid w:val="00932835"/>
    <w:rsid w:val="00932C37"/>
    <w:rsid w:val="0093411D"/>
    <w:rsid w:val="00934270"/>
    <w:rsid w:val="0093438C"/>
    <w:rsid w:val="00934905"/>
    <w:rsid w:val="00934D83"/>
    <w:rsid w:val="00935202"/>
    <w:rsid w:val="009356C5"/>
    <w:rsid w:val="00935A19"/>
    <w:rsid w:val="00935E7B"/>
    <w:rsid w:val="00935EE0"/>
    <w:rsid w:val="009364D0"/>
    <w:rsid w:val="00936B7D"/>
    <w:rsid w:val="009378F4"/>
    <w:rsid w:val="00937966"/>
    <w:rsid w:val="00940170"/>
    <w:rsid w:val="00940506"/>
    <w:rsid w:val="0094088B"/>
    <w:rsid w:val="0094105C"/>
    <w:rsid w:val="009419D7"/>
    <w:rsid w:val="00941E44"/>
    <w:rsid w:val="00941F58"/>
    <w:rsid w:val="00942298"/>
    <w:rsid w:val="009438DB"/>
    <w:rsid w:val="009446AE"/>
    <w:rsid w:val="0094478B"/>
    <w:rsid w:val="00944C75"/>
    <w:rsid w:val="00944D3D"/>
    <w:rsid w:val="00944F00"/>
    <w:rsid w:val="00945157"/>
    <w:rsid w:val="00945B03"/>
    <w:rsid w:val="00945F0E"/>
    <w:rsid w:val="00945FC4"/>
    <w:rsid w:val="00946531"/>
    <w:rsid w:val="00947458"/>
    <w:rsid w:val="00947ED2"/>
    <w:rsid w:val="0095043F"/>
    <w:rsid w:val="009505D9"/>
    <w:rsid w:val="00950723"/>
    <w:rsid w:val="00950B71"/>
    <w:rsid w:val="00951543"/>
    <w:rsid w:val="00951993"/>
    <w:rsid w:val="00951CEB"/>
    <w:rsid w:val="00952BAA"/>
    <w:rsid w:val="00953410"/>
    <w:rsid w:val="009538C3"/>
    <w:rsid w:val="00953CD2"/>
    <w:rsid w:val="009552E1"/>
    <w:rsid w:val="00955473"/>
    <w:rsid w:val="00955482"/>
    <w:rsid w:val="009555CF"/>
    <w:rsid w:val="00955781"/>
    <w:rsid w:val="00955BDC"/>
    <w:rsid w:val="00955C14"/>
    <w:rsid w:val="0095644B"/>
    <w:rsid w:val="0095660A"/>
    <w:rsid w:val="0095665B"/>
    <w:rsid w:val="00956A2F"/>
    <w:rsid w:val="00957038"/>
    <w:rsid w:val="00957219"/>
    <w:rsid w:val="009573E8"/>
    <w:rsid w:val="00957737"/>
    <w:rsid w:val="009578B1"/>
    <w:rsid w:val="00957BA0"/>
    <w:rsid w:val="00957C11"/>
    <w:rsid w:val="00960557"/>
    <w:rsid w:val="00960711"/>
    <w:rsid w:val="00960721"/>
    <w:rsid w:val="0096151E"/>
    <w:rsid w:val="00961674"/>
    <w:rsid w:val="0096290B"/>
    <w:rsid w:val="00963752"/>
    <w:rsid w:val="00964206"/>
    <w:rsid w:val="00964375"/>
    <w:rsid w:val="009646AE"/>
    <w:rsid w:val="00964E7C"/>
    <w:rsid w:val="00964F2F"/>
    <w:rsid w:val="009652AA"/>
    <w:rsid w:val="0096561B"/>
    <w:rsid w:val="009657CA"/>
    <w:rsid w:val="00966102"/>
    <w:rsid w:val="009666A1"/>
    <w:rsid w:val="00966FC5"/>
    <w:rsid w:val="00967528"/>
    <w:rsid w:val="009679FC"/>
    <w:rsid w:val="00967A6A"/>
    <w:rsid w:val="00967CB8"/>
    <w:rsid w:val="00970AEC"/>
    <w:rsid w:val="009710A8"/>
    <w:rsid w:val="00971103"/>
    <w:rsid w:val="009716AD"/>
    <w:rsid w:val="00971989"/>
    <w:rsid w:val="009719CC"/>
    <w:rsid w:val="00972902"/>
    <w:rsid w:val="009729C0"/>
    <w:rsid w:val="00973025"/>
    <w:rsid w:val="00973DCD"/>
    <w:rsid w:val="00974142"/>
    <w:rsid w:val="0097417B"/>
    <w:rsid w:val="00974D58"/>
    <w:rsid w:val="00974D81"/>
    <w:rsid w:val="0097507E"/>
    <w:rsid w:val="00975338"/>
    <w:rsid w:val="009759E5"/>
    <w:rsid w:val="00975AF1"/>
    <w:rsid w:val="00975E91"/>
    <w:rsid w:val="009762AD"/>
    <w:rsid w:val="00976E17"/>
    <w:rsid w:val="0097702F"/>
    <w:rsid w:val="00977296"/>
    <w:rsid w:val="00977C99"/>
    <w:rsid w:val="009800E0"/>
    <w:rsid w:val="009805B3"/>
    <w:rsid w:val="00980A39"/>
    <w:rsid w:val="00980A92"/>
    <w:rsid w:val="00980FE4"/>
    <w:rsid w:val="00981455"/>
    <w:rsid w:val="00981512"/>
    <w:rsid w:val="00981836"/>
    <w:rsid w:val="00981D9B"/>
    <w:rsid w:val="00981FF8"/>
    <w:rsid w:val="0098203A"/>
    <w:rsid w:val="00982305"/>
    <w:rsid w:val="0098256F"/>
    <w:rsid w:val="00982A56"/>
    <w:rsid w:val="00982A59"/>
    <w:rsid w:val="00982CAC"/>
    <w:rsid w:val="0098332F"/>
    <w:rsid w:val="00984D4F"/>
    <w:rsid w:val="00985719"/>
    <w:rsid w:val="00985830"/>
    <w:rsid w:val="00986024"/>
    <w:rsid w:val="0098651F"/>
    <w:rsid w:val="00986C78"/>
    <w:rsid w:val="00986D31"/>
    <w:rsid w:val="009873D3"/>
    <w:rsid w:val="00987AD5"/>
    <w:rsid w:val="00987B3F"/>
    <w:rsid w:val="00987D87"/>
    <w:rsid w:val="009906B1"/>
    <w:rsid w:val="00990804"/>
    <w:rsid w:val="0099093B"/>
    <w:rsid w:val="00991AA4"/>
    <w:rsid w:val="0099244E"/>
    <w:rsid w:val="009926F3"/>
    <w:rsid w:val="009929B5"/>
    <w:rsid w:val="00992A33"/>
    <w:rsid w:val="00992D51"/>
    <w:rsid w:val="009935EA"/>
    <w:rsid w:val="0099368E"/>
    <w:rsid w:val="009937C7"/>
    <w:rsid w:val="00993DA9"/>
    <w:rsid w:val="009941A0"/>
    <w:rsid w:val="009942AE"/>
    <w:rsid w:val="009947EF"/>
    <w:rsid w:val="009957A2"/>
    <w:rsid w:val="00995CAB"/>
    <w:rsid w:val="00996597"/>
    <w:rsid w:val="0099690B"/>
    <w:rsid w:val="00996A1F"/>
    <w:rsid w:val="00996A53"/>
    <w:rsid w:val="00997962"/>
    <w:rsid w:val="00997B39"/>
    <w:rsid w:val="00997E3F"/>
    <w:rsid w:val="009A00AA"/>
    <w:rsid w:val="009A00D1"/>
    <w:rsid w:val="009A012F"/>
    <w:rsid w:val="009A0399"/>
    <w:rsid w:val="009A0878"/>
    <w:rsid w:val="009A0F66"/>
    <w:rsid w:val="009A1806"/>
    <w:rsid w:val="009A1950"/>
    <w:rsid w:val="009A2515"/>
    <w:rsid w:val="009A276C"/>
    <w:rsid w:val="009A2D4F"/>
    <w:rsid w:val="009A2ED6"/>
    <w:rsid w:val="009A3342"/>
    <w:rsid w:val="009A3841"/>
    <w:rsid w:val="009A392C"/>
    <w:rsid w:val="009A39B2"/>
    <w:rsid w:val="009A4119"/>
    <w:rsid w:val="009A4559"/>
    <w:rsid w:val="009A46B5"/>
    <w:rsid w:val="009A49E2"/>
    <w:rsid w:val="009A4CB8"/>
    <w:rsid w:val="009A4F68"/>
    <w:rsid w:val="009A545F"/>
    <w:rsid w:val="009A54EF"/>
    <w:rsid w:val="009A57AE"/>
    <w:rsid w:val="009A5AC5"/>
    <w:rsid w:val="009A6319"/>
    <w:rsid w:val="009A7441"/>
    <w:rsid w:val="009A7BEB"/>
    <w:rsid w:val="009A7FCF"/>
    <w:rsid w:val="009B0757"/>
    <w:rsid w:val="009B0CC6"/>
    <w:rsid w:val="009B0E7C"/>
    <w:rsid w:val="009B16DD"/>
    <w:rsid w:val="009B1A22"/>
    <w:rsid w:val="009B1BE1"/>
    <w:rsid w:val="009B232E"/>
    <w:rsid w:val="009B2525"/>
    <w:rsid w:val="009B29F2"/>
    <w:rsid w:val="009B2F32"/>
    <w:rsid w:val="009B39CB"/>
    <w:rsid w:val="009B3A04"/>
    <w:rsid w:val="009B4551"/>
    <w:rsid w:val="009B52D9"/>
    <w:rsid w:val="009B5707"/>
    <w:rsid w:val="009B607F"/>
    <w:rsid w:val="009B6439"/>
    <w:rsid w:val="009B6AD5"/>
    <w:rsid w:val="009B77AC"/>
    <w:rsid w:val="009B7841"/>
    <w:rsid w:val="009B7BA5"/>
    <w:rsid w:val="009C0000"/>
    <w:rsid w:val="009C00B7"/>
    <w:rsid w:val="009C06D1"/>
    <w:rsid w:val="009C0A17"/>
    <w:rsid w:val="009C1177"/>
    <w:rsid w:val="009C1320"/>
    <w:rsid w:val="009C136C"/>
    <w:rsid w:val="009C1589"/>
    <w:rsid w:val="009C1600"/>
    <w:rsid w:val="009C1BCA"/>
    <w:rsid w:val="009C21E9"/>
    <w:rsid w:val="009C2227"/>
    <w:rsid w:val="009C2CB5"/>
    <w:rsid w:val="009C30C2"/>
    <w:rsid w:val="009C30E6"/>
    <w:rsid w:val="009C31DA"/>
    <w:rsid w:val="009C32BE"/>
    <w:rsid w:val="009C3970"/>
    <w:rsid w:val="009C3C77"/>
    <w:rsid w:val="009C3F22"/>
    <w:rsid w:val="009C3F52"/>
    <w:rsid w:val="009C4040"/>
    <w:rsid w:val="009C4802"/>
    <w:rsid w:val="009C48FA"/>
    <w:rsid w:val="009C4E01"/>
    <w:rsid w:val="009C5F59"/>
    <w:rsid w:val="009C60CD"/>
    <w:rsid w:val="009C6A72"/>
    <w:rsid w:val="009C7E73"/>
    <w:rsid w:val="009D0110"/>
    <w:rsid w:val="009D0216"/>
    <w:rsid w:val="009D0815"/>
    <w:rsid w:val="009D08EF"/>
    <w:rsid w:val="009D0A34"/>
    <w:rsid w:val="009D17BD"/>
    <w:rsid w:val="009D1FFF"/>
    <w:rsid w:val="009D2283"/>
    <w:rsid w:val="009D2A57"/>
    <w:rsid w:val="009D2A9F"/>
    <w:rsid w:val="009D2AFC"/>
    <w:rsid w:val="009D2B28"/>
    <w:rsid w:val="009D2EBD"/>
    <w:rsid w:val="009D2ED7"/>
    <w:rsid w:val="009D367F"/>
    <w:rsid w:val="009D430D"/>
    <w:rsid w:val="009D5083"/>
    <w:rsid w:val="009D5B66"/>
    <w:rsid w:val="009D5B9E"/>
    <w:rsid w:val="009D61E6"/>
    <w:rsid w:val="009D639D"/>
    <w:rsid w:val="009D67B5"/>
    <w:rsid w:val="009D6A7F"/>
    <w:rsid w:val="009D6E5B"/>
    <w:rsid w:val="009D74C9"/>
    <w:rsid w:val="009D78F1"/>
    <w:rsid w:val="009D7B25"/>
    <w:rsid w:val="009E0601"/>
    <w:rsid w:val="009E0679"/>
    <w:rsid w:val="009E0F45"/>
    <w:rsid w:val="009E103A"/>
    <w:rsid w:val="009E114B"/>
    <w:rsid w:val="009E13B2"/>
    <w:rsid w:val="009E19A7"/>
    <w:rsid w:val="009E227B"/>
    <w:rsid w:val="009E2E4E"/>
    <w:rsid w:val="009E3006"/>
    <w:rsid w:val="009E307B"/>
    <w:rsid w:val="009E319E"/>
    <w:rsid w:val="009E37B2"/>
    <w:rsid w:val="009E383C"/>
    <w:rsid w:val="009E3890"/>
    <w:rsid w:val="009E3946"/>
    <w:rsid w:val="009E39AC"/>
    <w:rsid w:val="009E3E63"/>
    <w:rsid w:val="009E3EF3"/>
    <w:rsid w:val="009E48A1"/>
    <w:rsid w:val="009E4AA5"/>
    <w:rsid w:val="009E4BD4"/>
    <w:rsid w:val="009E5166"/>
    <w:rsid w:val="009E5228"/>
    <w:rsid w:val="009E54A1"/>
    <w:rsid w:val="009E5A7F"/>
    <w:rsid w:val="009E5B5E"/>
    <w:rsid w:val="009E6D27"/>
    <w:rsid w:val="009E6ED4"/>
    <w:rsid w:val="009E73FA"/>
    <w:rsid w:val="009E7526"/>
    <w:rsid w:val="009E7EAA"/>
    <w:rsid w:val="009E7FEC"/>
    <w:rsid w:val="009F007A"/>
    <w:rsid w:val="009F044D"/>
    <w:rsid w:val="009F084E"/>
    <w:rsid w:val="009F1C91"/>
    <w:rsid w:val="009F1EB0"/>
    <w:rsid w:val="009F23D2"/>
    <w:rsid w:val="009F2BED"/>
    <w:rsid w:val="009F3A36"/>
    <w:rsid w:val="009F3A55"/>
    <w:rsid w:val="009F431C"/>
    <w:rsid w:val="009F4A68"/>
    <w:rsid w:val="009F4E57"/>
    <w:rsid w:val="009F5268"/>
    <w:rsid w:val="009F54C5"/>
    <w:rsid w:val="009F5607"/>
    <w:rsid w:val="009F59EB"/>
    <w:rsid w:val="009F5CCF"/>
    <w:rsid w:val="009F6311"/>
    <w:rsid w:val="009F69BB"/>
    <w:rsid w:val="009F7107"/>
    <w:rsid w:val="009F787C"/>
    <w:rsid w:val="009F79EB"/>
    <w:rsid w:val="00A005DD"/>
    <w:rsid w:val="00A005F0"/>
    <w:rsid w:val="00A009AC"/>
    <w:rsid w:val="00A00EB1"/>
    <w:rsid w:val="00A01468"/>
    <w:rsid w:val="00A0215E"/>
    <w:rsid w:val="00A02168"/>
    <w:rsid w:val="00A022C2"/>
    <w:rsid w:val="00A02984"/>
    <w:rsid w:val="00A02BA5"/>
    <w:rsid w:val="00A040EE"/>
    <w:rsid w:val="00A05145"/>
    <w:rsid w:val="00A05191"/>
    <w:rsid w:val="00A0528F"/>
    <w:rsid w:val="00A058A3"/>
    <w:rsid w:val="00A05B7C"/>
    <w:rsid w:val="00A061EC"/>
    <w:rsid w:val="00A06AE3"/>
    <w:rsid w:val="00A070D8"/>
    <w:rsid w:val="00A072DC"/>
    <w:rsid w:val="00A0735D"/>
    <w:rsid w:val="00A07C39"/>
    <w:rsid w:val="00A10150"/>
    <w:rsid w:val="00A1074E"/>
    <w:rsid w:val="00A10A43"/>
    <w:rsid w:val="00A10B97"/>
    <w:rsid w:val="00A10CC9"/>
    <w:rsid w:val="00A10E04"/>
    <w:rsid w:val="00A10FEE"/>
    <w:rsid w:val="00A12193"/>
    <w:rsid w:val="00A121E3"/>
    <w:rsid w:val="00A12632"/>
    <w:rsid w:val="00A12999"/>
    <w:rsid w:val="00A129B6"/>
    <w:rsid w:val="00A133AD"/>
    <w:rsid w:val="00A136E0"/>
    <w:rsid w:val="00A136EC"/>
    <w:rsid w:val="00A13786"/>
    <w:rsid w:val="00A14B7D"/>
    <w:rsid w:val="00A14DDF"/>
    <w:rsid w:val="00A159A5"/>
    <w:rsid w:val="00A15D32"/>
    <w:rsid w:val="00A1660F"/>
    <w:rsid w:val="00A16879"/>
    <w:rsid w:val="00A16ED9"/>
    <w:rsid w:val="00A171DB"/>
    <w:rsid w:val="00A17B78"/>
    <w:rsid w:val="00A17C80"/>
    <w:rsid w:val="00A20464"/>
    <w:rsid w:val="00A205BB"/>
    <w:rsid w:val="00A20634"/>
    <w:rsid w:val="00A206B9"/>
    <w:rsid w:val="00A2085D"/>
    <w:rsid w:val="00A208BD"/>
    <w:rsid w:val="00A20B69"/>
    <w:rsid w:val="00A210D1"/>
    <w:rsid w:val="00A2120B"/>
    <w:rsid w:val="00A212CC"/>
    <w:rsid w:val="00A213C3"/>
    <w:rsid w:val="00A2140F"/>
    <w:rsid w:val="00A21460"/>
    <w:rsid w:val="00A21A4D"/>
    <w:rsid w:val="00A227F2"/>
    <w:rsid w:val="00A22804"/>
    <w:rsid w:val="00A22B77"/>
    <w:rsid w:val="00A22E12"/>
    <w:rsid w:val="00A23EEF"/>
    <w:rsid w:val="00A241B1"/>
    <w:rsid w:val="00A24446"/>
    <w:rsid w:val="00A247C9"/>
    <w:rsid w:val="00A24962"/>
    <w:rsid w:val="00A24B81"/>
    <w:rsid w:val="00A24EA5"/>
    <w:rsid w:val="00A2504C"/>
    <w:rsid w:val="00A252F3"/>
    <w:rsid w:val="00A256DE"/>
    <w:rsid w:val="00A26081"/>
    <w:rsid w:val="00A26B19"/>
    <w:rsid w:val="00A26C3D"/>
    <w:rsid w:val="00A26F01"/>
    <w:rsid w:val="00A27188"/>
    <w:rsid w:val="00A273D7"/>
    <w:rsid w:val="00A2766C"/>
    <w:rsid w:val="00A27B99"/>
    <w:rsid w:val="00A30535"/>
    <w:rsid w:val="00A30D09"/>
    <w:rsid w:val="00A317B7"/>
    <w:rsid w:val="00A32010"/>
    <w:rsid w:val="00A3209B"/>
    <w:rsid w:val="00A32583"/>
    <w:rsid w:val="00A32840"/>
    <w:rsid w:val="00A32D6D"/>
    <w:rsid w:val="00A32EE4"/>
    <w:rsid w:val="00A33244"/>
    <w:rsid w:val="00A333CA"/>
    <w:rsid w:val="00A334A8"/>
    <w:rsid w:val="00A334C3"/>
    <w:rsid w:val="00A33D93"/>
    <w:rsid w:val="00A3511B"/>
    <w:rsid w:val="00A353AF"/>
    <w:rsid w:val="00A35723"/>
    <w:rsid w:val="00A35C03"/>
    <w:rsid w:val="00A35D1B"/>
    <w:rsid w:val="00A35F42"/>
    <w:rsid w:val="00A36BD1"/>
    <w:rsid w:val="00A36D63"/>
    <w:rsid w:val="00A36E00"/>
    <w:rsid w:val="00A37DF2"/>
    <w:rsid w:val="00A40368"/>
    <w:rsid w:val="00A40407"/>
    <w:rsid w:val="00A408B4"/>
    <w:rsid w:val="00A409BB"/>
    <w:rsid w:val="00A40A86"/>
    <w:rsid w:val="00A40DD3"/>
    <w:rsid w:val="00A40E8A"/>
    <w:rsid w:val="00A418D1"/>
    <w:rsid w:val="00A41A7F"/>
    <w:rsid w:val="00A41F17"/>
    <w:rsid w:val="00A42A8A"/>
    <w:rsid w:val="00A42FB1"/>
    <w:rsid w:val="00A436ED"/>
    <w:rsid w:val="00A439BE"/>
    <w:rsid w:val="00A43AA2"/>
    <w:rsid w:val="00A44018"/>
    <w:rsid w:val="00A446C3"/>
    <w:rsid w:val="00A44987"/>
    <w:rsid w:val="00A44C95"/>
    <w:rsid w:val="00A44D90"/>
    <w:rsid w:val="00A44E07"/>
    <w:rsid w:val="00A451DA"/>
    <w:rsid w:val="00A45406"/>
    <w:rsid w:val="00A45682"/>
    <w:rsid w:val="00A45725"/>
    <w:rsid w:val="00A458C5"/>
    <w:rsid w:val="00A458D3"/>
    <w:rsid w:val="00A45AB1"/>
    <w:rsid w:val="00A45AC0"/>
    <w:rsid w:val="00A45D2C"/>
    <w:rsid w:val="00A463B5"/>
    <w:rsid w:val="00A475E2"/>
    <w:rsid w:val="00A4794B"/>
    <w:rsid w:val="00A47977"/>
    <w:rsid w:val="00A47C03"/>
    <w:rsid w:val="00A47C53"/>
    <w:rsid w:val="00A47CC6"/>
    <w:rsid w:val="00A50312"/>
    <w:rsid w:val="00A50975"/>
    <w:rsid w:val="00A50AAE"/>
    <w:rsid w:val="00A50BC0"/>
    <w:rsid w:val="00A50CF4"/>
    <w:rsid w:val="00A50E08"/>
    <w:rsid w:val="00A50E53"/>
    <w:rsid w:val="00A51323"/>
    <w:rsid w:val="00A5136C"/>
    <w:rsid w:val="00A513E9"/>
    <w:rsid w:val="00A515A0"/>
    <w:rsid w:val="00A5171D"/>
    <w:rsid w:val="00A51AB5"/>
    <w:rsid w:val="00A5211D"/>
    <w:rsid w:val="00A5222A"/>
    <w:rsid w:val="00A52646"/>
    <w:rsid w:val="00A5279A"/>
    <w:rsid w:val="00A52C19"/>
    <w:rsid w:val="00A5308F"/>
    <w:rsid w:val="00A53711"/>
    <w:rsid w:val="00A5371D"/>
    <w:rsid w:val="00A53CF9"/>
    <w:rsid w:val="00A54324"/>
    <w:rsid w:val="00A555F7"/>
    <w:rsid w:val="00A55652"/>
    <w:rsid w:val="00A56828"/>
    <w:rsid w:val="00A57124"/>
    <w:rsid w:val="00A5755A"/>
    <w:rsid w:val="00A60019"/>
    <w:rsid w:val="00A602E1"/>
    <w:rsid w:val="00A6078D"/>
    <w:rsid w:val="00A60C29"/>
    <w:rsid w:val="00A60EB8"/>
    <w:rsid w:val="00A6107F"/>
    <w:rsid w:val="00A61558"/>
    <w:rsid w:val="00A61AA4"/>
    <w:rsid w:val="00A61BF3"/>
    <w:rsid w:val="00A622F5"/>
    <w:rsid w:val="00A625D0"/>
    <w:rsid w:val="00A62697"/>
    <w:rsid w:val="00A627C1"/>
    <w:rsid w:val="00A6295C"/>
    <w:rsid w:val="00A62A62"/>
    <w:rsid w:val="00A62B88"/>
    <w:rsid w:val="00A62F71"/>
    <w:rsid w:val="00A6307C"/>
    <w:rsid w:val="00A63576"/>
    <w:rsid w:val="00A63791"/>
    <w:rsid w:val="00A63DCF"/>
    <w:rsid w:val="00A6406B"/>
    <w:rsid w:val="00A64F8C"/>
    <w:rsid w:val="00A65796"/>
    <w:rsid w:val="00A65B39"/>
    <w:rsid w:val="00A65E28"/>
    <w:rsid w:val="00A66478"/>
    <w:rsid w:val="00A66633"/>
    <w:rsid w:val="00A666B7"/>
    <w:rsid w:val="00A6740A"/>
    <w:rsid w:val="00A67D71"/>
    <w:rsid w:val="00A7025A"/>
    <w:rsid w:val="00A7038A"/>
    <w:rsid w:val="00A7097E"/>
    <w:rsid w:val="00A70D35"/>
    <w:rsid w:val="00A7111A"/>
    <w:rsid w:val="00A72258"/>
    <w:rsid w:val="00A726B0"/>
    <w:rsid w:val="00A72B22"/>
    <w:rsid w:val="00A72BF7"/>
    <w:rsid w:val="00A73385"/>
    <w:rsid w:val="00A73A23"/>
    <w:rsid w:val="00A744CD"/>
    <w:rsid w:val="00A74D6A"/>
    <w:rsid w:val="00A74E66"/>
    <w:rsid w:val="00A75B15"/>
    <w:rsid w:val="00A75C0F"/>
    <w:rsid w:val="00A7600B"/>
    <w:rsid w:val="00A76270"/>
    <w:rsid w:val="00A763A0"/>
    <w:rsid w:val="00A764D1"/>
    <w:rsid w:val="00A76E7E"/>
    <w:rsid w:val="00A76FCA"/>
    <w:rsid w:val="00A77154"/>
    <w:rsid w:val="00A775FB"/>
    <w:rsid w:val="00A7772E"/>
    <w:rsid w:val="00A778A3"/>
    <w:rsid w:val="00A77A86"/>
    <w:rsid w:val="00A77C51"/>
    <w:rsid w:val="00A77FB8"/>
    <w:rsid w:val="00A802E8"/>
    <w:rsid w:val="00A803B6"/>
    <w:rsid w:val="00A807F6"/>
    <w:rsid w:val="00A80BA5"/>
    <w:rsid w:val="00A80CD1"/>
    <w:rsid w:val="00A81205"/>
    <w:rsid w:val="00A812A8"/>
    <w:rsid w:val="00A812C1"/>
    <w:rsid w:val="00A812D3"/>
    <w:rsid w:val="00A8135E"/>
    <w:rsid w:val="00A819BE"/>
    <w:rsid w:val="00A8249E"/>
    <w:rsid w:val="00A82B9D"/>
    <w:rsid w:val="00A82E35"/>
    <w:rsid w:val="00A83618"/>
    <w:rsid w:val="00A83D64"/>
    <w:rsid w:val="00A84438"/>
    <w:rsid w:val="00A847B6"/>
    <w:rsid w:val="00A8542E"/>
    <w:rsid w:val="00A859D9"/>
    <w:rsid w:val="00A85D31"/>
    <w:rsid w:val="00A85D34"/>
    <w:rsid w:val="00A85D51"/>
    <w:rsid w:val="00A86494"/>
    <w:rsid w:val="00A86658"/>
    <w:rsid w:val="00A86962"/>
    <w:rsid w:val="00A86BEA"/>
    <w:rsid w:val="00A86C46"/>
    <w:rsid w:val="00A86F73"/>
    <w:rsid w:val="00A87521"/>
    <w:rsid w:val="00A875B6"/>
    <w:rsid w:val="00A87725"/>
    <w:rsid w:val="00A877E6"/>
    <w:rsid w:val="00A8783D"/>
    <w:rsid w:val="00A87C7C"/>
    <w:rsid w:val="00A87CD4"/>
    <w:rsid w:val="00A87DC2"/>
    <w:rsid w:val="00A90177"/>
    <w:rsid w:val="00A9037F"/>
    <w:rsid w:val="00A90427"/>
    <w:rsid w:val="00A9157D"/>
    <w:rsid w:val="00A9212F"/>
    <w:rsid w:val="00A92C22"/>
    <w:rsid w:val="00A92D2E"/>
    <w:rsid w:val="00A937DA"/>
    <w:rsid w:val="00A94A03"/>
    <w:rsid w:val="00A94A2C"/>
    <w:rsid w:val="00A95236"/>
    <w:rsid w:val="00A95412"/>
    <w:rsid w:val="00A954BC"/>
    <w:rsid w:val="00A956E2"/>
    <w:rsid w:val="00A9581E"/>
    <w:rsid w:val="00A95AC2"/>
    <w:rsid w:val="00A95CF0"/>
    <w:rsid w:val="00A95E33"/>
    <w:rsid w:val="00A962A4"/>
    <w:rsid w:val="00A962B3"/>
    <w:rsid w:val="00A97001"/>
    <w:rsid w:val="00A971C3"/>
    <w:rsid w:val="00A97578"/>
    <w:rsid w:val="00A97B56"/>
    <w:rsid w:val="00AA0291"/>
    <w:rsid w:val="00AA1F2B"/>
    <w:rsid w:val="00AA224A"/>
    <w:rsid w:val="00AA22EF"/>
    <w:rsid w:val="00AA2B14"/>
    <w:rsid w:val="00AA3B5E"/>
    <w:rsid w:val="00AA3E8F"/>
    <w:rsid w:val="00AA3FDE"/>
    <w:rsid w:val="00AA45D1"/>
    <w:rsid w:val="00AA48F1"/>
    <w:rsid w:val="00AA4DC4"/>
    <w:rsid w:val="00AA4E9B"/>
    <w:rsid w:val="00AA57F9"/>
    <w:rsid w:val="00AA582D"/>
    <w:rsid w:val="00AA6093"/>
    <w:rsid w:val="00AA6537"/>
    <w:rsid w:val="00AA6E15"/>
    <w:rsid w:val="00AA76B5"/>
    <w:rsid w:val="00AB0F79"/>
    <w:rsid w:val="00AB104D"/>
    <w:rsid w:val="00AB13F6"/>
    <w:rsid w:val="00AB142D"/>
    <w:rsid w:val="00AB1910"/>
    <w:rsid w:val="00AB1EB8"/>
    <w:rsid w:val="00AB204E"/>
    <w:rsid w:val="00AB2AEF"/>
    <w:rsid w:val="00AB2FC3"/>
    <w:rsid w:val="00AB3246"/>
    <w:rsid w:val="00AB3314"/>
    <w:rsid w:val="00AB348A"/>
    <w:rsid w:val="00AB3BF9"/>
    <w:rsid w:val="00AB44CE"/>
    <w:rsid w:val="00AB50BC"/>
    <w:rsid w:val="00AB5581"/>
    <w:rsid w:val="00AB5697"/>
    <w:rsid w:val="00AB5876"/>
    <w:rsid w:val="00AB5BBE"/>
    <w:rsid w:val="00AB6458"/>
    <w:rsid w:val="00AB6660"/>
    <w:rsid w:val="00AB6C41"/>
    <w:rsid w:val="00AB6DE0"/>
    <w:rsid w:val="00AB7ADD"/>
    <w:rsid w:val="00AC0679"/>
    <w:rsid w:val="00AC1D21"/>
    <w:rsid w:val="00AC233C"/>
    <w:rsid w:val="00AC2A56"/>
    <w:rsid w:val="00AC33CE"/>
    <w:rsid w:val="00AC47FA"/>
    <w:rsid w:val="00AC4C5B"/>
    <w:rsid w:val="00AC4DDC"/>
    <w:rsid w:val="00AC4E89"/>
    <w:rsid w:val="00AC4F4F"/>
    <w:rsid w:val="00AC56A7"/>
    <w:rsid w:val="00AC6275"/>
    <w:rsid w:val="00AC6DFC"/>
    <w:rsid w:val="00AC743C"/>
    <w:rsid w:val="00AC7CCE"/>
    <w:rsid w:val="00AD1925"/>
    <w:rsid w:val="00AD1961"/>
    <w:rsid w:val="00AD251B"/>
    <w:rsid w:val="00AD29E1"/>
    <w:rsid w:val="00AD2DEA"/>
    <w:rsid w:val="00AD2DED"/>
    <w:rsid w:val="00AD2F54"/>
    <w:rsid w:val="00AD3508"/>
    <w:rsid w:val="00AD36C5"/>
    <w:rsid w:val="00AD3818"/>
    <w:rsid w:val="00AD404E"/>
    <w:rsid w:val="00AD4EFD"/>
    <w:rsid w:val="00AD4FC1"/>
    <w:rsid w:val="00AD5763"/>
    <w:rsid w:val="00AD5B46"/>
    <w:rsid w:val="00AD6C59"/>
    <w:rsid w:val="00AD6D6D"/>
    <w:rsid w:val="00AD7BBD"/>
    <w:rsid w:val="00AD7C8B"/>
    <w:rsid w:val="00AE0359"/>
    <w:rsid w:val="00AE0657"/>
    <w:rsid w:val="00AE08CE"/>
    <w:rsid w:val="00AE0DF3"/>
    <w:rsid w:val="00AE0E9E"/>
    <w:rsid w:val="00AE0EDD"/>
    <w:rsid w:val="00AE0F0A"/>
    <w:rsid w:val="00AE0F4A"/>
    <w:rsid w:val="00AE15A1"/>
    <w:rsid w:val="00AE164C"/>
    <w:rsid w:val="00AE1712"/>
    <w:rsid w:val="00AE17B2"/>
    <w:rsid w:val="00AE19ED"/>
    <w:rsid w:val="00AE1F06"/>
    <w:rsid w:val="00AE26C3"/>
    <w:rsid w:val="00AE29A6"/>
    <w:rsid w:val="00AE2C55"/>
    <w:rsid w:val="00AE301F"/>
    <w:rsid w:val="00AE42A2"/>
    <w:rsid w:val="00AE48FA"/>
    <w:rsid w:val="00AE4C21"/>
    <w:rsid w:val="00AE5616"/>
    <w:rsid w:val="00AE5656"/>
    <w:rsid w:val="00AE6B76"/>
    <w:rsid w:val="00AE7175"/>
    <w:rsid w:val="00AE7502"/>
    <w:rsid w:val="00AE75F4"/>
    <w:rsid w:val="00AE7A4D"/>
    <w:rsid w:val="00AE7F05"/>
    <w:rsid w:val="00AE7F1B"/>
    <w:rsid w:val="00AF0730"/>
    <w:rsid w:val="00AF0A20"/>
    <w:rsid w:val="00AF0C86"/>
    <w:rsid w:val="00AF12BB"/>
    <w:rsid w:val="00AF138B"/>
    <w:rsid w:val="00AF141C"/>
    <w:rsid w:val="00AF14AC"/>
    <w:rsid w:val="00AF2158"/>
    <w:rsid w:val="00AF29D5"/>
    <w:rsid w:val="00AF2CB8"/>
    <w:rsid w:val="00AF32CB"/>
    <w:rsid w:val="00AF3340"/>
    <w:rsid w:val="00AF386C"/>
    <w:rsid w:val="00AF3C17"/>
    <w:rsid w:val="00AF43F9"/>
    <w:rsid w:val="00AF447C"/>
    <w:rsid w:val="00AF458D"/>
    <w:rsid w:val="00AF476D"/>
    <w:rsid w:val="00AF481A"/>
    <w:rsid w:val="00AF4994"/>
    <w:rsid w:val="00AF4A19"/>
    <w:rsid w:val="00AF4A30"/>
    <w:rsid w:val="00AF4C4C"/>
    <w:rsid w:val="00AF4E38"/>
    <w:rsid w:val="00AF5684"/>
    <w:rsid w:val="00AF59BD"/>
    <w:rsid w:val="00AF6297"/>
    <w:rsid w:val="00AF6299"/>
    <w:rsid w:val="00AF6359"/>
    <w:rsid w:val="00AF6381"/>
    <w:rsid w:val="00AF665D"/>
    <w:rsid w:val="00AF6725"/>
    <w:rsid w:val="00AF68E2"/>
    <w:rsid w:val="00AF6BDB"/>
    <w:rsid w:val="00B002C1"/>
    <w:rsid w:val="00B005FE"/>
    <w:rsid w:val="00B009CD"/>
    <w:rsid w:val="00B00B90"/>
    <w:rsid w:val="00B00E6B"/>
    <w:rsid w:val="00B01304"/>
    <w:rsid w:val="00B0236E"/>
    <w:rsid w:val="00B02B3A"/>
    <w:rsid w:val="00B032A1"/>
    <w:rsid w:val="00B0349F"/>
    <w:rsid w:val="00B04387"/>
    <w:rsid w:val="00B044CB"/>
    <w:rsid w:val="00B049FE"/>
    <w:rsid w:val="00B04BC3"/>
    <w:rsid w:val="00B050D0"/>
    <w:rsid w:val="00B0518B"/>
    <w:rsid w:val="00B05631"/>
    <w:rsid w:val="00B05A14"/>
    <w:rsid w:val="00B05A48"/>
    <w:rsid w:val="00B05B5B"/>
    <w:rsid w:val="00B05C4C"/>
    <w:rsid w:val="00B05C5D"/>
    <w:rsid w:val="00B05C93"/>
    <w:rsid w:val="00B06008"/>
    <w:rsid w:val="00B06297"/>
    <w:rsid w:val="00B062EF"/>
    <w:rsid w:val="00B06324"/>
    <w:rsid w:val="00B0655E"/>
    <w:rsid w:val="00B066D9"/>
    <w:rsid w:val="00B06A4E"/>
    <w:rsid w:val="00B06F98"/>
    <w:rsid w:val="00B07C2D"/>
    <w:rsid w:val="00B07E6C"/>
    <w:rsid w:val="00B07EF1"/>
    <w:rsid w:val="00B100A4"/>
    <w:rsid w:val="00B1039C"/>
    <w:rsid w:val="00B10B47"/>
    <w:rsid w:val="00B10D2B"/>
    <w:rsid w:val="00B11F8D"/>
    <w:rsid w:val="00B11FA2"/>
    <w:rsid w:val="00B11FDC"/>
    <w:rsid w:val="00B124FD"/>
    <w:rsid w:val="00B12D49"/>
    <w:rsid w:val="00B13929"/>
    <w:rsid w:val="00B13B5F"/>
    <w:rsid w:val="00B13D2F"/>
    <w:rsid w:val="00B141C0"/>
    <w:rsid w:val="00B14CA8"/>
    <w:rsid w:val="00B15078"/>
    <w:rsid w:val="00B15D3B"/>
    <w:rsid w:val="00B15D47"/>
    <w:rsid w:val="00B15DC2"/>
    <w:rsid w:val="00B161B2"/>
    <w:rsid w:val="00B163B1"/>
    <w:rsid w:val="00B163BC"/>
    <w:rsid w:val="00B1692A"/>
    <w:rsid w:val="00B16C6F"/>
    <w:rsid w:val="00B17388"/>
    <w:rsid w:val="00B17C65"/>
    <w:rsid w:val="00B17FD6"/>
    <w:rsid w:val="00B200BF"/>
    <w:rsid w:val="00B20928"/>
    <w:rsid w:val="00B20B0A"/>
    <w:rsid w:val="00B20B80"/>
    <w:rsid w:val="00B20DDA"/>
    <w:rsid w:val="00B21793"/>
    <w:rsid w:val="00B21D91"/>
    <w:rsid w:val="00B221AF"/>
    <w:rsid w:val="00B2244F"/>
    <w:rsid w:val="00B22AF5"/>
    <w:rsid w:val="00B22C38"/>
    <w:rsid w:val="00B22E34"/>
    <w:rsid w:val="00B22F9D"/>
    <w:rsid w:val="00B233A5"/>
    <w:rsid w:val="00B2349C"/>
    <w:rsid w:val="00B2378A"/>
    <w:rsid w:val="00B23A82"/>
    <w:rsid w:val="00B24058"/>
    <w:rsid w:val="00B256B5"/>
    <w:rsid w:val="00B25762"/>
    <w:rsid w:val="00B257D9"/>
    <w:rsid w:val="00B25CE5"/>
    <w:rsid w:val="00B26778"/>
    <w:rsid w:val="00B26EEA"/>
    <w:rsid w:val="00B270AF"/>
    <w:rsid w:val="00B276CC"/>
    <w:rsid w:val="00B277CC"/>
    <w:rsid w:val="00B27FD7"/>
    <w:rsid w:val="00B300FB"/>
    <w:rsid w:val="00B304CA"/>
    <w:rsid w:val="00B30A35"/>
    <w:rsid w:val="00B30CF0"/>
    <w:rsid w:val="00B321BF"/>
    <w:rsid w:val="00B3258F"/>
    <w:rsid w:val="00B325A7"/>
    <w:rsid w:val="00B3286E"/>
    <w:rsid w:val="00B32AD7"/>
    <w:rsid w:val="00B32C24"/>
    <w:rsid w:val="00B33999"/>
    <w:rsid w:val="00B339CA"/>
    <w:rsid w:val="00B33B21"/>
    <w:rsid w:val="00B33B8E"/>
    <w:rsid w:val="00B34C14"/>
    <w:rsid w:val="00B3578E"/>
    <w:rsid w:val="00B35D2E"/>
    <w:rsid w:val="00B35D40"/>
    <w:rsid w:val="00B361F1"/>
    <w:rsid w:val="00B36A7C"/>
    <w:rsid w:val="00B36EB6"/>
    <w:rsid w:val="00B36F7B"/>
    <w:rsid w:val="00B37014"/>
    <w:rsid w:val="00B37025"/>
    <w:rsid w:val="00B3720E"/>
    <w:rsid w:val="00B37BAD"/>
    <w:rsid w:val="00B37CEF"/>
    <w:rsid w:val="00B40341"/>
    <w:rsid w:val="00B403A4"/>
    <w:rsid w:val="00B40437"/>
    <w:rsid w:val="00B407E7"/>
    <w:rsid w:val="00B41182"/>
    <w:rsid w:val="00B41316"/>
    <w:rsid w:val="00B413FD"/>
    <w:rsid w:val="00B4186A"/>
    <w:rsid w:val="00B4199B"/>
    <w:rsid w:val="00B419BF"/>
    <w:rsid w:val="00B42436"/>
    <w:rsid w:val="00B425B6"/>
    <w:rsid w:val="00B43598"/>
    <w:rsid w:val="00B438DA"/>
    <w:rsid w:val="00B43A86"/>
    <w:rsid w:val="00B43C3B"/>
    <w:rsid w:val="00B4422D"/>
    <w:rsid w:val="00B4455D"/>
    <w:rsid w:val="00B44941"/>
    <w:rsid w:val="00B44B69"/>
    <w:rsid w:val="00B45410"/>
    <w:rsid w:val="00B45679"/>
    <w:rsid w:val="00B46076"/>
    <w:rsid w:val="00B46183"/>
    <w:rsid w:val="00B464C2"/>
    <w:rsid w:val="00B4667E"/>
    <w:rsid w:val="00B46C1B"/>
    <w:rsid w:val="00B4712B"/>
    <w:rsid w:val="00B4788F"/>
    <w:rsid w:val="00B47C58"/>
    <w:rsid w:val="00B47FC9"/>
    <w:rsid w:val="00B5035B"/>
    <w:rsid w:val="00B508E2"/>
    <w:rsid w:val="00B50B88"/>
    <w:rsid w:val="00B515C5"/>
    <w:rsid w:val="00B51615"/>
    <w:rsid w:val="00B51886"/>
    <w:rsid w:val="00B51A1D"/>
    <w:rsid w:val="00B51CEC"/>
    <w:rsid w:val="00B520B5"/>
    <w:rsid w:val="00B52134"/>
    <w:rsid w:val="00B5244D"/>
    <w:rsid w:val="00B52522"/>
    <w:rsid w:val="00B52727"/>
    <w:rsid w:val="00B531F2"/>
    <w:rsid w:val="00B53360"/>
    <w:rsid w:val="00B53874"/>
    <w:rsid w:val="00B5409D"/>
    <w:rsid w:val="00B54848"/>
    <w:rsid w:val="00B554D6"/>
    <w:rsid w:val="00B55633"/>
    <w:rsid w:val="00B56163"/>
    <w:rsid w:val="00B567D1"/>
    <w:rsid w:val="00B56F0E"/>
    <w:rsid w:val="00B57743"/>
    <w:rsid w:val="00B57B90"/>
    <w:rsid w:val="00B57F9B"/>
    <w:rsid w:val="00B60105"/>
    <w:rsid w:val="00B60206"/>
    <w:rsid w:val="00B6061D"/>
    <w:rsid w:val="00B60705"/>
    <w:rsid w:val="00B60753"/>
    <w:rsid w:val="00B60AC7"/>
    <w:rsid w:val="00B60B39"/>
    <w:rsid w:val="00B60F6E"/>
    <w:rsid w:val="00B6193F"/>
    <w:rsid w:val="00B6261D"/>
    <w:rsid w:val="00B62658"/>
    <w:rsid w:val="00B63427"/>
    <w:rsid w:val="00B63D7B"/>
    <w:rsid w:val="00B63E19"/>
    <w:rsid w:val="00B64BC6"/>
    <w:rsid w:val="00B64CCF"/>
    <w:rsid w:val="00B64D32"/>
    <w:rsid w:val="00B64E64"/>
    <w:rsid w:val="00B64F29"/>
    <w:rsid w:val="00B651F2"/>
    <w:rsid w:val="00B65852"/>
    <w:rsid w:val="00B65C85"/>
    <w:rsid w:val="00B661F8"/>
    <w:rsid w:val="00B66458"/>
    <w:rsid w:val="00B6646E"/>
    <w:rsid w:val="00B6709D"/>
    <w:rsid w:val="00B67113"/>
    <w:rsid w:val="00B67B23"/>
    <w:rsid w:val="00B67EF0"/>
    <w:rsid w:val="00B70A2C"/>
    <w:rsid w:val="00B71036"/>
    <w:rsid w:val="00B712D5"/>
    <w:rsid w:val="00B71541"/>
    <w:rsid w:val="00B71911"/>
    <w:rsid w:val="00B71AFA"/>
    <w:rsid w:val="00B71DC4"/>
    <w:rsid w:val="00B72546"/>
    <w:rsid w:val="00B728CD"/>
    <w:rsid w:val="00B72962"/>
    <w:rsid w:val="00B729D4"/>
    <w:rsid w:val="00B72B4C"/>
    <w:rsid w:val="00B7315F"/>
    <w:rsid w:val="00B731DE"/>
    <w:rsid w:val="00B7348F"/>
    <w:rsid w:val="00B73AE5"/>
    <w:rsid w:val="00B7475C"/>
    <w:rsid w:val="00B74FD0"/>
    <w:rsid w:val="00B760BD"/>
    <w:rsid w:val="00B7618C"/>
    <w:rsid w:val="00B76F86"/>
    <w:rsid w:val="00B7754E"/>
    <w:rsid w:val="00B81668"/>
    <w:rsid w:val="00B81805"/>
    <w:rsid w:val="00B81A46"/>
    <w:rsid w:val="00B81A99"/>
    <w:rsid w:val="00B82456"/>
    <w:rsid w:val="00B825AA"/>
    <w:rsid w:val="00B8269B"/>
    <w:rsid w:val="00B837B6"/>
    <w:rsid w:val="00B84E66"/>
    <w:rsid w:val="00B8588C"/>
    <w:rsid w:val="00B85A19"/>
    <w:rsid w:val="00B862FF"/>
    <w:rsid w:val="00B866A8"/>
    <w:rsid w:val="00B86970"/>
    <w:rsid w:val="00B86B39"/>
    <w:rsid w:val="00B87EE2"/>
    <w:rsid w:val="00B90085"/>
    <w:rsid w:val="00B903E3"/>
    <w:rsid w:val="00B90738"/>
    <w:rsid w:val="00B90E48"/>
    <w:rsid w:val="00B910AA"/>
    <w:rsid w:val="00B9124F"/>
    <w:rsid w:val="00B914A1"/>
    <w:rsid w:val="00B91D3B"/>
    <w:rsid w:val="00B92177"/>
    <w:rsid w:val="00B923FC"/>
    <w:rsid w:val="00B9244A"/>
    <w:rsid w:val="00B929BB"/>
    <w:rsid w:val="00B9320A"/>
    <w:rsid w:val="00B93258"/>
    <w:rsid w:val="00B93376"/>
    <w:rsid w:val="00B93379"/>
    <w:rsid w:val="00B936C4"/>
    <w:rsid w:val="00B938EE"/>
    <w:rsid w:val="00B93A7F"/>
    <w:rsid w:val="00B94177"/>
    <w:rsid w:val="00B942F8"/>
    <w:rsid w:val="00B9495E"/>
    <w:rsid w:val="00B94B70"/>
    <w:rsid w:val="00B94F54"/>
    <w:rsid w:val="00B95035"/>
    <w:rsid w:val="00B95084"/>
    <w:rsid w:val="00B955C8"/>
    <w:rsid w:val="00B956B7"/>
    <w:rsid w:val="00B95ADD"/>
    <w:rsid w:val="00B95C66"/>
    <w:rsid w:val="00B960CC"/>
    <w:rsid w:val="00B96163"/>
    <w:rsid w:val="00B9627B"/>
    <w:rsid w:val="00B963C9"/>
    <w:rsid w:val="00B966C6"/>
    <w:rsid w:val="00B96C1B"/>
    <w:rsid w:val="00B96E1E"/>
    <w:rsid w:val="00B979D2"/>
    <w:rsid w:val="00BA0012"/>
    <w:rsid w:val="00BA0810"/>
    <w:rsid w:val="00BA0B8A"/>
    <w:rsid w:val="00BA15DC"/>
    <w:rsid w:val="00BA2253"/>
    <w:rsid w:val="00BA2B83"/>
    <w:rsid w:val="00BA2B8E"/>
    <w:rsid w:val="00BA2F37"/>
    <w:rsid w:val="00BA3599"/>
    <w:rsid w:val="00BA4816"/>
    <w:rsid w:val="00BA49BD"/>
    <w:rsid w:val="00BA4F59"/>
    <w:rsid w:val="00BA55B1"/>
    <w:rsid w:val="00BA58DD"/>
    <w:rsid w:val="00BA5FBA"/>
    <w:rsid w:val="00BA70D2"/>
    <w:rsid w:val="00BA73D9"/>
    <w:rsid w:val="00BA7992"/>
    <w:rsid w:val="00BA7BD6"/>
    <w:rsid w:val="00BB0F9C"/>
    <w:rsid w:val="00BB1645"/>
    <w:rsid w:val="00BB17A0"/>
    <w:rsid w:val="00BB1BA6"/>
    <w:rsid w:val="00BB2243"/>
    <w:rsid w:val="00BB2481"/>
    <w:rsid w:val="00BB3034"/>
    <w:rsid w:val="00BB36A1"/>
    <w:rsid w:val="00BB36DC"/>
    <w:rsid w:val="00BB3910"/>
    <w:rsid w:val="00BB435F"/>
    <w:rsid w:val="00BB4900"/>
    <w:rsid w:val="00BB4B25"/>
    <w:rsid w:val="00BB4B27"/>
    <w:rsid w:val="00BB551E"/>
    <w:rsid w:val="00BB56BF"/>
    <w:rsid w:val="00BB56D2"/>
    <w:rsid w:val="00BB5DA5"/>
    <w:rsid w:val="00BB60FD"/>
    <w:rsid w:val="00BB7512"/>
    <w:rsid w:val="00BB762A"/>
    <w:rsid w:val="00BB7AB9"/>
    <w:rsid w:val="00BB7BD2"/>
    <w:rsid w:val="00BB7C2B"/>
    <w:rsid w:val="00BB7EBE"/>
    <w:rsid w:val="00BC0905"/>
    <w:rsid w:val="00BC1725"/>
    <w:rsid w:val="00BC1C46"/>
    <w:rsid w:val="00BC23F8"/>
    <w:rsid w:val="00BC253D"/>
    <w:rsid w:val="00BC27A0"/>
    <w:rsid w:val="00BC2894"/>
    <w:rsid w:val="00BC2927"/>
    <w:rsid w:val="00BC296E"/>
    <w:rsid w:val="00BC2E8F"/>
    <w:rsid w:val="00BC3425"/>
    <w:rsid w:val="00BC3B52"/>
    <w:rsid w:val="00BC42BE"/>
    <w:rsid w:val="00BC4500"/>
    <w:rsid w:val="00BC4536"/>
    <w:rsid w:val="00BC4A7E"/>
    <w:rsid w:val="00BC4C22"/>
    <w:rsid w:val="00BC5360"/>
    <w:rsid w:val="00BC5539"/>
    <w:rsid w:val="00BC55CE"/>
    <w:rsid w:val="00BC5C38"/>
    <w:rsid w:val="00BC5D70"/>
    <w:rsid w:val="00BC64A1"/>
    <w:rsid w:val="00BC65B1"/>
    <w:rsid w:val="00BC6E73"/>
    <w:rsid w:val="00BC6F4F"/>
    <w:rsid w:val="00BC71B0"/>
    <w:rsid w:val="00BC75A4"/>
    <w:rsid w:val="00BD0332"/>
    <w:rsid w:val="00BD070F"/>
    <w:rsid w:val="00BD0DE0"/>
    <w:rsid w:val="00BD0EF5"/>
    <w:rsid w:val="00BD106E"/>
    <w:rsid w:val="00BD1743"/>
    <w:rsid w:val="00BD18C4"/>
    <w:rsid w:val="00BD1F0F"/>
    <w:rsid w:val="00BD22E3"/>
    <w:rsid w:val="00BD25D1"/>
    <w:rsid w:val="00BD260D"/>
    <w:rsid w:val="00BD2B8A"/>
    <w:rsid w:val="00BD2B8E"/>
    <w:rsid w:val="00BD2D90"/>
    <w:rsid w:val="00BD2ECF"/>
    <w:rsid w:val="00BD3F83"/>
    <w:rsid w:val="00BD45C4"/>
    <w:rsid w:val="00BD4624"/>
    <w:rsid w:val="00BD4D4F"/>
    <w:rsid w:val="00BD4DBA"/>
    <w:rsid w:val="00BD4EF3"/>
    <w:rsid w:val="00BD4F76"/>
    <w:rsid w:val="00BD4F97"/>
    <w:rsid w:val="00BD505C"/>
    <w:rsid w:val="00BD5149"/>
    <w:rsid w:val="00BD578B"/>
    <w:rsid w:val="00BD59EE"/>
    <w:rsid w:val="00BD5EF3"/>
    <w:rsid w:val="00BD6850"/>
    <w:rsid w:val="00BD7CAF"/>
    <w:rsid w:val="00BE013E"/>
    <w:rsid w:val="00BE0EC3"/>
    <w:rsid w:val="00BE11B3"/>
    <w:rsid w:val="00BE13F6"/>
    <w:rsid w:val="00BE19C1"/>
    <w:rsid w:val="00BE1A6D"/>
    <w:rsid w:val="00BE1D2F"/>
    <w:rsid w:val="00BE2197"/>
    <w:rsid w:val="00BE2208"/>
    <w:rsid w:val="00BE231D"/>
    <w:rsid w:val="00BE2699"/>
    <w:rsid w:val="00BE2881"/>
    <w:rsid w:val="00BE28E8"/>
    <w:rsid w:val="00BE2AB4"/>
    <w:rsid w:val="00BE32E5"/>
    <w:rsid w:val="00BE37CD"/>
    <w:rsid w:val="00BE437E"/>
    <w:rsid w:val="00BE44C6"/>
    <w:rsid w:val="00BE53BB"/>
    <w:rsid w:val="00BE5B15"/>
    <w:rsid w:val="00BE6B34"/>
    <w:rsid w:val="00BE6B70"/>
    <w:rsid w:val="00BE6E88"/>
    <w:rsid w:val="00BE71BA"/>
    <w:rsid w:val="00BF020F"/>
    <w:rsid w:val="00BF0355"/>
    <w:rsid w:val="00BF044E"/>
    <w:rsid w:val="00BF0B1D"/>
    <w:rsid w:val="00BF0B71"/>
    <w:rsid w:val="00BF10DB"/>
    <w:rsid w:val="00BF1128"/>
    <w:rsid w:val="00BF1B28"/>
    <w:rsid w:val="00BF286B"/>
    <w:rsid w:val="00BF2A0F"/>
    <w:rsid w:val="00BF2DE6"/>
    <w:rsid w:val="00BF355D"/>
    <w:rsid w:val="00BF3929"/>
    <w:rsid w:val="00BF3B3D"/>
    <w:rsid w:val="00BF4598"/>
    <w:rsid w:val="00BF484E"/>
    <w:rsid w:val="00BF48B3"/>
    <w:rsid w:val="00BF4CE2"/>
    <w:rsid w:val="00BF4E8C"/>
    <w:rsid w:val="00BF4FDC"/>
    <w:rsid w:val="00BF5013"/>
    <w:rsid w:val="00BF5063"/>
    <w:rsid w:val="00BF55FE"/>
    <w:rsid w:val="00BF6203"/>
    <w:rsid w:val="00BF6692"/>
    <w:rsid w:val="00BF66B4"/>
    <w:rsid w:val="00BF681E"/>
    <w:rsid w:val="00BF6E22"/>
    <w:rsid w:val="00BF7985"/>
    <w:rsid w:val="00C0024B"/>
    <w:rsid w:val="00C0072D"/>
    <w:rsid w:val="00C00790"/>
    <w:rsid w:val="00C00AB7"/>
    <w:rsid w:val="00C00D20"/>
    <w:rsid w:val="00C00EA3"/>
    <w:rsid w:val="00C01239"/>
    <w:rsid w:val="00C01560"/>
    <w:rsid w:val="00C018A5"/>
    <w:rsid w:val="00C01B88"/>
    <w:rsid w:val="00C02263"/>
    <w:rsid w:val="00C0229E"/>
    <w:rsid w:val="00C02959"/>
    <w:rsid w:val="00C031F7"/>
    <w:rsid w:val="00C032D5"/>
    <w:rsid w:val="00C03AB4"/>
    <w:rsid w:val="00C04259"/>
    <w:rsid w:val="00C0452D"/>
    <w:rsid w:val="00C0499B"/>
    <w:rsid w:val="00C050B1"/>
    <w:rsid w:val="00C05306"/>
    <w:rsid w:val="00C053A3"/>
    <w:rsid w:val="00C056EF"/>
    <w:rsid w:val="00C05F16"/>
    <w:rsid w:val="00C06945"/>
    <w:rsid w:val="00C0737C"/>
    <w:rsid w:val="00C07419"/>
    <w:rsid w:val="00C0786E"/>
    <w:rsid w:val="00C079A6"/>
    <w:rsid w:val="00C07ADE"/>
    <w:rsid w:val="00C07F2E"/>
    <w:rsid w:val="00C102D8"/>
    <w:rsid w:val="00C1056B"/>
    <w:rsid w:val="00C109DA"/>
    <w:rsid w:val="00C11DD7"/>
    <w:rsid w:val="00C11EC7"/>
    <w:rsid w:val="00C120B0"/>
    <w:rsid w:val="00C122E0"/>
    <w:rsid w:val="00C12342"/>
    <w:rsid w:val="00C1275B"/>
    <w:rsid w:val="00C12BCF"/>
    <w:rsid w:val="00C1300B"/>
    <w:rsid w:val="00C14470"/>
    <w:rsid w:val="00C1489A"/>
    <w:rsid w:val="00C14CD1"/>
    <w:rsid w:val="00C153A1"/>
    <w:rsid w:val="00C1577B"/>
    <w:rsid w:val="00C15A8A"/>
    <w:rsid w:val="00C167F2"/>
    <w:rsid w:val="00C16D57"/>
    <w:rsid w:val="00C17B68"/>
    <w:rsid w:val="00C200DB"/>
    <w:rsid w:val="00C20262"/>
    <w:rsid w:val="00C203D2"/>
    <w:rsid w:val="00C20B7D"/>
    <w:rsid w:val="00C21CDA"/>
    <w:rsid w:val="00C22AE7"/>
    <w:rsid w:val="00C22DB1"/>
    <w:rsid w:val="00C22E0C"/>
    <w:rsid w:val="00C2302D"/>
    <w:rsid w:val="00C23C5F"/>
    <w:rsid w:val="00C23E61"/>
    <w:rsid w:val="00C24110"/>
    <w:rsid w:val="00C242A3"/>
    <w:rsid w:val="00C24507"/>
    <w:rsid w:val="00C2501F"/>
    <w:rsid w:val="00C25130"/>
    <w:rsid w:val="00C25214"/>
    <w:rsid w:val="00C255FD"/>
    <w:rsid w:val="00C25F23"/>
    <w:rsid w:val="00C26E76"/>
    <w:rsid w:val="00C26EBB"/>
    <w:rsid w:val="00C27045"/>
    <w:rsid w:val="00C277DD"/>
    <w:rsid w:val="00C2791D"/>
    <w:rsid w:val="00C30BE0"/>
    <w:rsid w:val="00C31083"/>
    <w:rsid w:val="00C318EC"/>
    <w:rsid w:val="00C31BAC"/>
    <w:rsid w:val="00C31E1A"/>
    <w:rsid w:val="00C322C0"/>
    <w:rsid w:val="00C322E6"/>
    <w:rsid w:val="00C3268E"/>
    <w:rsid w:val="00C32C61"/>
    <w:rsid w:val="00C33E12"/>
    <w:rsid w:val="00C33E54"/>
    <w:rsid w:val="00C3405E"/>
    <w:rsid w:val="00C34293"/>
    <w:rsid w:val="00C343E8"/>
    <w:rsid w:val="00C344BD"/>
    <w:rsid w:val="00C34858"/>
    <w:rsid w:val="00C34B49"/>
    <w:rsid w:val="00C35027"/>
    <w:rsid w:val="00C35668"/>
    <w:rsid w:val="00C35782"/>
    <w:rsid w:val="00C35DFC"/>
    <w:rsid w:val="00C36964"/>
    <w:rsid w:val="00C36EAD"/>
    <w:rsid w:val="00C3700B"/>
    <w:rsid w:val="00C370F1"/>
    <w:rsid w:val="00C3768B"/>
    <w:rsid w:val="00C37D71"/>
    <w:rsid w:val="00C37E9D"/>
    <w:rsid w:val="00C4028B"/>
    <w:rsid w:val="00C406A2"/>
    <w:rsid w:val="00C40D6B"/>
    <w:rsid w:val="00C40F84"/>
    <w:rsid w:val="00C41829"/>
    <w:rsid w:val="00C41B87"/>
    <w:rsid w:val="00C42C00"/>
    <w:rsid w:val="00C42CF2"/>
    <w:rsid w:val="00C42D7B"/>
    <w:rsid w:val="00C42D85"/>
    <w:rsid w:val="00C43664"/>
    <w:rsid w:val="00C43744"/>
    <w:rsid w:val="00C4405D"/>
    <w:rsid w:val="00C44C79"/>
    <w:rsid w:val="00C44EEF"/>
    <w:rsid w:val="00C45C41"/>
    <w:rsid w:val="00C45C9C"/>
    <w:rsid w:val="00C46042"/>
    <w:rsid w:val="00C4692E"/>
    <w:rsid w:val="00C46E9C"/>
    <w:rsid w:val="00C477CC"/>
    <w:rsid w:val="00C4798D"/>
    <w:rsid w:val="00C479CC"/>
    <w:rsid w:val="00C50231"/>
    <w:rsid w:val="00C502FA"/>
    <w:rsid w:val="00C503AA"/>
    <w:rsid w:val="00C5085E"/>
    <w:rsid w:val="00C50CDB"/>
    <w:rsid w:val="00C50E12"/>
    <w:rsid w:val="00C50F84"/>
    <w:rsid w:val="00C51107"/>
    <w:rsid w:val="00C515C0"/>
    <w:rsid w:val="00C517EB"/>
    <w:rsid w:val="00C51950"/>
    <w:rsid w:val="00C51D2B"/>
    <w:rsid w:val="00C52CB4"/>
    <w:rsid w:val="00C52D9D"/>
    <w:rsid w:val="00C53A9C"/>
    <w:rsid w:val="00C53E54"/>
    <w:rsid w:val="00C53F53"/>
    <w:rsid w:val="00C5434D"/>
    <w:rsid w:val="00C552E7"/>
    <w:rsid w:val="00C554D9"/>
    <w:rsid w:val="00C56228"/>
    <w:rsid w:val="00C566C5"/>
    <w:rsid w:val="00C5684E"/>
    <w:rsid w:val="00C569E8"/>
    <w:rsid w:val="00C5709E"/>
    <w:rsid w:val="00C5710A"/>
    <w:rsid w:val="00C571D9"/>
    <w:rsid w:val="00C572E7"/>
    <w:rsid w:val="00C5745D"/>
    <w:rsid w:val="00C5766B"/>
    <w:rsid w:val="00C577EE"/>
    <w:rsid w:val="00C57CD4"/>
    <w:rsid w:val="00C606F4"/>
    <w:rsid w:val="00C60EF0"/>
    <w:rsid w:val="00C614C4"/>
    <w:rsid w:val="00C6293C"/>
    <w:rsid w:val="00C63387"/>
    <w:rsid w:val="00C634A4"/>
    <w:rsid w:val="00C63687"/>
    <w:rsid w:val="00C638A6"/>
    <w:rsid w:val="00C63A56"/>
    <w:rsid w:val="00C63A76"/>
    <w:rsid w:val="00C63B36"/>
    <w:rsid w:val="00C64E2E"/>
    <w:rsid w:val="00C6536B"/>
    <w:rsid w:val="00C6594C"/>
    <w:rsid w:val="00C65B0A"/>
    <w:rsid w:val="00C65B38"/>
    <w:rsid w:val="00C65E0D"/>
    <w:rsid w:val="00C661E5"/>
    <w:rsid w:val="00C66D01"/>
    <w:rsid w:val="00C66F7A"/>
    <w:rsid w:val="00C674B8"/>
    <w:rsid w:val="00C67D04"/>
    <w:rsid w:val="00C67D22"/>
    <w:rsid w:val="00C70046"/>
    <w:rsid w:val="00C703A0"/>
    <w:rsid w:val="00C706E3"/>
    <w:rsid w:val="00C71061"/>
    <w:rsid w:val="00C71930"/>
    <w:rsid w:val="00C7215D"/>
    <w:rsid w:val="00C7301B"/>
    <w:rsid w:val="00C73EFF"/>
    <w:rsid w:val="00C74358"/>
    <w:rsid w:val="00C74431"/>
    <w:rsid w:val="00C744B3"/>
    <w:rsid w:val="00C748A3"/>
    <w:rsid w:val="00C74C99"/>
    <w:rsid w:val="00C75D2B"/>
    <w:rsid w:val="00C779BA"/>
    <w:rsid w:val="00C779FC"/>
    <w:rsid w:val="00C77CCE"/>
    <w:rsid w:val="00C77EF9"/>
    <w:rsid w:val="00C77FD0"/>
    <w:rsid w:val="00C80752"/>
    <w:rsid w:val="00C807B8"/>
    <w:rsid w:val="00C80A02"/>
    <w:rsid w:val="00C812EC"/>
    <w:rsid w:val="00C81D7D"/>
    <w:rsid w:val="00C82001"/>
    <w:rsid w:val="00C8286E"/>
    <w:rsid w:val="00C82C02"/>
    <w:rsid w:val="00C83575"/>
    <w:rsid w:val="00C84C6A"/>
    <w:rsid w:val="00C84D3A"/>
    <w:rsid w:val="00C850F1"/>
    <w:rsid w:val="00C852D3"/>
    <w:rsid w:val="00C8545E"/>
    <w:rsid w:val="00C85DF7"/>
    <w:rsid w:val="00C85E0E"/>
    <w:rsid w:val="00C85F0C"/>
    <w:rsid w:val="00C85F89"/>
    <w:rsid w:val="00C85FEC"/>
    <w:rsid w:val="00C86739"/>
    <w:rsid w:val="00C874C6"/>
    <w:rsid w:val="00C9023D"/>
    <w:rsid w:val="00C90C75"/>
    <w:rsid w:val="00C9129C"/>
    <w:rsid w:val="00C912F5"/>
    <w:rsid w:val="00C91856"/>
    <w:rsid w:val="00C91E05"/>
    <w:rsid w:val="00C9231B"/>
    <w:rsid w:val="00C92655"/>
    <w:rsid w:val="00C929DC"/>
    <w:rsid w:val="00C93BCC"/>
    <w:rsid w:val="00C93CB2"/>
    <w:rsid w:val="00C9510B"/>
    <w:rsid w:val="00C96304"/>
    <w:rsid w:val="00C9665B"/>
    <w:rsid w:val="00C968A8"/>
    <w:rsid w:val="00C96B8B"/>
    <w:rsid w:val="00C96EAF"/>
    <w:rsid w:val="00C97204"/>
    <w:rsid w:val="00C975B1"/>
    <w:rsid w:val="00C977E1"/>
    <w:rsid w:val="00C97E2A"/>
    <w:rsid w:val="00CA0274"/>
    <w:rsid w:val="00CA0B21"/>
    <w:rsid w:val="00CA0EEE"/>
    <w:rsid w:val="00CA1BF4"/>
    <w:rsid w:val="00CA1F75"/>
    <w:rsid w:val="00CA208D"/>
    <w:rsid w:val="00CA20BC"/>
    <w:rsid w:val="00CA20C0"/>
    <w:rsid w:val="00CA21F8"/>
    <w:rsid w:val="00CA2C89"/>
    <w:rsid w:val="00CA33E1"/>
    <w:rsid w:val="00CA3437"/>
    <w:rsid w:val="00CA3677"/>
    <w:rsid w:val="00CA38F0"/>
    <w:rsid w:val="00CA4174"/>
    <w:rsid w:val="00CA562A"/>
    <w:rsid w:val="00CA584B"/>
    <w:rsid w:val="00CA58D9"/>
    <w:rsid w:val="00CA607A"/>
    <w:rsid w:val="00CA6703"/>
    <w:rsid w:val="00CA687D"/>
    <w:rsid w:val="00CA6D8E"/>
    <w:rsid w:val="00CA71BB"/>
    <w:rsid w:val="00CA733D"/>
    <w:rsid w:val="00CA7592"/>
    <w:rsid w:val="00CA7657"/>
    <w:rsid w:val="00CB0206"/>
    <w:rsid w:val="00CB024B"/>
    <w:rsid w:val="00CB028E"/>
    <w:rsid w:val="00CB0A9A"/>
    <w:rsid w:val="00CB0CB9"/>
    <w:rsid w:val="00CB11BD"/>
    <w:rsid w:val="00CB16EC"/>
    <w:rsid w:val="00CB18FE"/>
    <w:rsid w:val="00CB2905"/>
    <w:rsid w:val="00CB3347"/>
    <w:rsid w:val="00CB361B"/>
    <w:rsid w:val="00CB3621"/>
    <w:rsid w:val="00CB371A"/>
    <w:rsid w:val="00CB4057"/>
    <w:rsid w:val="00CB441F"/>
    <w:rsid w:val="00CB48B4"/>
    <w:rsid w:val="00CB4965"/>
    <w:rsid w:val="00CB5027"/>
    <w:rsid w:val="00CB5580"/>
    <w:rsid w:val="00CB58E6"/>
    <w:rsid w:val="00CB5A26"/>
    <w:rsid w:val="00CB626E"/>
    <w:rsid w:val="00CB659A"/>
    <w:rsid w:val="00CB7184"/>
    <w:rsid w:val="00CB739D"/>
    <w:rsid w:val="00CB7B23"/>
    <w:rsid w:val="00CC0523"/>
    <w:rsid w:val="00CC0536"/>
    <w:rsid w:val="00CC095E"/>
    <w:rsid w:val="00CC0AB0"/>
    <w:rsid w:val="00CC2A54"/>
    <w:rsid w:val="00CC2DB9"/>
    <w:rsid w:val="00CC3407"/>
    <w:rsid w:val="00CC360C"/>
    <w:rsid w:val="00CC369A"/>
    <w:rsid w:val="00CC3ECB"/>
    <w:rsid w:val="00CC40B7"/>
    <w:rsid w:val="00CC490A"/>
    <w:rsid w:val="00CC505E"/>
    <w:rsid w:val="00CC51E9"/>
    <w:rsid w:val="00CC54CC"/>
    <w:rsid w:val="00CC54FC"/>
    <w:rsid w:val="00CC65D6"/>
    <w:rsid w:val="00CC6888"/>
    <w:rsid w:val="00CC6BD2"/>
    <w:rsid w:val="00CC6D8C"/>
    <w:rsid w:val="00CC6DED"/>
    <w:rsid w:val="00CC78BA"/>
    <w:rsid w:val="00CC7DF2"/>
    <w:rsid w:val="00CC7EF3"/>
    <w:rsid w:val="00CD0164"/>
    <w:rsid w:val="00CD01A9"/>
    <w:rsid w:val="00CD0D1A"/>
    <w:rsid w:val="00CD147F"/>
    <w:rsid w:val="00CD2364"/>
    <w:rsid w:val="00CD2799"/>
    <w:rsid w:val="00CD3426"/>
    <w:rsid w:val="00CD38F1"/>
    <w:rsid w:val="00CD398A"/>
    <w:rsid w:val="00CD3D02"/>
    <w:rsid w:val="00CD3E96"/>
    <w:rsid w:val="00CD4539"/>
    <w:rsid w:val="00CD4872"/>
    <w:rsid w:val="00CD4951"/>
    <w:rsid w:val="00CD4A5F"/>
    <w:rsid w:val="00CD5A41"/>
    <w:rsid w:val="00CD5C50"/>
    <w:rsid w:val="00CD5CE7"/>
    <w:rsid w:val="00CD5DE3"/>
    <w:rsid w:val="00CD64C1"/>
    <w:rsid w:val="00CD6801"/>
    <w:rsid w:val="00CD6E19"/>
    <w:rsid w:val="00CD7296"/>
    <w:rsid w:val="00CD75B4"/>
    <w:rsid w:val="00CD76E4"/>
    <w:rsid w:val="00CE0006"/>
    <w:rsid w:val="00CE033B"/>
    <w:rsid w:val="00CE0D6E"/>
    <w:rsid w:val="00CE162F"/>
    <w:rsid w:val="00CE1986"/>
    <w:rsid w:val="00CE1B09"/>
    <w:rsid w:val="00CE1BC2"/>
    <w:rsid w:val="00CE1F6E"/>
    <w:rsid w:val="00CE23DD"/>
    <w:rsid w:val="00CE34A1"/>
    <w:rsid w:val="00CE3827"/>
    <w:rsid w:val="00CE4854"/>
    <w:rsid w:val="00CE4A08"/>
    <w:rsid w:val="00CE4E5A"/>
    <w:rsid w:val="00CE5B1A"/>
    <w:rsid w:val="00CE5E0A"/>
    <w:rsid w:val="00CE601F"/>
    <w:rsid w:val="00CE69CA"/>
    <w:rsid w:val="00CE6FCB"/>
    <w:rsid w:val="00CE72AD"/>
    <w:rsid w:val="00CE7592"/>
    <w:rsid w:val="00CE7870"/>
    <w:rsid w:val="00CE7AA2"/>
    <w:rsid w:val="00CE7F48"/>
    <w:rsid w:val="00CF0765"/>
    <w:rsid w:val="00CF0A0A"/>
    <w:rsid w:val="00CF0FA3"/>
    <w:rsid w:val="00CF158D"/>
    <w:rsid w:val="00CF1728"/>
    <w:rsid w:val="00CF1FC3"/>
    <w:rsid w:val="00CF2FC9"/>
    <w:rsid w:val="00CF35D7"/>
    <w:rsid w:val="00CF4043"/>
    <w:rsid w:val="00CF4281"/>
    <w:rsid w:val="00CF4DB4"/>
    <w:rsid w:val="00CF5E64"/>
    <w:rsid w:val="00CF60E1"/>
    <w:rsid w:val="00CF6336"/>
    <w:rsid w:val="00CF6759"/>
    <w:rsid w:val="00CF6977"/>
    <w:rsid w:val="00CF6BD3"/>
    <w:rsid w:val="00CF6F66"/>
    <w:rsid w:val="00CF73F4"/>
    <w:rsid w:val="00CF7AB8"/>
    <w:rsid w:val="00D0073F"/>
    <w:rsid w:val="00D00EEE"/>
    <w:rsid w:val="00D00FE6"/>
    <w:rsid w:val="00D0121A"/>
    <w:rsid w:val="00D0126A"/>
    <w:rsid w:val="00D01755"/>
    <w:rsid w:val="00D01A98"/>
    <w:rsid w:val="00D01C9D"/>
    <w:rsid w:val="00D01F03"/>
    <w:rsid w:val="00D021D2"/>
    <w:rsid w:val="00D0249A"/>
    <w:rsid w:val="00D02AF2"/>
    <w:rsid w:val="00D02F9C"/>
    <w:rsid w:val="00D035E9"/>
    <w:rsid w:val="00D036C4"/>
    <w:rsid w:val="00D040E4"/>
    <w:rsid w:val="00D04163"/>
    <w:rsid w:val="00D043CC"/>
    <w:rsid w:val="00D04A7D"/>
    <w:rsid w:val="00D04E7A"/>
    <w:rsid w:val="00D05367"/>
    <w:rsid w:val="00D05551"/>
    <w:rsid w:val="00D05688"/>
    <w:rsid w:val="00D056A5"/>
    <w:rsid w:val="00D05C11"/>
    <w:rsid w:val="00D065CA"/>
    <w:rsid w:val="00D068C5"/>
    <w:rsid w:val="00D06B86"/>
    <w:rsid w:val="00D06C3C"/>
    <w:rsid w:val="00D06DF5"/>
    <w:rsid w:val="00D0782F"/>
    <w:rsid w:val="00D079A8"/>
    <w:rsid w:val="00D07D10"/>
    <w:rsid w:val="00D106A7"/>
    <w:rsid w:val="00D1081C"/>
    <w:rsid w:val="00D10DB1"/>
    <w:rsid w:val="00D112CC"/>
    <w:rsid w:val="00D11F9C"/>
    <w:rsid w:val="00D12428"/>
    <w:rsid w:val="00D12CAF"/>
    <w:rsid w:val="00D12D51"/>
    <w:rsid w:val="00D12E7A"/>
    <w:rsid w:val="00D135B5"/>
    <w:rsid w:val="00D136BA"/>
    <w:rsid w:val="00D13FA4"/>
    <w:rsid w:val="00D1422A"/>
    <w:rsid w:val="00D15194"/>
    <w:rsid w:val="00D15306"/>
    <w:rsid w:val="00D15565"/>
    <w:rsid w:val="00D15A96"/>
    <w:rsid w:val="00D15B49"/>
    <w:rsid w:val="00D1639D"/>
    <w:rsid w:val="00D179D0"/>
    <w:rsid w:val="00D179E6"/>
    <w:rsid w:val="00D17D60"/>
    <w:rsid w:val="00D17F56"/>
    <w:rsid w:val="00D20341"/>
    <w:rsid w:val="00D203D0"/>
    <w:rsid w:val="00D20C7B"/>
    <w:rsid w:val="00D20E54"/>
    <w:rsid w:val="00D20FD6"/>
    <w:rsid w:val="00D214B1"/>
    <w:rsid w:val="00D214CA"/>
    <w:rsid w:val="00D218E5"/>
    <w:rsid w:val="00D21E10"/>
    <w:rsid w:val="00D220AD"/>
    <w:rsid w:val="00D220D6"/>
    <w:rsid w:val="00D22338"/>
    <w:rsid w:val="00D22429"/>
    <w:rsid w:val="00D228B7"/>
    <w:rsid w:val="00D232BB"/>
    <w:rsid w:val="00D2334D"/>
    <w:rsid w:val="00D23935"/>
    <w:rsid w:val="00D23BA7"/>
    <w:rsid w:val="00D23CC5"/>
    <w:rsid w:val="00D2467A"/>
    <w:rsid w:val="00D24782"/>
    <w:rsid w:val="00D24F2F"/>
    <w:rsid w:val="00D25102"/>
    <w:rsid w:val="00D2529F"/>
    <w:rsid w:val="00D2535E"/>
    <w:rsid w:val="00D25674"/>
    <w:rsid w:val="00D256B3"/>
    <w:rsid w:val="00D25DA8"/>
    <w:rsid w:val="00D2609E"/>
    <w:rsid w:val="00D26122"/>
    <w:rsid w:val="00D2658C"/>
    <w:rsid w:val="00D2713D"/>
    <w:rsid w:val="00D27939"/>
    <w:rsid w:val="00D30071"/>
    <w:rsid w:val="00D30121"/>
    <w:rsid w:val="00D30294"/>
    <w:rsid w:val="00D3115A"/>
    <w:rsid w:val="00D31350"/>
    <w:rsid w:val="00D3142B"/>
    <w:rsid w:val="00D31F8A"/>
    <w:rsid w:val="00D32AA1"/>
    <w:rsid w:val="00D32AFB"/>
    <w:rsid w:val="00D330EE"/>
    <w:rsid w:val="00D336E7"/>
    <w:rsid w:val="00D33B5A"/>
    <w:rsid w:val="00D33CB0"/>
    <w:rsid w:val="00D33FE9"/>
    <w:rsid w:val="00D3483C"/>
    <w:rsid w:val="00D351CF"/>
    <w:rsid w:val="00D35440"/>
    <w:rsid w:val="00D35785"/>
    <w:rsid w:val="00D35809"/>
    <w:rsid w:val="00D35B01"/>
    <w:rsid w:val="00D35EEE"/>
    <w:rsid w:val="00D35EF7"/>
    <w:rsid w:val="00D360D4"/>
    <w:rsid w:val="00D361A3"/>
    <w:rsid w:val="00D36B7A"/>
    <w:rsid w:val="00D37669"/>
    <w:rsid w:val="00D37861"/>
    <w:rsid w:val="00D37918"/>
    <w:rsid w:val="00D4147C"/>
    <w:rsid w:val="00D418CC"/>
    <w:rsid w:val="00D418EC"/>
    <w:rsid w:val="00D41BAA"/>
    <w:rsid w:val="00D420AA"/>
    <w:rsid w:val="00D42467"/>
    <w:rsid w:val="00D44B50"/>
    <w:rsid w:val="00D44E57"/>
    <w:rsid w:val="00D45229"/>
    <w:rsid w:val="00D4549C"/>
    <w:rsid w:val="00D45AB3"/>
    <w:rsid w:val="00D45E14"/>
    <w:rsid w:val="00D46368"/>
    <w:rsid w:val="00D46464"/>
    <w:rsid w:val="00D46DF6"/>
    <w:rsid w:val="00D46ED3"/>
    <w:rsid w:val="00D47C8D"/>
    <w:rsid w:val="00D50463"/>
    <w:rsid w:val="00D5051B"/>
    <w:rsid w:val="00D507B2"/>
    <w:rsid w:val="00D50D3F"/>
    <w:rsid w:val="00D51205"/>
    <w:rsid w:val="00D51F7A"/>
    <w:rsid w:val="00D520CF"/>
    <w:rsid w:val="00D52D03"/>
    <w:rsid w:val="00D5345C"/>
    <w:rsid w:val="00D535AA"/>
    <w:rsid w:val="00D53A06"/>
    <w:rsid w:val="00D53A9E"/>
    <w:rsid w:val="00D54469"/>
    <w:rsid w:val="00D54D56"/>
    <w:rsid w:val="00D5579F"/>
    <w:rsid w:val="00D55D79"/>
    <w:rsid w:val="00D562D9"/>
    <w:rsid w:val="00D56307"/>
    <w:rsid w:val="00D56399"/>
    <w:rsid w:val="00D56DEA"/>
    <w:rsid w:val="00D5721E"/>
    <w:rsid w:val="00D57328"/>
    <w:rsid w:val="00D57794"/>
    <w:rsid w:val="00D57DDD"/>
    <w:rsid w:val="00D6037A"/>
    <w:rsid w:val="00D60D88"/>
    <w:rsid w:val="00D61045"/>
    <w:rsid w:val="00D61A51"/>
    <w:rsid w:val="00D61D01"/>
    <w:rsid w:val="00D62AB2"/>
    <w:rsid w:val="00D62B0C"/>
    <w:rsid w:val="00D634DF"/>
    <w:rsid w:val="00D63C80"/>
    <w:rsid w:val="00D63CC0"/>
    <w:rsid w:val="00D6418C"/>
    <w:rsid w:val="00D643ED"/>
    <w:rsid w:val="00D64410"/>
    <w:rsid w:val="00D64840"/>
    <w:rsid w:val="00D64A2E"/>
    <w:rsid w:val="00D64CF3"/>
    <w:rsid w:val="00D650C2"/>
    <w:rsid w:val="00D65A16"/>
    <w:rsid w:val="00D66714"/>
    <w:rsid w:val="00D66E19"/>
    <w:rsid w:val="00D66FC9"/>
    <w:rsid w:val="00D6737D"/>
    <w:rsid w:val="00D675A3"/>
    <w:rsid w:val="00D70AEC"/>
    <w:rsid w:val="00D70C74"/>
    <w:rsid w:val="00D71116"/>
    <w:rsid w:val="00D711C1"/>
    <w:rsid w:val="00D71662"/>
    <w:rsid w:val="00D718C0"/>
    <w:rsid w:val="00D71CF6"/>
    <w:rsid w:val="00D71FD2"/>
    <w:rsid w:val="00D7219A"/>
    <w:rsid w:val="00D723BC"/>
    <w:rsid w:val="00D72488"/>
    <w:rsid w:val="00D7250B"/>
    <w:rsid w:val="00D7285D"/>
    <w:rsid w:val="00D73126"/>
    <w:rsid w:val="00D732CA"/>
    <w:rsid w:val="00D7339C"/>
    <w:rsid w:val="00D73D16"/>
    <w:rsid w:val="00D73F59"/>
    <w:rsid w:val="00D74434"/>
    <w:rsid w:val="00D74948"/>
    <w:rsid w:val="00D74CA8"/>
    <w:rsid w:val="00D74CEB"/>
    <w:rsid w:val="00D75104"/>
    <w:rsid w:val="00D75904"/>
    <w:rsid w:val="00D75C47"/>
    <w:rsid w:val="00D763E8"/>
    <w:rsid w:val="00D768BC"/>
    <w:rsid w:val="00D76CFF"/>
    <w:rsid w:val="00D7785D"/>
    <w:rsid w:val="00D77C81"/>
    <w:rsid w:val="00D8016F"/>
    <w:rsid w:val="00D801AB"/>
    <w:rsid w:val="00D8027B"/>
    <w:rsid w:val="00D80348"/>
    <w:rsid w:val="00D803F6"/>
    <w:rsid w:val="00D80ED1"/>
    <w:rsid w:val="00D8185D"/>
    <w:rsid w:val="00D81866"/>
    <w:rsid w:val="00D821F1"/>
    <w:rsid w:val="00D82278"/>
    <w:rsid w:val="00D8256D"/>
    <w:rsid w:val="00D82A1F"/>
    <w:rsid w:val="00D83F32"/>
    <w:rsid w:val="00D84442"/>
    <w:rsid w:val="00D84B38"/>
    <w:rsid w:val="00D851BC"/>
    <w:rsid w:val="00D85EB8"/>
    <w:rsid w:val="00D86D04"/>
    <w:rsid w:val="00D871A6"/>
    <w:rsid w:val="00D874C0"/>
    <w:rsid w:val="00D8763F"/>
    <w:rsid w:val="00D87B90"/>
    <w:rsid w:val="00D904E0"/>
    <w:rsid w:val="00D909CE"/>
    <w:rsid w:val="00D909EE"/>
    <w:rsid w:val="00D90EFC"/>
    <w:rsid w:val="00D916FA"/>
    <w:rsid w:val="00D92825"/>
    <w:rsid w:val="00D936A8"/>
    <w:rsid w:val="00D9375C"/>
    <w:rsid w:val="00D9391B"/>
    <w:rsid w:val="00D93990"/>
    <w:rsid w:val="00D93BBC"/>
    <w:rsid w:val="00D941D7"/>
    <w:rsid w:val="00D94294"/>
    <w:rsid w:val="00D9463E"/>
    <w:rsid w:val="00D94B1F"/>
    <w:rsid w:val="00D94D96"/>
    <w:rsid w:val="00D95A54"/>
    <w:rsid w:val="00D95CCB"/>
    <w:rsid w:val="00D96228"/>
    <w:rsid w:val="00D9641F"/>
    <w:rsid w:val="00D969D3"/>
    <w:rsid w:val="00D96B1B"/>
    <w:rsid w:val="00D974B7"/>
    <w:rsid w:val="00D9761A"/>
    <w:rsid w:val="00D97B85"/>
    <w:rsid w:val="00DA016E"/>
    <w:rsid w:val="00DA0946"/>
    <w:rsid w:val="00DA0DA4"/>
    <w:rsid w:val="00DA10F5"/>
    <w:rsid w:val="00DA1A3E"/>
    <w:rsid w:val="00DA1CD4"/>
    <w:rsid w:val="00DA1D7C"/>
    <w:rsid w:val="00DA216C"/>
    <w:rsid w:val="00DA24E4"/>
    <w:rsid w:val="00DA2A29"/>
    <w:rsid w:val="00DA36D3"/>
    <w:rsid w:val="00DA39E2"/>
    <w:rsid w:val="00DA3F80"/>
    <w:rsid w:val="00DA40F9"/>
    <w:rsid w:val="00DA410D"/>
    <w:rsid w:val="00DA463A"/>
    <w:rsid w:val="00DA547A"/>
    <w:rsid w:val="00DA58EA"/>
    <w:rsid w:val="00DA5AB2"/>
    <w:rsid w:val="00DA6087"/>
    <w:rsid w:val="00DA60F8"/>
    <w:rsid w:val="00DA6115"/>
    <w:rsid w:val="00DA64D6"/>
    <w:rsid w:val="00DA665D"/>
    <w:rsid w:val="00DA6CDA"/>
    <w:rsid w:val="00DA6FAB"/>
    <w:rsid w:val="00DA7F48"/>
    <w:rsid w:val="00DA7F68"/>
    <w:rsid w:val="00DB030E"/>
    <w:rsid w:val="00DB03D3"/>
    <w:rsid w:val="00DB0715"/>
    <w:rsid w:val="00DB0A8B"/>
    <w:rsid w:val="00DB0AA9"/>
    <w:rsid w:val="00DB0BCF"/>
    <w:rsid w:val="00DB0DE3"/>
    <w:rsid w:val="00DB1F1F"/>
    <w:rsid w:val="00DB24D1"/>
    <w:rsid w:val="00DB25D2"/>
    <w:rsid w:val="00DB2D41"/>
    <w:rsid w:val="00DB3D52"/>
    <w:rsid w:val="00DB3EB0"/>
    <w:rsid w:val="00DB4098"/>
    <w:rsid w:val="00DB42AA"/>
    <w:rsid w:val="00DB45A3"/>
    <w:rsid w:val="00DB6CA5"/>
    <w:rsid w:val="00DB7151"/>
    <w:rsid w:val="00DB74E7"/>
    <w:rsid w:val="00DB79B6"/>
    <w:rsid w:val="00DB7BC6"/>
    <w:rsid w:val="00DC0287"/>
    <w:rsid w:val="00DC0CDE"/>
    <w:rsid w:val="00DC0D6D"/>
    <w:rsid w:val="00DC1139"/>
    <w:rsid w:val="00DC16D9"/>
    <w:rsid w:val="00DC188C"/>
    <w:rsid w:val="00DC2105"/>
    <w:rsid w:val="00DC2D23"/>
    <w:rsid w:val="00DC2D67"/>
    <w:rsid w:val="00DC2DB9"/>
    <w:rsid w:val="00DC3655"/>
    <w:rsid w:val="00DC3787"/>
    <w:rsid w:val="00DC3B32"/>
    <w:rsid w:val="00DC400F"/>
    <w:rsid w:val="00DC463A"/>
    <w:rsid w:val="00DC4928"/>
    <w:rsid w:val="00DC5316"/>
    <w:rsid w:val="00DC5345"/>
    <w:rsid w:val="00DC55B0"/>
    <w:rsid w:val="00DC586C"/>
    <w:rsid w:val="00DC602F"/>
    <w:rsid w:val="00DC621C"/>
    <w:rsid w:val="00DC68E0"/>
    <w:rsid w:val="00DC6D3D"/>
    <w:rsid w:val="00DC72A2"/>
    <w:rsid w:val="00DC77A8"/>
    <w:rsid w:val="00DC7CEA"/>
    <w:rsid w:val="00DC7E88"/>
    <w:rsid w:val="00DD017D"/>
    <w:rsid w:val="00DD038A"/>
    <w:rsid w:val="00DD09D9"/>
    <w:rsid w:val="00DD12F2"/>
    <w:rsid w:val="00DD1836"/>
    <w:rsid w:val="00DD1DBB"/>
    <w:rsid w:val="00DD2197"/>
    <w:rsid w:val="00DD2577"/>
    <w:rsid w:val="00DD2968"/>
    <w:rsid w:val="00DD2D3C"/>
    <w:rsid w:val="00DD2D46"/>
    <w:rsid w:val="00DD2EDD"/>
    <w:rsid w:val="00DD32C9"/>
    <w:rsid w:val="00DD35D3"/>
    <w:rsid w:val="00DD4818"/>
    <w:rsid w:val="00DD4ADB"/>
    <w:rsid w:val="00DD528D"/>
    <w:rsid w:val="00DD540F"/>
    <w:rsid w:val="00DD5CF8"/>
    <w:rsid w:val="00DD5FE0"/>
    <w:rsid w:val="00DD636A"/>
    <w:rsid w:val="00DD64C5"/>
    <w:rsid w:val="00DD6681"/>
    <w:rsid w:val="00DD6B94"/>
    <w:rsid w:val="00DD7378"/>
    <w:rsid w:val="00DD77A5"/>
    <w:rsid w:val="00DD7946"/>
    <w:rsid w:val="00DD7ED6"/>
    <w:rsid w:val="00DD7FD4"/>
    <w:rsid w:val="00DE0302"/>
    <w:rsid w:val="00DE0A6D"/>
    <w:rsid w:val="00DE10C7"/>
    <w:rsid w:val="00DE13F6"/>
    <w:rsid w:val="00DE1B05"/>
    <w:rsid w:val="00DE1E01"/>
    <w:rsid w:val="00DE253F"/>
    <w:rsid w:val="00DE25C9"/>
    <w:rsid w:val="00DE2718"/>
    <w:rsid w:val="00DE2971"/>
    <w:rsid w:val="00DE38C9"/>
    <w:rsid w:val="00DE3C55"/>
    <w:rsid w:val="00DE53C4"/>
    <w:rsid w:val="00DE5431"/>
    <w:rsid w:val="00DE54A0"/>
    <w:rsid w:val="00DE5696"/>
    <w:rsid w:val="00DE5A09"/>
    <w:rsid w:val="00DE653C"/>
    <w:rsid w:val="00DE6AEB"/>
    <w:rsid w:val="00DE6CB4"/>
    <w:rsid w:val="00DE7509"/>
    <w:rsid w:val="00DF0E29"/>
    <w:rsid w:val="00DF1327"/>
    <w:rsid w:val="00DF1624"/>
    <w:rsid w:val="00DF1E36"/>
    <w:rsid w:val="00DF1FCE"/>
    <w:rsid w:val="00DF21B8"/>
    <w:rsid w:val="00DF25B4"/>
    <w:rsid w:val="00DF25BD"/>
    <w:rsid w:val="00DF26F6"/>
    <w:rsid w:val="00DF284E"/>
    <w:rsid w:val="00DF2D70"/>
    <w:rsid w:val="00DF2D75"/>
    <w:rsid w:val="00DF32E0"/>
    <w:rsid w:val="00DF33E4"/>
    <w:rsid w:val="00DF36E2"/>
    <w:rsid w:val="00DF3757"/>
    <w:rsid w:val="00DF3865"/>
    <w:rsid w:val="00DF3C9B"/>
    <w:rsid w:val="00DF5036"/>
    <w:rsid w:val="00DF51E6"/>
    <w:rsid w:val="00DF52CB"/>
    <w:rsid w:val="00DF5CBB"/>
    <w:rsid w:val="00DF6026"/>
    <w:rsid w:val="00DF6397"/>
    <w:rsid w:val="00DF657E"/>
    <w:rsid w:val="00DF6DD8"/>
    <w:rsid w:val="00DF6E98"/>
    <w:rsid w:val="00DF6F6A"/>
    <w:rsid w:val="00DF71FE"/>
    <w:rsid w:val="00DF7389"/>
    <w:rsid w:val="00DF763E"/>
    <w:rsid w:val="00DF7BD9"/>
    <w:rsid w:val="00DF7F5D"/>
    <w:rsid w:val="00E00005"/>
    <w:rsid w:val="00E00888"/>
    <w:rsid w:val="00E009BA"/>
    <w:rsid w:val="00E00BE4"/>
    <w:rsid w:val="00E01418"/>
    <w:rsid w:val="00E014FA"/>
    <w:rsid w:val="00E0262E"/>
    <w:rsid w:val="00E027D0"/>
    <w:rsid w:val="00E03020"/>
    <w:rsid w:val="00E030E3"/>
    <w:rsid w:val="00E0367B"/>
    <w:rsid w:val="00E0455E"/>
    <w:rsid w:val="00E0473E"/>
    <w:rsid w:val="00E047F7"/>
    <w:rsid w:val="00E04857"/>
    <w:rsid w:val="00E048A3"/>
    <w:rsid w:val="00E049A3"/>
    <w:rsid w:val="00E04D51"/>
    <w:rsid w:val="00E0567B"/>
    <w:rsid w:val="00E056CB"/>
    <w:rsid w:val="00E059E1"/>
    <w:rsid w:val="00E059F5"/>
    <w:rsid w:val="00E05EAB"/>
    <w:rsid w:val="00E06799"/>
    <w:rsid w:val="00E069B6"/>
    <w:rsid w:val="00E0708D"/>
    <w:rsid w:val="00E07486"/>
    <w:rsid w:val="00E07617"/>
    <w:rsid w:val="00E07821"/>
    <w:rsid w:val="00E10ABD"/>
    <w:rsid w:val="00E11182"/>
    <w:rsid w:val="00E11BB7"/>
    <w:rsid w:val="00E11C11"/>
    <w:rsid w:val="00E11D75"/>
    <w:rsid w:val="00E11F97"/>
    <w:rsid w:val="00E125DD"/>
    <w:rsid w:val="00E12C78"/>
    <w:rsid w:val="00E12D8D"/>
    <w:rsid w:val="00E13170"/>
    <w:rsid w:val="00E134A0"/>
    <w:rsid w:val="00E13AAD"/>
    <w:rsid w:val="00E13AF5"/>
    <w:rsid w:val="00E13C18"/>
    <w:rsid w:val="00E13D83"/>
    <w:rsid w:val="00E13DA3"/>
    <w:rsid w:val="00E13FC7"/>
    <w:rsid w:val="00E14155"/>
    <w:rsid w:val="00E151A6"/>
    <w:rsid w:val="00E15650"/>
    <w:rsid w:val="00E15C37"/>
    <w:rsid w:val="00E15E2D"/>
    <w:rsid w:val="00E16007"/>
    <w:rsid w:val="00E16EBA"/>
    <w:rsid w:val="00E16F83"/>
    <w:rsid w:val="00E1735F"/>
    <w:rsid w:val="00E174A6"/>
    <w:rsid w:val="00E17EF7"/>
    <w:rsid w:val="00E206EB"/>
    <w:rsid w:val="00E20BA2"/>
    <w:rsid w:val="00E211C0"/>
    <w:rsid w:val="00E21C48"/>
    <w:rsid w:val="00E21C8E"/>
    <w:rsid w:val="00E2278B"/>
    <w:rsid w:val="00E229B9"/>
    <w:rsid w:val="00E22EB4"/>
    <w:rsid w:val="00E22FB3"/>
    <w:rsid w:val="00E23A54"/>
    <w:rsid w:val="00E23EFF"/>
    <w:rsid w:val="00E24065"/>
    <w:rsid w:val="00E242E7"/>
    <w:rsid w:val="00E24845"/>
    <w:rsid w:val="00E24BA4"/>
    <w:rsid w:val="00E24D3B"/>
    <w:rsid w:val="00E24FCE"/>
    <w:rsid w:val="00E2513E"/>
    <w:rsid w:val="00E25803"/>
    <w:rsid w:val="00E258FF"/>
    <w:rsid w:val="00E25BF5"/>
    <w:rsid w:val="00E26AEB"/>
    <w:rsid w:val="00E26E72"/>
    <w:rsid w:val="00E26F87"/>
    <w:rsid w:val="00E27660"/>
    <w:rsid w:val="00E2772E"/>
    <w:rsid w:val="00E2799D"/>
    <w:rsid w:val="00E30A51"/>
    <w:rsid w:val="00E31076"/>
    <w:rsid w:val="00E3107F"/>
    <w:rsid w:val="00E3172E"/>
    <w:rsid w:val="00E31733"/>
    <w:rsid w:val="00E31979"/>
    <w:rsid w:val="00E31F9A"/>
    <w:rsid w:val="00E321DA"/>
    <w:rsid w:val="00E32206"/>
    <w:rsid w:val="00E327F2"/>
    <w:rsid w:val="00E32AB7"/>
    <w:rsid w:val="00E32E50"/>
    <w:rsid w:val="00E33057"/>
    <w:rsid w:val="00E33C0F"/>
    <w:rsid w:val="00E33EEF"/>
    <w:rsid w:val="00E34265"/>
    <w:rsid w:val="00E34711"/>
    <w:rsid w:val="00E35288"/>
    <w:rsid w:val="00E35411"/>
    <w:rsid w:val="00E35787"/>
    <w:rsid w:val="00E361F7"/>
    <w:rsid w:val="00E3620B"/>
    <w:rsid w:val="00E369F7"/>
    <w:rsid w:val="00E374C8"/>
    <w:rsid w:val="00E37BF7"/>
    <w:rsid w:val="00E401A1"/>
    <w:rsid w:val="00E42A5A"/>
    <w:rsid w:val="00E42CB6"/>
    <w:rsid w:val="00E42CCD"/>
    <w:rsid w:val="00E42DF8"/>
    <w:rsid w:val="00E42EEE"/>
    <w:rsid w:val="00E42FB0"/>
    <w:rsid w:val="00E43240"/>
    <w:rsid w:val="00E4366E"/>
    <w:rsid w:val="00E4433A"/>
    <w:rsid w:val="00E446F8"/>
    <w:rsid w:val="00E44B9C"/>
    <w:rsid w:val="00E44C11"/>
    <w:rsid w:val="00E45696"/>
    <w:rsid w:val="00E45B72"/>
    <w:rsid w:val="00E45BBE"/>
    <w:rsid w:val="00E45FA5"/>
    <w:rsid w:val="00E463DA"/>
    <w:rsid w:val="00E46C58"/>
    <w:rsid w:val="00E46C65"/>
    <w:rsid w:val="00E470F6"/>
    <w:rsid w:val="00E4778E"/>
    <w:rsid w:val="00E47852"/>
    <w:rsid w:val="00E5005D"/>
    <w:rsid w:val="00E502CD"/>
    <w:rsid w:val="00E5039F"/>
    <w:rsid w:val="00E51078"/>
    <w:rsid w:val="00E519AB"/>
    <w:rsid w:val="00E51D0B"/>
    <w:rsid w:val="00E52092"/>
    <w:rsid w:val="00E521FB"/>
    <w:rsid w:val="00E525BC"/>
    <w:rsid w:val="00E527C3"/>
    <w:rsid w:val="00E536D3"/>
    <w:rsid w:val="00E53913"/>
    <w:rsid w:val="00E548DA"/>
    <w:rsid w:val="00E54CF4"/>
    <w:rsid w:val="00E54D36"/>
    <w:rsid w:val="00E54E6C"/>
    <w:rsid w:val="00E56282"/>
    <w:rsid w:val="00E5646D"/>
    <w:rsid w:val="00E56BAD"/>
    <w:rsid w:val="00E56F0E"/>
    <w:rsid w:val="00E57B73"/>
    <w:rsid w:val="00E57E67"/>
    <w:rsid w:val="00E57E99"/>
    <w:rsid w:val="00E60389"/>
    <w:rsid w:val="00E604CF"/>
    <w:rsid w:val="00E60584"/>
    <w:rsid w:val="00E61086"/>
    <w:rsid w:val="00E61177"/>
    <w:rsid w:val="00E61BE7"/>
    <w:rsid w:val="00E61EE7"/>
    <w:rsid w:val="00E620DC"/>
    <w:rsid w:val="00E62AD4"/>
    <w:rsid w:val="00E62B38"/>
    <w:rsid w:val="00E63BFB"/>
    <w:rsid w:val="00E63E27"/>
    <w:rsid w:val="00E64414"/>
    <w:rsid w:val="00E64506"/>
    <w:rsid w:val="00E6483E"/>
    <w:rsid w:val="00E64AD1"/>
    <w:rsid w:val="00E64BF3"/>
    <w:rsid w:val="00E65ADC"/>
    <w:rsid w:val="00E65E18"/>
    <w:rsid w:val="00E6619F"/>
    <w:rsid w:val="00E6631D"/>
    <w:rsid w:val="00E66859"/>
    <w:rsid w:val="00E6797E"/>
    <w:rsid w:val="00E67BEC"/>
    <w:rsid w:val="00E70550"/>
    <w:rsid w:val="00E7058E"/>
    <w:rsid w:val="00E70627"/>
    <w:rsid w:val="00E7097B"/>
    <w:rsid w:val="00E70B5C"/>
    <w:rsid w:val="00E70D1B"/>
    <w:rsid w:val="00E710B3"/>
    <w:rsid w:val="00E71241"/>
    <w:rsid w:val="00E717E5"/>
    <w:rsid w:val="00E719EF"/>
    <w:rsid w:val="00E71C2D"/>
    <w:rsid w:val="00E7296C"/>
    <w:rsid w:val="00E730BC"/>
    <w:rsid w:val="00E7314F"/>
    <w:rsid w:val="00E737B7"/>
    <w:rsid w:val="00E73991"/>
    <w:rsid w:val="00E74163"/>
    <w:rsid w:val="00E74C13"/>
    <w:rsid w:val="00E74DA7"/>
    <w:rsid w:val="00E75031"/>
    <w:rsid w:val="00E756A4"/>
    <w:rsid w:val="00E75E52"/>
    <w:rsid w:val="00E760A3"/>
    <w:rsid w:val="00E76EEF"/>
    <w:rsid w:val="00E7716A"/>
    <w:rsid w:val="00E77B65"/>
    <w:rsid w:val="00E77C7F"/>
    <w:rsid w:val="00E803A6"/>
    <w:rsid w:val="00E80A6B"/>
    <w:rsid w:val="00E80E38"/>
    <w:rsid w:val="00E81643"/>
    <w:rsid w:val="00E81F08"/>
    <w:rsid w:val="00E82070"/>
    <w:rsid w:val="00E82161"/>
    <w:rsid w:val="00E823C9"/>
    <w:rsid w:val="00E823CE"/>
    <w:rsid w:val="00E823F0"/>
    <w:rsid w:val="00E825B6"/>
    <w:rsid w:val="00E8296D"/>
    <w:rsid w:val="00E82D9D"/>
    <w:rsid w:val="00E83077"/>
    <w:rsid w:val="00E83532"/>
    <w:rsid w:val="00E8362B"/>
    <w:rsid w:val="00E83BAE"/>
    <w:rsid w:val="00E84276"/>
    <w:rsid w:val="00E8427F"/>
    <w:rsid w:val="00E8456C"/>
    <w:rsid w:val="00E84951"/>
    <w:rsid w:val="00E84A1D"/>
    <w:rsid w:val="00E84A5D"/>
    <w:rsid w:val="00E84BBA"/>
    <w:rsid w:val="00E84FBD"/>
    <w:rsid w:val="00E850B7"/>
    <w:rsid w:val="00E85CB2"/>
    <w:rsid w:val="00E8620A"/>
    <w:rsid w:val="00E862F3"/>
    <w:rsid w:val="00E864BA"/>
    <w:rsid w:val="00E87216"/>
    <w:rsid w:val="00E8735A"/>
    <w:rsid w:val="00E875A4"/>
    <w:rsid w:val="00E9039E"/>
    <w:rsid w:val="00E90AC2"/>
    <w:rsid w:val="00E90EB3"/>
    <w:rsid w:val="00E9145E"/>
    <w:rsid w:val="00E91677"/>
    <w:rsid w:val="00E9208B"/>
    <w:rsid w:val="00E920FB"/>
    <w:rsid w:val="00E92286"/>
    <w:rsid w:val="00E924A8"/>
    <w:rsid w:val="00E926A2"/>
    <w:rsid w:val="00E926C1"/>
    <w:rsid w:val="00E92840"/>
    <w:rsid w:val="00E92C10"/>
    <w:rsid w:val="00E92EE9"/>
    <w:rsid w:val="00E9351A"/>
    <w:rsid w:val="00E93C21"/>
    <w:rsid w:val="00E93C36"/>
    <w:rsid w:val="00E93F3A"/>
    <w:rsid w:val="00E947DA"/>
    <w:rsid w:val="00E948FC"/>
    <w:rsid w:val="00E94EE3"/>
    <w:rsid w:val="00E94F34"/>
    <w:rsid w:val="00E9503C"/>
    <w:rsid w:val="00E959C2"/>
    <w:rsid w:val="00E95EEE"/>
    <w:rsid w:val="00E96216"/>
    <w:rsid w:val="00E96AD8"/>
    <w:rsid w:val="00E96B79"/>
    <w:rsid w:val="00E97B6F"/>
    <w:rsid w:val="00E97C4C"/>
    <w:rsid w:val="00E97E00"/>
    <w:rsid w:val="00E97F2E"/>
    <w:rsid w:val="00E97F34"/>
    <w:rsid w:val="00EA002C"/>
    <w:rsid w:val="00EA0761"/>
    <w:rsid w:val="00EA07A8"/>
    <w:rsid w:val="00EA1257"/>
    <w:rsid w:val="00EA13E7"/>
    <w:rsid w:val="00EA13E9"/>
    <w:rsid w:val="00EA14D5"/>
    <w:rsid w:val="00EA156F"/>
    <w:rsid w:val="00EA1725"/>
    <w:rsid w:val="00EA1778"/>
    <w:rsid w:val="00EA17B0"/>
    <w:rsid w:val="00EA1FD9"/>
    <w:rsid w:val="00EA2507"/>
    <w:rsid w:val="00EA26C0"/>
    <w:rsid w:val="00EA2C5E"/>
    <w:rsid w:val="00EA3CA0"/>
    <w:rsid w:val="00EA3D60"/>
    <w:rsid w:val="00EA4B8C"/>
    <w:rsid w:val="00EA4D38"/>
    <w:rsid w:val="00EA6056"/>
    <w:rsid w:val="00EA61D4"/>
    <w:rsid w:val="00EA623D"/>
    <w:rsid w:val="00EA6341"/>
    <w:rsid w:val="00EA6608"/>
    <w:rsid w:val="00EA6713"/>
    <w:rsid w:val="00EA6DD9"/>
    <w:rsid w:val="00EA6F61"/>
    <w:rsid w:val="00EA6FF9"/>
    <w:rsid w:val="00EA7DB9"/>
    <w:rsid w:val="00EA7ECD"/>
    <w:rsid w:val="00EB02E8"/>
    <w:rsid w:val="00EB03CE"/>
    <w:rsid w:val="00EB096A"/>
    <w:rsid w:val="00EB11D0"/>
    <w:rsid w:val="00EB144C"/>
    <w:rsid w:val="00EB16D4"/>
    <w:rsid w:val="00EB259E"/>
    <w:rsid w:val="00EB2B45"/>
    <w:rsid w:val="00EB2EC4"/>
    <w:rsid w:val="00EB2EF5"/>
    <w:rsid w:val="00EB328C"/>
    <w:rsid w:val="00EB332A"/>
    <w:rsid w:val="00EB33AA"/>
    <w:rsid w:val="00EB3689"/>
    <w:rsid w:val="00EB394C"/>
    <w:rsid w:val="00EB399F"/>
    <w:rsid w:val="00EB3A55"/>
    <w:rsid w:val="00EB3D5A"/>
    <w:rsid w:val="00EB3D6D"/>
    <w:rsid w:val="00EB4575"/>
    <w:rsid w:val="00EB4CF0"/>
    <w:rsid w:val="00EB4DB6"/>
    <w:rsid w:val="00EB4F11"/>
    <w:rsid w:val="00EB5326"/>
    <w:rsid w:val="00EB55A9"/>
    <w:rsid w:val="00EB59F5"/>
    <w:rsid w:val="00EB5C6F"/>
    <w:rsid w:val="00EB5E1A"/>
    <w:rsid w:val="00EB5F7F"/>
    <w:rsid w:val="00EB6208"/>
    <w:rsid w:val="00EB657C"/>
    <w:rsid w:val="00EB6CAC"/>
    <w:rsid w:val="00EB73C5"/>
    <w:rsid w:val="00EB7442"/>
    <w:rsid w:val="00EB7543"/>
    <w:rsid w:val="00EB78AD"/>
    <w:rsid w:val="00EB790B"/>
    <w:rsid w:val="00EB7FF1"/>
    <w:rsid w:val="00EC02FB"/>
    <w:rsid w:val="00EC0BD6"/>
    <w:rsid w:val="00EC138E"/>
    <w:rsid w:val="00EC19AE"/>
    <w:rsid w:val="00EC1B74"/>
    <w:rsid w:val="00EC1F5E"/>
    <w:rsid w:val="00EC233B"/>
    <w:rsid w:val="00EC27BF"/>
    <w:rsid w:val="00EC2BB5"/>
    <w:rsid w:val="00EC2CF5"/>
    <w:rsid w:val="00EC3165"/>
    <w:rsid w:val="00EC32B1"/>
    <w:rsid w:val="00EC363A"/>
    <w:rsid w:val="00EC36DD"/>
    <w:rsid w:val="00EC40D0"/>
    <w:rsid w:val="00EC55FB"/>
    <w:rsid w:val="00EC577D"/>
    <w:rsid w:val="00EC5EE5"/>
    <w:rsid w:val="00EC601F"/>
    <w:rsid w:val="00EC630B"/>
    <w:rsid w:val="00EC648E"/>
    <w:rsid w:val="00EC6ABA"/>
    <w:rsid w:val="00EC70C9"/>
    <w:rsid w:val="00EC74D1"/>
    <w:rsid w:val="00EC7A57"/>
    <w:rsid w:val="00EC7E68"/>
    <w:rsid w:val="00ED0417"/>
    <w:rsid w:val="00ED10E2"/>
    <w:rsid w:val="00ED14D2"/>
    <w:rsid w:val="00ED1721"/>
    <w:rsid w:val="00ED177F"/>
    <w:rsid w:val="00ED1BA9"/>
    <w:rsid w:val="00ED1C04"/>
    <w:rsid w:val="00ED21E1"/>
    <w:rsid w:val="00ED25A6"/>
    <w:rsid w:val="00ED265A"/>
    <w:rsid w:val="00ED2B19"/>
    <w:rsid w:val="00ED2FA7"/>
    <w:rsid w:val="00ED3072"/>
    <w:rsid w:val="00ED307A"/>
    <w:rsid w:val="00ED359B"/>
    <w:rsid w:val="00ED383C"/>
    <w:rsid w:val="00ED3991"/>
    <w:rsid w:val="00ED42D9"/>
    <w:rsid w:val="00ED47B7"/>
    <w:rsid w:val="00ED573C"/>
    <w:rsid w:val="00ED5C4C"/>
    <w:rsid w:val="00ED5C79"/>
    <w:rsid w:val="00ED5D95"/>
    <w:rsid w:val="00ED5DBE"/>
    <w:rsid w:val="00ED5E26"/>
    <w:rsid w:val="00ED6660"/>
    <w:rsid w:val="00ED6672"/>
    <w:rsid w:val="00ED6B30"/>
    <w:rsid w:val="00ED6C08"/>
    <w:rsid w:val="00ED6C48"/>
    <w:rsid w:val="00ED6E4B"/>
    <w:rsid w:val="00ED757B"/>
    <w:rsid w:val="00ED75E8"/>
    <w:rsid w:val="00ED78D0"/>
    <w:rsid w:val="00ED7AAC"/>
    <w:rsid w:val="00ED7E4F"/>
    <w:rsid w:val="00EE0440"/>
    <w:rsid w:val="00EE07EB"/>
    <w:rsid w:val="00EE0FC8"/>
    <w:rsid w:val="00EE1568"/>
    <w:rsid w:val="00EE2D26"/>
    <w:rsid w:val="00EE2DBF"/>
    <w:rsid w:val="00EE2EED"/>
    <w:rsid w:val="00EE36A1"/>
    <w:rsid w:val="00EE39B6"/>
    <w:rsid w:val="00EE3D22"/>
    <w:rsid w:val="00EE40D8"/>
    <w:rsid w:val="00EE4172"/>
    <w:rsid w:val="00EE462D"/>
    <w:rsid w:val="00EE4721"/>
    <w:rsid w:val="00EE47A6"/>
    <w:rsid w:val="00EE54F7"/>
    <w:rsid w:val="00EE581A"/>
    <w:rsid w:val="00EE59BB"/>
    <w:rsid w:val="00EE5A61"/>
    <w:rsid w:val="00EE62FA"/>
    <w:rsid w:val="00EE6B4F"/>
    <w:rsid w:val="00EE7055"/>
    <w:rsid w:val="00EE7953"/>
    <w:rsid w:val="00EF013F"/>
    <w:rsid w:val="00EF0193"/>
    <w:rsid w:val="00EF0514"/>
    <w:rsid w:val="00EF0D28"/>
    <w:rsid w:val="00EF1268"/>
    <w:rsid w:val="00EF1B48"/>
    <w:rsid w:val="00EF1CE7"/>
    <w:rsid w:val="00EF1FAA"/>
    <w:rsid w:val="00EF2AF9"/>
    <w:rsid w:val="00EF2B0F"/>
    <w:rsid w:val="00EF2D92"/>
    <w:rsid w:val="00EF33F1"/>
    <w:rsid w:val="00EF366D"/>
    <w:rsid w:val="00EF380F"/>
    <w:rsid w:val="00EF4A08"/>
    <w:rsid w:val="00EF4A79"/>
    <w:rsid w:val="00EF4D7A"/>
    <w:rsid w:val="00EF4F4A"/>
    <w:rsid w:val="00EF4F51"/>
    <w:rsid w:val="00EF5BDB"/>
    <w:rsid w:val="00EF617D"/>
    <w:rsid w:val="00EF6CFF"/>
    <w:rsid w:val="00EF733D"/>
    <w:rsid w:val="00EF74FD"/>
    <w:rsid w:val="00EF762F"/>
    <w:rsid w:val="00EF7817"/>
    <w:rsid w:val="00EF7A38"/>
    <w:rsid w:val="00EF7E1C"/>
    <w:rsid w:val="00F006DD"/>
    <w:rsid w:val="00F00DF6"/>
    <w:rsid w:val="00F015C0"/>
    <w:rsid w:val="00F017AE"/>
    <w:rsid w:val="00F01A6F"/>
    <w:rsid w:val="00F01BCB"/>
    <w:rsid w:val="00F0278A"/>
    <w:rsid w:val="00F02849"/>
    <w:rsid w:val="00F02A83"/>
    <w:rsid w:val="00F02C01"/>
    <w:rsid w:val="00F02D73"/>
    <w:rsid w:val="00F02F1E"/>
    <w:rsid w:val="00F02FF0"/>
    <w:rsid w:val="00F0366D"/>
    <w:rsid w:val="00F04AAB"/>
    <w:rsid w:val="00F04C22"/>
    <w:rsid w:val="00F04FD5"/>
    <w:rsid w:val="00F0513F"/>
    <w:rsid w:val="00F05669"/>
    <w:rsid w:val="00F05855"/>
    <w:rsid w:val="00F05A6E"/>
    <w:rsid w:val="00F05AF6"/>
    <w:rsid w:val="00F06A1E"/>
    <w:rsid w:val="00F06BA8"/>
    <w:rsid w:val="00F06FD2"/>
    <w:rsid w:val="00F07CAA"/>
    <w:rsid w:val="00F101A5"/>
    <w:rsid w:val="00F10252"/>
    <w:rsid w:val="00F105FD"/>
    <w:rsid w:val="00F1065D"/>
    <w:rsid w:val="00F10FEB"/>
    <w:rsid w:val="00F11384"/>
    <w:rsid w:val="00F1140B"/>
    <w:rsid w:val="00F116E4"/>
    <w:rsid w:val="00F134CC"/>
    <w:rsid w:val="00F13A34"/>
    <w:rsid w:val="00F1424F"/>
    <w:rsid w:val="00F1427F"/>
    <w:rsid w:val="00F1478E"/>
    <w:rsid w:val="00F14DDC"/>
    <w:rsid w:val="00F1506B"/>
    <w:rsid w:val="00F15344"/>
    <w:rsid w:val="00F159BB"/>
    <w:rsid w:val="00F15BBD"/>
    <w:rsid w:val="00F15C15"/>
    <w:rsid w:val="00F167F6"/>
    <w:rsid w:val="00F16DF6"/>
    <w:rsid w:val="00F178CE"/>
    <w:rsid w:val="00F17D48"/>
    <w:rsid w:val="00F17D7C"/>
    <w:rsid w:val="00F20C2B"/>
    <w:rsid w:val="00F20C71"/>
    <w:rsid w:val="00F2127B"/>
    <w:rsid w:val="00F22AD3"/>
    <w:rsid w:val="00F23248"/>
    <w:rsid w:val="00F2405F"/>
    <w:rsid w:val="00F242B9"/>
    <w:rsid w:val="00F2432D"/>
    <w:rsid w:val="00F24665"/>
    <w:rsid w:val="00F25321"/>
    <w:rsid w:val="00F25864"/>
    <w:rsid w:val="00F266D4"/>
    <w:rsid w:val="00F26720"/>
    <w:rsid w:val="00F269DD"/>
    <w:rsid w:val="00F26BE7"/>
    <w:rsid w:val="00F272A3"/>
    <w:rsid w:val="00F2733D"/>
    <w:rsid w:val="00F27367"/>
    <w:rsid w:val="00F27895"/>
    <w:rsid w:val="00F27F00"/>
    <w:rsid w:val="00F30383"/>
    <w:rsid w:val="00F3064E"/>
    <w:rsid w:val="00F30720"/>
    <w:rsid w:val="00F3080B"/>
    <w:rsid w:val="00F30C02"/>
    <w:rsid w:val="00F30DE5"/>
    <w:rsid w:val="00F3190B"/>
    <w:rsid w:val="00F32EED"/>
    <w:rsid w:val="00F33D76"/>
    <w:rsid w:val="00F33E97"/>
    <w:rsid w:val="00F34AC6"/>
    <w:rsid w:val="00F34D46"/>
    <w:rsid w:val="00F34F99"/>
    <w:rsid w:val="00F35418"/>
    <w:rsid w:val="00F35556"/>
    <w:rsid w:val="00F355C1"/>
    <w:rsid w:val="00F3578E"/>
    <w:rsid w:val="00F35DED"/>
    <w:rsid w:val="00F362DF"/>
    <w:rsid w:val="00F363EC"/>
    <w:rsid w:val="00F36470"/>
    <w:rsid w:val="00F3668D"/>
    <w:rsid w:val="00F37712"/>
    <w:rsid w:val="00F378A6"/>
    <w:rsid w:val="00F37941"/>
    <w:rsid w:val="00F379E5"/>
    <w:rsid w:val="00F4039D"/>
    <w:rsid w:val="00F40718"/>
    <w:rsid w:val="00F40A50"/>
    <w:rsid w:val="00F40A54"/>
    <w:rsid w:val="00F418C9"/>
    <w:rsid w:val="00F41D0D"/>
    <w:rsid w:val="00F42300"/>
    <w:rsid w:val="00F42676"/>
    <w:rsid w:val="00F42AB4"/>
    <w:rsid w:val="00F42BAD"/>
    <w:rsid w:val="00F43983"/>
    <w:rsid w:val="00F43DEA"/>
    <w:rsid w:val="00F4445F"/>
    <w:rsid w:val="00F44638"/>
    <w:rsid w:val="00F447EE"/>
    <w:rsid w:val="00F44AEF"/>
    <w:rsid w:val="00F44B6B"/>
    <w:rsid w:val="00F45609"/>
    <w:rsid w:val="00F45D13"/>
    <w:rsid w:val="00F46745"/>
    <w:rsid w:val="00F467CA"/>
    <w:rsid w:val="00F46910"/>
    <w:rsid w:val="00F46EF5"/>
    <w:rsid w:val="00F470E8"/>
    <w:rsid w:val="00F47143"/>
    <w:rsid w:val="00F47FEE"/>
    <w:rsid w:val="00F500DA"/>
    <w:rsid w:val="00F50291"/>
    <w:rsid w:val="00F50A1C"/>
    <w:rsid w:val="00F50F9F"/>
    <w:rsid w:val="00F51230"/>
    <w:rsid w:val="00F512CB"/>
    <w:rsid w:val="00F51876"/>
    <w:rsid w:val="00F51F9E"/>
    <w:rsid w:val="00F52A17"/>
    <w:rsid w:val="00F5300E"/>
    <w:rsid w:val="00F53346"/>
    <w:rsid w:val="00F534A3"/>
    <w:rsid w:val="00F53506"/>
    <w:rsid w:val="00F53A9B"/>
    <w:rsid w:val="00F54096"/>
    <w:rsid w:val="00F540C2"/>
    <w:rsid w:val="00F54147"/>
    <w:rsid w:val="00F541B6"/>
    <w:rsid w:val="00F54ADE"/>
    <w:rsid w:val="00F54C07"/>
    <w:rsid w:val="00F54C65"/>
    <w:rsid w:val="00F54E10"/>
    <w:rsid w:val="00F55004"/>
    <w:rsid w:val="00F5537D"/>
    <w:rsid w:val="00F553A7"/>
    <w:rsid w:val="00F555E6"/>
    <w:rsid w:val="00F5573E"/>
    <w:rsid w:val="00F55C0E"/>
    <w:rsid w:val="00F55D5D"/>
    <w:rsid w:val="00F56465"/>
    <w:rsid w:val="00F56730"/>
    <w:rsid w:val="00F567F6"/>
    <w:rsid w:val="00F56B4D"/>
    <w:rsid w:val="00F56E7F"/>
    <w:rsid w:val="00F57A2D"/>
    <w:rsid w:val="00F57C22"/>
    <w:rsid w:val="00F609F6"/>
    <w:rsid w:val="00F60F44"/>
    <w:rsid w:val="00F6119E"/>
    <w:rsid w:val="00F6168A"/>
    <w:rsid w:val="00F61769"/>
    <w:rsid w:val="00F61B00"/>
    <w:rsid w:val="00F624D8"/>
    <w:rsid w:val="00F6302C"/>
    <w:rsid w:val="00F6304B"/>
    <w:rsid w:val="00F63116"/>
    <w:rsid w:val="00F63C36"/>
    <w:rsid w:val="00F64720"/>
    <w:rsid w:val="00F64885"/>
    <w:rsid w:val="00F64D71"/>
    <w:rsid w:val="00F653AA"/>
    <w:rsid w:val="00F657D6"/>
    <w:rsid w:val="00F65EDB"/>
    <w:rsid w:val="00F66059"/>
    <w:rsid w:val="00F66345"/>
    <w:rsid w:val="00F663B9"/>
    <w:rsid w:val="00F66419"/>
    <w:rsid w:val="00F66654"/>
    <w:rsid w:val="00F67001"/>
    <w:rsid w:val="00F6721B"/>
    <w:rsid w:val="00F674D2"/>
    <w:rsid w:val="00F675C1"/>
    <w:rsid w:val="00F677EB"/>
    <w:rsid w:val="00F709FD"/>
    <w:rsid w:val="00F713F2"/>
    <w:rsid w:val="00F71B54"/>
    <w:rsid w:val="00F7206F"/>
    <w:rsid w:val="00F7214E"/>
    <w:rsid w:val="00F72BDB"/>
    <w:rsid w:val="00F72FA4"/>
    <w:rsid w:val="00F735FC"/>
    <w:rsid w:val="00F737FD"/>
    <w:rsid w:val="00F743B0"/>
    <w:rsid w:val="00F753B1"/>
    <w:rsid w:val="00F756B1"/>
    <w:rsid w:val="00F7596B"/>
    <w:rsid w:val="00F75E2C"/>
    <w:rsid w:val="00F760DA"/>
    <w:rsid w:val="00F76B4A"/>
    <w:rsid w:val="00F7772B"/>
    <w:rsid w:val="00F7782F"/>
    <w:rsid w:val="00F77F23"/>
    <w:rsid w:val="00F80261"/>
    <w:rsid w:val="00F803FD"/>
    <w:rsid w:val="00F80A20"/>
    <w:rsid w:val="00F80E04"/>
    <w:rsid w:val="00F816C4"/>
    <w:rsid w:val="00F81FB1"/>
    <w:rsid w:val="00F8221B"/>
    <w:rsid w:val="00F8225D"/>
    <w:rsid w:val="00F82402"/>
    <w:rsid w:val="00F826C9"/>
    <w:rsid w:val="00F82BE0"/>
    <w:rsid w:val="00F82D6B"/>
    <w:rsid w:val="00F82F30"/>
    <w:rsid w:val="00F83CAE"/>
    <w:rsid w:val="00F843FE"/>
    <w:rsid w:val="00F8465C"/>
    <w:rsid w:val="00F84929"/>
    <w:rsid w:val="00F84BA9"/>
    <w:rsid w:val="00F84FD8"/>
    <w:rsid w:val="00F85042"/>
    <w:rsid w:val="00F85B7A"/>
    <w:rsid w:val="00F86643"/>
    <w:rsid w:val="00F87BD5"/>
    <w:rsid w:val="00F90033"/>
    <w:rsid w:val="00F90058"/>
    <w:rsid w:val="00F90A26"/>
    <w:rsid w:val="00F90E1D"/>
    <w:rsid w:val="00F911F4"/>
    <w:rsid w:val="00F91B40"/>
    <w:rsid w:val="00F9265B"/>
    <w:rsid w:val="00F92AAD"/>
    <w:rsid w:val="00F93111"/>
    <w:rsid w:val="00F9315A"/>
    <w:rsid w:val="00F932C6"/>
    <w:rsid w:val="00F9398A"/>
    <w:rsid w:val="00F93E66"/>
    <w:rsid w:val="00F94557"/>
    <w:rsid w:val="00F94795"/>
    <w:rsid w:val="00F94C77"/>
    <w:rsid w:val="00F94CAA"/>
    <w:rsid w:val="00F94F97"/>
    <w:rsid w:val="00F9516F"/>
    <w:rsid w:val="00F95212"/>
    <w:rsid w:val="00F9528D"/>
    <w:rsid w:val="00F955E2"/>
    <w:rsid w:val="00F9594C"/>
    <w:rsid w:val="00F95E7E"/>
    <w:rsid w:val="00F9660B"/>
    <w:rsid w:val="00F96826"/>
    <w:rsid w:val="00F96AD3"/>
    <w:rsid w:val="00F97024"/>
    <w:rsid w:val="00F97134"/>
    <w:rsid w:val="00F97240"/>
    <w:rsid w:val="00F97F62"/>
    <w:rsid w:val="00FA0093"/>
    <w:rsid w:val="00FA115C"/>
    <w:rsid w:val="00FA1792"/>
    <w:rsid w:val="00FA17CA"/>
    <w:rsid w:val="00FA1A0F"/>
    <w:rsid w:val="00FA1CE4"/>
    <w:rsid w:val="00FA220A"/>
    <w:rsid w:val="00FA253F"/>
    <w:rsid w:val="00FA292B"/>
    <w:rsid w:val="00FA3A72"/>
    <w:rsid w:val="00FA3A9C"/>
    <w:rsid w:val="00FA3BE5"/>
    <w:rsid w:val="00FA4617"/>
    <w:rsid w:val="00FA4B6A"/>
    <w:rsid w:val="00FA4FEC"/>
    <w:rsid w:val="00FA5043"/>
    <w:rsid w:val="00FA531F"/>
    <w:rsid w:val="00FA5334"/>
    <w:rsid w:val="00FA5C53"/>
    <w:rsid w:val="00FA64E5"/>
    <w:rsid w:val="00FA675E"/>
    <w:rsid w:val="00FA69BD"/>
    <w:rsid w:val="00FA6DF1"/>
    <w:rsid w:val="00FA721F"/>
    <w:rsid w:val="00FA79E5"/>
    <w:rsid w:val="00FB0391"/>
    <w:rsid w:val="00FB0500"/>
    <w:rsid w:val="00FB07EE"/>
    <w:rsid w:val="00FB12B5"/>
    <w:rsid w:val="00FB1490"/>
    <w:rsid w:val="00FB1A62"/>
    <w:rsid w:val="00FB1AB0"/>
    <w:rsid w:val="00FB23DD"/>
    <w:rsid w:val="00FB2BD7"/>
    <w:rsid w:val="00FB3A65"/>
    <w:rsid w:val="00FB3AD1"/>
    <w:rsid w:val="00FB3C41"/>
    <w:rsid w:val="00FB3DC8"/>
    <w:rsid w:val="00FB41BE"/>
    <w:rsid w:val="00FB41E2"/>
    <w:rsid w:val="00FB4391"/>
    <w:rsid w:val="00FB50FE"/>
    <w:rsid w:val="00FB5FA7"/>
    <w:rsid w:val="00FB6201"/>
    <w:rsid w:val="00FB6A4C"/>
    <w:rsid w:val="00FB707C"/>
    <w:rsid w:val="00FB71A9"/>
    <w:rsid w:val="00FB7467"/>
    <w:rsid w:val="00FB74FA"/>
    <w:rsid w:val="00FB7DE9"/>
    <w:rsid w:val="00FC0AFD"/>
    <w:rsid w:val="00FC0C0B"/>
    <w:rsid w:val="00FC0E09"/>
    <w:rsid w:val="00FC0E23"/>
    <w:rsid w:val="00FC17CD"/>
    <w:rsid w:val="00FC18EA"/>
    <w:rsid w:val="00FC19B1"/>
    <w:rsid w:val="00FC1C9D"/>
    <w:rsid w:val="00FC2115"/>
    <w:rsid w:val="00FC27BE"/>
    <w:rsid w:val="00FC2C98"/>
    <w:rsid w:val="00FC2D9C"/>
    <w:rsid w:val="00FC2DE6"/>
    <w:rsid w:val="00FC371D"/>
    <w:rsid w:val="00FC3C3A"/>
    <w:rsid w:val="00FC3D53"/>
    <w:rsid w:val="00FC3EAB"/>
    <w:rsid w:val="00FC40D0"/>
    <w:rsid w:val="00FC45E9"/>
    <w:rsid w:val="00FC4DC1"/>
    <w:rsid w:val="00FC4DF2"/>
    <w:rsid w:val="00FC525D"/>
    <w:rsid w:val="00FC5303"/>
    <w:rsid w:val="00FC533A"/>
    <w:rsid w:val="00FC55A0"/>
    <w:rsid w:val="00FC617F"/>
    <w:rsid w:val="00FC6693"/>
    <w:rsid w:val="00FC6769"/>
    <w:rsid w:val="00FC692B"/>
    <w:rsid w:val="00FC6D0A"/>
    <w:rsid w:val="00FC717E"/>
    <w:rsid w:val="00FC78AA"/>
    <w:rsid w:val="00FC7900"/>
    <w:rsid w:val="00FC7F0B"/>
    <w:rsid w:val="00FD1134"/>
    <w:rsid w:val="00FD1E0D"/>
    <w:rsid w:val="00FD2A35"/>
    <w:rsid w:val="00FD2D11"/>
    <w:rsid w:val="00FD2D68"/>
    <w:rsid w:val="00FD2DB6"/>
    <w:rsid w:val="00FD321E"/>
    <w:rsid w:val="00FD333E"/>
    <w:rsid w:val="00FD3416"/>
    <w:rsid w:val="00FD3528"/>
    <w:rsid w:val="00FD3664"/>
    <w:rsid w:val="00FD3720"/>
    <w:rsid w:val="00FD489C"/>
    <w:rsid w:val="00FD4AC0"/>
    <w:rsid w:val="00FD5B6A"/>
    <w:rsid w:val="00FD5CAA"/>
    <w:rsid w:val="00FD5D8B"/>
    <w:rsid w:val="00FD6A8C"/>
    <w:rsid w:val="00FD6EFA"/>
    <w:rsid w:val="00FD7306"/>
    <w:rsid w:val="00FD74D9"/>
    <w:rsid w:val="00FD768B"/>
    <w:rsid w:val="00FD7F99"/>
    <w:rsid w:val="00FE022F"/>
    <w:rsid w:val="00FE07BC"/>
    <w:rsid w:val="00FE0B16"/>
    <w:rsid w:val="00FE0F71"/>
    <w:rsid w:val="00FE0FE9"/>
    <w:rsid w:val="00FE15C3"/>
    <w:rsid w:val="00FE2174"/>
    <w:rsid w:val="00FE2369"/>
    <w:rsid w:val="00FE25B7"/>
    <w:rsid w:val="00FE282C"/>
    <w:rsid w:val="00FE2B61"/>
    <w:rsid w:val="00FE2E09"/>
    <w:rsid w:val="00FE2F0E"/>
    <w:rsid w:val="00FE31C4"/>
    <w:rsid w:val="00FE3FF4"/>
    <w:rsid w:val="00FE424A"/>
    <w:rsid w:val="00FE4312"/>
    <w:rsid w:val="00FE479F"/>
    <w:rsid w:val="00FE48F7"/>
    <w:rsid w:val="00FE4C18"/>
    <w:rsid w:val="00FE4F09"/>
    <w:rsid w:val="00FE510B"/>
    <w:rsid w:val="00FE5B52"/>
    <w:rsid w:val="00FE5D1D"/>
    <w:rsid w:val="00FE671A"/>
    <w:rsid w:val="00FE6CCC"/>
    <w:rsid w:val="00FE72D1"/>
    <w:rsid w:val="00FE73A1"/>
    <w:rsid w:val="00FE7B4C"/>
    <w:rsid w:val="00FE7CEA"/>
    <w:rsid w:val="00FF0154"/>
    <w:rsid w:val="00FF05C6"/>
    <w:rsid w:val="00FF08EB"/>
    <w:rsid w:val="00FF1022"/>
    <w:rsid w:val="00FF1443"/>
    <w:rsid w:val="00FF1921"/>
    <w:rsid w:val="00FF1E5E"/>
    <w:rsid w:val="00FF1E67"/>
    <w:rsid w:val="00FF25A9"/>
    <w:rsid w:val="00FF26A6"/>
    <w:rsid w:val="00FF273F"/>
    <w:rsid w:val="00FF2887"/>
    <w:rsid w:val="00FF2A8F"/>
    <w:rsid w:val="00FF33A7"/>
    <w:rsid w:val="00FF380B"/>
    <w:rsid w:val="00FF3E9E"/>
    <w:rsid w:val="00FF46C5"/>
    <w:rsid w:val="00FF47A3"/>
    <w:rsid w:val="00FF4A12"/>
    <w:rsid w:val="00FF4AFF"/>
    <w:rsid w:val="00FF4C70"/>
    <w:rsid w:val="00FF522C"/>
    <w:rsid w:val="00FF5894"/>
    <w:rsid w:val="00FF58A4"/>
    <w:rsid w:val="00FF60C1"/>
    <w:rsid w:val="00FF6F38"/>
    <w:rsid w:val="00FF71F0"/>
    <w:rsid w:val="00FF73B6"/>
    <w:rsid w:val="00FF7782"/>
    <w:rsid w:val="00FF7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0B271"/>
  <w15:chartTrackingRefBased/>
  <w15:docId w15:val="{2B8CC88D-9BCD-4D70-BC28-4825E916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E7"/>
    <w:rPr>
      <w:rFonts w:ascii="Arial" w:eastAsia="Calibri" w:hAnsi="Arial" w:cs="Times New Roman"/>
    </w:rPr>
  </w:style>
  <w:style w:type="paragraph" w:styleId="Heading1">
    <w:name w:val="heading 1"/>
    <w:basedOn w:val="Normal"/>
    <w:next w:val="Normal"/>
    <w:link w:val="Heading1Char"/>
    <w:uiPriority w:val="9"/>
    <w:qFormat/>
    <w:rsid w:val="005874E7"/>
    <w:pPr>
      <w:keepNext/>
      <w:outlineLvl w:val="0"/>
    </w:pPr>
    <w:rPr>
      <w:rFonts w:cs="Arial"/>
      <w:b/>
      <w:caps/>
    </w:rPr>
  </w:style>
  <w:style w:type="paragraph" w:styleId="Heading2">
    <w:name w:val="heading 2"/>
    <w:basedOn w:val="Normal"/>
    <w:next w:val="Normal"/>
    <w:link w:val="Heading2Char"/>
    <w:uiPriority w:val="9"/>
    <w:qFormat/>
    <w:rsid w:val="005874E7"/>
    <w:pPr>
      <w:keepNext/>
      <w:outlineLvl w:val="1"/>
    </w:pPr>
    <w:rPr>
      <w:rFonts w:cs="Arial"/>
      <w:b/>
    </w:rPr>
  </w:style>
  <w:style w:type="paragraph" w:styleId="Heading3">
    <w:name w:val="heading 3"/>
    <w:basedOn w:val="Normal"/>
    <w:next w:val="Normal"/>
    <w:link w:val="Heading3Char"/>
    <w:uiPriority w:val="9"/>
    <w:qFormat/>
    <w:rsid w:val="005874E7"/>
    <w:pPr>
      <w:keepNext/>
      <w:outlineLvl w:val="2"/>
    </w:pPr>
    <w:rPr>
      <w:rFonts w:cs="Arial"/>
      <w:b/>
      <w:i/>
    </w:rPr>
  </w:style>
  <w:style w:type="paragraph" w:styleId="Heading4">
    <w:name w:val="heading 4"/>
    <w:basedOn w:val="Normal"/>
    <w:next w:val="Normal"/>
    <w:link w:val="Heading4Char"/>
    <w:uiPriority w:val="9"/>
    <w:qFormat/>
    <w:rsid w:val="005874E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E7"/>
    <w:rPr>
      <w:rFonts w:ascii="Arial" w:eastAsia="Calibri" w:hAnsi="Arial" w:cs="Arial"/>
      <w:b/>
      <w:caps/>
    </w:rPr>
  </w:style>
  <w:style w:type="character" w:customStyle="1" w:styleId="Heading2Char">
    <w:name w:val="Heading 2 Char"/>
    <w:basedOn w:val="DefaultParagraphFont"/>
    <w:link w:val="Heading2"/>
    <w:uiPriority w:val="9"/>
    <w:rsid w:val="005874E7"/>
    <w:rPr>
      <w:rFonts w:ascii="Arial" w:eastAsia="Calibri" w:hAnsi="Arial" w:cs="Arial"/>
      <w:b/>
    </w:rPr>
  </w:style>
  <w:style w:type="character" w:customStyle="1" w:styleId="Heading3Char">
    <w:name w:val="Heading 3 Char"/>
    <w:basedOn w:val="DefaultParagraphFont"/>
    <w:link w:val="Heading3"/>
    <w:uiPriority w:val="9"/>
    <w:rsid w:val="005874E7"/>
    <w:rPr>
      <w:rFonts w:ascii="Arial" w:eastAsia="Calibri" w:hAnsi="Arial" w:cs="Arial"/>
      <w:b/>
      <w:i/>
    </w:rPr>
  </w:style>
  <w:style w:type="character" w:customStyle="1" w:styleId="Heading4Char">
    <w:name w:val="Heading 4 Char"/>
    <w:basedOn w:val="DefaultParagraphFont"/>
    <w:link w:val="Heading4"/>
    <w:uiPriority w:val="9"/>
    <w:rsid w:val="005874E7"/>
    <w:rPr>
      <w:rFonts w:ascii="Arial" w:eastAsia="Calibri" w:hAnsi="Arial" w:cs="Arial"/>
      <w:i/>
    </w:rPr>
  </w:style>
  <w:style w:type="paragraph" w:styleId="Header">
    <w:name w:val="header"/>
    <w:basedOn w:val="Normal"/>
    <w:link w:val="HeaderChar"/>
    <w:uiPriority w:val="99"/>
    <w:unhideWhenUsed/>
    <w:rsid w:val="0058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E7"/>
    <w:rPr>
      <w:rFonts w:ascii="Arial" w:eastAsia="Calibri" w:hAnsi="Arial" w:cs="Times New Roman"/>
    </w:rPr>
  </w:style>
  <w:style w:type="paragraph" w:styleId="Footer">
    <w:name w:val="footer"/>
    <w:basedOn w:val="Normal"/>
    <w:link w:val="FooterChar"/>
    <w:uiPriority w:val="99"/>
    <w:unhideWhenUsed/>
    <w:rsid w:val="0058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7"/>
    <w:rPr>
      <w:rFonts w:ascii="Arial" w:eastAsia="Calibri" w:hAnsi="Arial" w:cs="Times New Roman"/>
    </w:rPr>
  </w:style>
  <w:style w:type="paragraph" w:styleId="BalloonText">
    <w:name w:val="Balloon Text"/>
    <w:basedOn w:val="Normal"/>
    <w:link w:val="BalloonTextChar"/>
    <w:uiPriority w:val="99"/>
    <w:semiHidden/>
    <w:unhideWhenUsed/>
    <w:rsid w:val="0058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7"/>
    <w:rPr>
      <w:rFonts w:ascii="Tahoma" w:eastAsia="Calibri" w:hAnsi="Tahoma" w:cs="Tahoma"/>
      <w:sz w:val="16"/>
      <w:szCs w:val="16"/>
    </w:rPr>
  </w:style>
  <w:style w:type="numbering" w:customStyle="1" w:styleId="KeyPoints">
    <w:name w:val="Key Points"/>
    <w:basedOn w:val="NoList"/>
    <w:uiPriority w:val="99"/>
    <w:rsid w:val="005874E7"/>
    <w:pPr>
      <w:numPr>
        <w:numId w:val="1"/>
      </w:numPr>
    </w:pPr>
  </w:style>
  <w:style w:type="paragraph" w:customStyle="1" w:styleId="1NumberedPointsStyle">
    <w:name w:val="1. Numbered Points Style"/>
    <w:basedOn w:val="ListParagraph"/>
    <w:rsid w:val="005874E7"/>
    <w:pPr>
      <w:numPr>
        <w:numId w:val="0"/>
      </w:numPr>
    </w:pPr>
  </w:style>
  <w:style w:type="numbering" w:customStyle="1" w:styleId="BulletList">
    <w:name w:val="Bullet List"/>
    <w:uiPriority w:val="99"/>
    <w:rsid w:val="005874E7"/>
    <w:pPr>
      <w:numPr>
        <w:numId w:val="2"/>
      </w:numPr>
    </w:pPr>
  </w:style>
  <w:style w:type="paragraph" w:customStyle="1" w:styleId="1BulletStyleList">
    <w:name w:val="1. Bullet Style List"/>
    <w:basedOn w:val="Normal"/>
    <w:rsid w:val="005874E7"/>
    <w:pPr>
      <w:spacing w:line="240" w:lineRule="auto"/>
    </w:pPr>
    <w:rPr>
      <w:rFonts w:eastAsia="Times New Roman"/>
      <w:szCs w:val="20"/>
      <w:lang w:eastAsia="en-AU"/>
    </w:rPr>
  </w:style>
  <w:style w:type="paragraph" w:styleId="ListBullet">
    <w:name w:val="List Bullet"/>
    <w:basedOn w:val="Normal"/>
    <w:uiPriority w:val="99"/>
    <w:unhideWhenUsed/>
    <w:qFormat/>
    <w:rsid w:val="005874E7"/>
    <w:pPr>
      <w:numPr>
        <w:numId w:val="7"/>
      </w:numPr>
      <w:tabs>
        <w:tab w:val="clear" w:pos="360"/>
      </w:tabs>
      <w:ind w:left="369" w:hanging="369"/>
    </w:pPr>
  </w:style>
  <w:style w:type="paragraph" w:styleId="ListBullet2">
    <w:name w:val="List Bullet 2"/>
    <w:basedOn w:val="Normal"/>
    <w:uiPriority w:val="99"/>
    <w:unhideWhenUsed/>
    <w:rsid w:val="005874E7"/>
    <w:pPr>
      <w:numPr>
        <w:ilvl w:val="1"/>
        <w:numId w:val="6"/>
      </w:numPr>
    </w:pPr>
  </w:style>
  <w:style w:type="paragraph" w:styleId="ListBullet3">
    <w:name w:val="List Bullet 3"/>
    <w:basedOn w:val="Normal"/>
    <w:uiPriority w:val="99"/>
    <w:unhideWhenUsed/>
    <w:rsid w:val="005874E7"/>
    <w:pPr>
      <w:numPr>
        <w:ilvl w:val="2"/>
        <w:numId w:val="6"/>
      </w:numPr>
    </w:pPr>
  </w:style>
  <w:style w:type="paragraph" w:styleId="ListBullet4">
    <w:name w:val="List Bullet 4"/>
    <w:basedOn w:val="Normal"/>
    <w:uiPriority w:val="99"/>
    <w:unhideWhenUsed/>
    <w:rsid w:val="005874E7"/>
    <w:pPr>
      <w:numPr>
        <w:ilvl w:val="3"/>
        <w:numId w:val="6"/>
      </w:numPr>
    </w:pPr>
  </w:style>
  <w:style w:type="paragraph" w:styleId="ListBullet5">
    <w:name w:val="List Bullet 5"/>
    <w:basedOn w:val="Normal"/>
    <w:uiPriority w:val="99"/>
    <w:unhideWhenUsed/>
    <w:rsid w:val="005874E7"/>
    <w:pPr>
      <w:ind w:left="369" w:hanging="369"/>
    </w:pPr>
  </w:style>
  <w:style w:type="numbering" w:customStyle="1" w:styleId="Attach">
    <w:name w:val="Attach"/>
    <w:basedOn w:val="NoList"/>
    <w:uiPriority w:val="99"/>
    <w:rsid w:val="005874E7"/>
    <w:pPr>
      <w:numPr>
        <w:numId w:val="3"/>
      </w:numPr>
    </w:pPr>
  </w:style>
  <w:style w:type="paragraph" w:customStyle="1" w:styleId="Classification">
    <w:name w:val="Classification"/>
    <w:basedOn w:val="Normal"/>
    <w:uiPriority w:val="10"/>
    <w:qFormat/>
    <w:rsid w:val="005874E7"/>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1 heading,Bulleted Para,CV text,DDM Gen Text,Dot pt,F5 List Paragraph,FooterText,L,List Paragraph1,List Paragraph11,List Paragraph111,List Paragraph2,Medium Grid 1 - Accent 21,NFP GP Bulleted List,Numbered Paragraph,Recommendation"/>
    <w:basedOn w:val="Normal"/>
    <w:link w:val="ListParagraphChar"/>
    <w:uiPriority w:val="34"/>
    <w:qFormat/>
    <w:rsid w:val="005874E7"/>
    <w:pPr>
      <w:numPr>
        <w:numId w:val="4"/>
      </w:numPr>
    </w:pPr>
  </w:style>
  <w:style w:type="character" w:styleId="BookTitle">
    <w:name w:val="Book Title"/>
    <w:basedOn w:val="DefaultParagraphFont"/>
    <w:uiPriority w:val="33"/>
    <w:rsid w:val="005874E7"/>
    <w:rPr>
      <w:bCs/>
      <w:i/>
      <w:smallCaps/>
      <w:spacing w:val="5"/>
    </w:rPr>
  </w:style>
  <w:style w:type="paragraph" w:styleId="ListNumber">
    <w:name w:val="List Number"/>
    <w:basedOn w:val="Normal"/>
    <w:uiPriority w:val="99"/>
    <w:qFormat/>
    <w:rsid w:val="005874E7"/>
    <w:pPr>
      <w:numPr>
        <w:numId w:val="5"/>
      </w:numPr>
    </w:pPr>
  </w:style>
  <w:style w:type="paragraph" w:styleId="ListNumber2">
    <w:name w:val="List Number 2"/>
    <w:basedOn w:val="Normal"/>
    <w:uiPriority w:val="99"/>
    <w:rsid w:val="005874E7"/>
    <w:pPr>
      <w:numPr>
        <w:ilvl w:val="1"/>
        <w:numId w:val="5"/>
      </w:numPr>
    </w:pPr>
  </w:style>
  <w:style w:type="paragraph" w:styleId="ListNumber3">
    <w:name w:val="List Number 3"/>
    <w:basedOn w:val="Normal"/>
    <w:uiPriority w:val="99"/>
    <w:rsid w:val="005874E7"/>
    <w:pPr>
      <w:numPr>
        <w:ilvl w:val="2"/>
        <w:numId w:val="5"/>
      </w:numPr>
    </w:pPr>
  </w:style>
  <w:style w:type="paragraph" w:styleId="ListNumber4">
    <w:name w:val="List Number 4"/>
    <w:basedOn w:val="Normal"/>
    <w:uiPriority w:val="99"/>
    <w:rsid w:val="005874E7"/>
    <w:pPr>
      <w:numPr>
        <w:ilvl w:val="3"/>
        <w:numId w:val="5"/>
      </w:numPr>
    </w:pPr>
  </w:style>
  <w:style w:type="paragraph" w:styleId="ListNumber5">
    <w:name w:val="List Number 5"/>
    <w:basedOn w:val="Normal"/>
    <w:uiPriority w:val="99"/>
    <w:rsid w:val="005874E7"/>
    <w:pPr>
      <w:numPr>
        <w:ilvl w:val="4"/>
        <w:numId w:val="5"/>
      </w:numPr>
    </w:pPr>
  </w:style>
  <w:style w:type="paragraph" w:customStyle="1" w:styleId="Footerclassification">
    <w:name w:val="Footer classification"/>
    <w:basedOn w:val="Classification"/>
    <w:rsid w:val="005874E7"/>
    <w:pPr>
      <w:spacing w:before="240" w:after="0"/>
    </w:pPr>
  </w:style>
  <w:style w:type="table" w:styleId="TableGrid">
    <w:name w:val="Table Grid"/>
    <w:basedOn w:val="TableNormal"/>
    <w:uiPriority w:val="59"/>
    <w:rsid w:val="005874E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874E7"/>
    <w:pPr>
      <w:spacing w:after="0"/>
    </w:pPr>
  </w:style>
  <w:style w:type="paragraph" w:customStyle="1" w:styleId="Classificationsensitivity">
    <w:name w:val="Classification sensitivity"/>
    <w:basedOn w:val="Classification"/>
    <w:rsid w:val="005874E7"/>
    <w:rPr>
      <w:sz w:val="22"/>
    </w:rPr>
  </w:style>
  <w:style w:type="paragraph" w:styleId="NoSpacing">
    <w:name w:val="No Spacing"/>
    <w:link w:val="NoSpacingChar"/>
    <w:uiPriority w:val="1"/>
    <w:qFormat/>
    <w:rsid w:val="0058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74E7"/>
    <w:rPr>
      <w:rFonts w:eastAsiaTheme="minorEastAsia"/>
      <w:lang w:val="en-US"/>
    </w:rPr>
  </w:style>
  <w:style w:type="table" w:styleId="LightList-Accent2">
    <w:name w:val="Light List Accent 2"/>
    <w:basedOn w:val="TableNormal"/>
    <w:uiPriority w:val="61"/>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2D7001"/>
    <w:pPr>
      <w:tabs>
        <w:tab w:val="right" w:leader="dot" w:pos="10456"/>
      </w:tabs>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810F0D"/>
    <w:pPr>
      <w:tabs>
        <w:tab w:val="right" w:leader="dot" w:pos="10456"/>
      </w:tabs>
      <w:spacing w:after="0"/>
      <w:ind w:left="440"/>
    </w:pPr>
    <w:rPr>
      <w:rFonts w:asciiTheme="minorHAnsi" w:hAnsiTheme="minorHAnsi"/>
      <w:i/>
      <w:iCs/>
      <w:sz w:val="20"/>
      <w:szCs w:val="20"/>
    </w:rPr>
  </w:style>
  <w:style w:type="character" w:styleId="Hyperlink">
    <w:name w:val="Hyperlink"/>
    <w:basedOn w:val="DefaultParagraphFont"/>
    <w:uiPriority w:val="99"/>
    <w:unhideWhenUsed/>
    <w:rsid w:val="005874E7"/>
    <w:rPr>
      <w:color w:val="0000FF" w:themeColor="hyperlink"/>
      <w:u w:val="single"/>
    </w:rPr>
  </w:style>
  <w:style w:type="paragraph" w:styleId="TOC1">
    <w:name w:val="toc 1"/>
    <w:basedOn w:val="Normal"/>
    <w:next w:val="Normal"/>
    <w:autoRedefine/>
    <w:uiPriority w:val="39"/>
    <w:unhideWhenUsed/>
    <w:rsid w:val="002D7001"/>
    <w:pPr>
      <w:tabs>
        <w:tab w:val="right" w:leader="dot" w:pos="10456"/>
      </w:tabs>
      <w:spacing w:before="120" w:after="0"/>
    </w:pPr>
    <w:rPr>
      <w:rFonts w:asciiTheme="minorHAnsi" w:hAnsiTheme="minorHAnsi"/>
      <w:b/>
      <w:bCs/>
      <w:caps/>
      <w:sz w:val="20"/>
      <w:szCs w:val="20"/>
    </w:rPr>
  </w:style>
  <w:style w:type="paragraph" w:styleId="NormalWeb">
    <w:name w:val="Normal (Web)"/>
    <w:basedOn w:val="Normal"/>
    <w:uiPriority w:val="99"/>
    <w:unhideWhenUsed/>
    <w:rsid w:val="005874E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874E7"/>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scrread">
    <w:name w:val="scrread"/>
    <w:basedOn w:val="Normal"/>
    <w:rsid w:val="005874E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5874E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5874E7"/>
    <w:rPr>
      <w:color w:val="800080" w:themeColor="followedHyperlink"/>
      <w:u w:val="single"/>
    </w:rPr>
  </w:style>
  <w:style w:type="character" w:styleId="CommentReference">
    <w:name w:val="annotation reference"/>
    <w:basedOn w:val="DefaultParagraphFont"/>
    <w:uiPriority w:val="99"/>
    <w:semiHidden/>
    <w:unhideWhenUsed/>
    <w:rsid w:val="005874E7"/>
    <w:rPr>
      <w:sz w:val="16"/>
      <w:szCs w:val="16"/>
    </w:rPr>
  </w:style>
  <w:style w:type="paragraph" w:styleId="CommentText">
    <w:name w:val="annotation text"/>
    <w:basedOn w:val="Normal"/>
    <w:link w:val="CommentTextChar"/>
    <w:uiPriority w:val="99"/>
    <w:unhideWhenUsed/>
    <w:rsid w:val="005874E7"/>
    <w:pPr>
      <w:spacing w:line="240" w:lineRule="auto"/>
    </w:pPr>
    <w:rPr>
      <w:sz w:val="20"/>
      <w:szCs w:val="20"/>
    </w:rPr>
  </w:style>
  <w:style w:type="character" w:customStyle="1" w:styleId="CommentTextChar">
    <w:name w:val="Comment Text Char"/>
    <w:basedOn w:val="DefaultParagraphFont"/>
    <w:link w:val="CommentText"/>
    <w:uiPriority w:val="99"/>
    <w:rsid w:val="005874E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74E7"/>
    <w:rPr>
      <w:b/>
      <w:bCs/>
    </w:rPr>
  </w:style>
  <w:style w:type="character" w:customStyle="1" w:styleId="CommentSubjectChar">
    <w:name w:val="Comment Subject Char"/>
    <w:basedOn w:val="CommentTextChar"/>
    <w:link w:val="CommentSubject"/>
    <w:uiPriority w:val="99"/>
    <w:semiHidden/>
    <w:rsid w:val="005874E7"/>
    <w:rPr>
      <w:rFonts w:ascii="Arial" w:eastAsia="Calibri" w:hAnsi="Arial" w:cs="Times New Roman"/>
      <w:b/>
      <w:bCs/>
      <w:sz w:val="20"/>
      <w:szCs w:val="20"/>
    </w:rPr>
  </w:style>
  <w:style w:type="paragraph" w:styleId="Revision">
    <w:name w:val="Revision"/>
    <w:hidden/>
    <w:uiPriority w:val="99"/>
    <w:semiHidden/>
    <w:rsid w:val="005874E7"/>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58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4E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874E7"/>
    <w:rPr>
      <w:vertAlign w:val="superscript"/>
    </w:rPr>
  </w:style>
  <w:style w:type="character" w:customStyle="1" w:styleId="tgc">
    <w:name w:val="_tgc"/>
    <w:basedOn w:val="DefaultParagraphFont"/>
    <w:rsid w:val="005874E7"/>
  </w:style>
  <w:style w:type="character" w:customStyle="1" w:styleId="st1">
    <w:name w:val="st1"/>
    <w:basedOn w:val="DefaultParagraphFont"/>
    <w:rsid w:val="005874E7"/>
  </w:style>
  <w:style w:type="paragraph" w:styleId="TOC4">
    <w:name w:val="toc 4"/>
    <w:basedOn w:val="Normal"/>
    <w:next w:val="Normal"/>
    <w:autoRedefine/>
    <w:uiPriority w:val="39"/>
    <w:unhideWhenUsed/>
    <w:rsid w:val="005874E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874E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874E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874E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874E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874E7"/>
    <w:pPr>
      <w:spacing w:after="0"/>
      <w:ind w:left="1760"/>
    </w:pPr>
    <w:rPr>
      <w:rFonts w:asciiTheme="minorHAnsi" w:hAnsiTheme="minorHAnsi"/>
      <w:sz w:val="18"/>
      <w:szCs w:val="18"/>
    </w:rPr>
  </w:style>
  <w:style w:type="character" w:styleId="Strong">
    <w:name w:val="Strong"/>
    <w:basedOn w:val="DefaultParagraphFont"/>
    <w:uiPriority w:val="22"/>
    <w:qFormat/>
    <w:rsid w:val="005874E7"/>
    <w:rPr>
      <w:b/>
      <w:bCs/>
    </w:rPr>
  </w:style>
  <w:style w:type="character" w:styleId="Emphasis">
    <w:name w:val="Emphasis"/>
    <w:basedOn w:val="DefaultParagraphFont"/>
    <w:uiPriority w:val="20"/>
    <w:qFormat/>
    <w:rsid w:val="005874E7"/>
    <w:rPr>
      <w:i/>
      <w:iCs/>
    </w:rPr>
  </w:style>
  <w:style w:type="character" w:customStyle="1" w:styleId="gmail-s1">
    <w:name w:val="gmail-s1"/>
    <w:basedOn w:val="DefaultParagraphFont"/>
    <w:rsid w:val="00C20262"/>
  </w:style>
  <w:style w:type="character" w:customStyle="1" w:styleId="gmail-s2">
    <w:name w:val="gmail-s2"/>
    <w:basedOn w:val="DefaultParagraphFont"/>
    <w:rsid w:val="00C20262"/>
  </w:style>
  <w:style w:type="paragraph" w:customStyle="1" w:styleId="gmail-p3">
    <w:name w:val="gmail-p3"/>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gmail-p1">
    <w:name w:val="gmail-p1"/>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gmail-s4">
    <w:name w:val="gmail-s4"/>
    <w:basedOn w:val="DefaultParagraphFont"/>
    <w:rsid w:val="00CB361B"/>
  </w:style>
  <w:style w:type="table" w:customStyle="1" w:styleId="TableGrid1">
    <w:name w:val="Table Grid1"/>
    <w:basedOn w:val="TableNormal"/>
    <w:next w:val="TableGrid"/>
    <w:uiPriority w:val="59"/>
    <w:rsid w:val="0021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s3">
    <w:name w:val="gmail-s3"/>
    <w:basedOn w:val="DefaultParagraphFont"/>
    <w:rsid w:val="00331981"/>
  </w:style>
  <w:style w:type="character" w:customStyle="1" w:styleId="hps-normal1">
    <w:name w:val="hps-normal1"/>
    <w:basedOn w:val="DefaultParagraphFont"/>
    <w:rsid w:val="007759C0"/>
  </w:style>
  <w:style w:type="paragraph" w:customStyle="1" w:styleId="hps-normal">
    <w:name w:val="hps-normal"/>
    <w:basedOn w:val="Normal"/>
    <w:rsid w:val="002A6706"/>
    <w:pPr>
      <w:spacing w:before="180" w:after="180" w:line="240" w:lineRule="auto"/>
      <w:ind w:firstLine="240"/>
    </w:pPr>
    <w:rPr>
      <w:rFonts w:ascii="Times New Roman" w:eastAsia="Times New Roman" w:hAnsi="Times New Roman"/>
      <w:color w:val="444444"/>
      <w:sz w:val="24"/>
      <w:szCs w:val="24"/>
      <w:lang w:eastAsia="en-AU"/>
    </w:rPr>
  </w:style>
  <w:style w:type="character" w:customStyle="1" w:styleId="ListParagraphChar">
    <w:name w:val="List Paragraph Char"/>
    <w:aliases w:val="1 heading Char,Bulleted Para Char,CV text Char,DDM Gen Text Char,Dot pt Char,F5 List Paragraph Char,FooterText Char,L Char,List Paragraph1 Char,List Paragraph11 Char,List Paragraph111 Char,List Paragraph2 Char,Numbered Paragraph Char"/>
    <w:basedOn w:val="DefaultParagraphFont"/>
    <w:link w:val="ListParagraph"/>
    <w:uiPriority w:val="34"/>
    <w:qFormat/>
    <w:locked/>
    <w:rsid w:val="002A6706"/>
    <w:rPr>
      <w:rFonts w:ascii="Arial" w:eastAsia="Calibri" w:hAnsi="Arial" w:cs="Times New Roman"/>
    </w:rPr>
  </w:style>
  <w:style w:type="paragraph" w:customStyle="1" w:styleId="ydp9b35d7f1yiv8283073263msolistparagraph">
    <w:name w:val="ydp9b35d7f1yiv8283073263msolistparagraph"/>
    <w:basedOn w:val="Normal"/>
    <w:rsid w:val="002A6706"/>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ydp22a6ac27yiv6561085026msonormal">
    <w:name w:val="ydp22a6ac27yiv6561085026msonormal"/>
    <w:basedOn w:val="Normal"/>
    <w:rsid w:val="0030424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ydp590c5e56yiv5064642127msonormal">
    <w:name w:val="ydp590c5e56yiv5064642127msonormal"/>
    <w:basedOn w:val="Normal"/>
    <w:uiPriority w:val="99"/>
    <w:rsid w:val="00304241"/>
    <w:pPr>
      <w:spacing w:before="100" w:beforeAutospacing="1" w:after="100" w:afterAutospacing="1" w:line="240" w:lineRule="auto"/>
    </w:pPr>
    <w:rPr>
      <w:rFonts w:ascii="Calibri" w:eastAsiaTheme="minorHAnsi" w:hAnsi="Calibri" w:cs="Calibri"/>
      <w:lang w:eastAsia="en-AU"/>
    </w:rPr>
  </w:style>
  <w:style w:type="paragraph" w:customStyle="1" w:styleId="ydp27c4d6a0yiv8834822721msonormal">
    <w:name w:val="ydp27c4d6a0yiv8834822721msonormal"/>
    <w:basedOn w:val="Normal"/>
    <w:rsid w:val="00304241"/>
    <w:pPr>
      <w:spacing w:before="100" w:beforeAutospacing="1" w:after="100" w:afterAutospacing="1" w:line="240" w:lineRule="auto"/>
    </w:pPr>
    <w:rPr>
      <w:rFonts w:ascii="Times New Roman" w:eastAsiaTheme="minorHAnsi" w:hAnsi="Times New Roman"/>
      <w:sz w:val="24"/>
      <w:szCs w:val="24"/>
      <w:lang w:eastAsia="en-AU"/>
    </w:rPr>
  </w:style>
  <w:style w:type="paragraph" w:styleId="PlainText">
    <w:name w:val="Plain Text"/>
    <w:basedOn w:val="Normal"/>
    <w:link w:val="PlainTextChar"/>
    <w:uiPriority w:val="99"/>
    <w:unhideWhenUsed/>
    <w:rsid w:val="000C775F"/>
    <w:pPr>
      <w:spacing w:after="0" w:line="240" w:lineRule="auto"/>
    </w:pPr>
    <w:rPr>
      <w:rFonts w:ascii="Consolas" w:eastAsia="Times New Roman" w:hAnsi="Consolas"/>
      <w:sz w:val="21"/>
      <w:szCs w:val="21"/>
      <w:lang w:eastAsia="en-AU"/>
    </w:rPr>
  </w:style>
  <w:style w:type="character" w:customStyle="1" w:styleId="PlainTextChar">
    <w:name w:val="Plain Text Char"/>
    <w:basedOn w:val="DefaultParagraphFont"/>
    <w:link w:val="PlainText"/>
    <w:uiPriority w:val="99"/>
    <w:rsid w:val="000C775F"/>
    <w:rPr>
      <w:rFonts w:ascii="Consolas" w:eastAsia="Times New Roman" w:hAnsi="Consolas" w:cs="Times New Roman"/>
      <w:sz w:val="21"/>
      <w:szCs w:val="21"/>
      <w:lang w:eastAsia="en-AU"/>
    </w:rPr>
  </w:style>
  <w:style w:type="character" w:styleId="UnresolvedMention">
    <w:name w:val="Unresolved Mention"/>
    <w:basedOn w:val="DefaultParagraphFont"/>
    <w:uiPriority w:val="99"/>
    <w:semiHidden/>
    <w:unhideWhenUsed/>
    <w:rsid w:val="00506C67"/>
    <w:rPr>
      <w:color w:val="605E5C"/>
      <w:shd w:val="clear" w:color="auto" w:fill="E1DFDD"/>
    </w:rPr>
  </w:style>
  <w:style w:type="character" w:customStyle="1" w:styleId="cf01">
    <w:name w:val="cf01"/>
    <w:basedOn w:val="DefaultParagraphFont"/>
    <w:rsid w:val="00A2504C"/>
    <w:rPr>
      <w:rFonts w:ascii="Segoe UI" w:hAnsi="Segoe UI" w:cs="Segoe UI" w:hint="default"/>
      <w:sz w:val="18"/>
      <w:szCs w:val="18"/>
    </w:rPr>
  </w:style>
  <w:style w:type="character" w:customStyle="1" w:styleId="ui-provider">
    <w:name w:val="ui-provider"/>
    <w:basedOn w:val="DefaultParagraphFont"/>
    <w:rsid w:val="00ED6B30"/>
  </w:style>
  <w:style w:type="character" w:customStyle="1" w:styleId="normaltextrun">
    <w:name w:val="normaltextrun"/>
    <w:basedOn w:val="DefaultParagraphFont"/>
    <w:rsid w:val="00ED6B30"/>
  </w:style>
  <w:style w:type="character" w:styleId="Mention">
    <w:name w:val="Mention"/>
    <w:basedOn w:val="DefaultParagraphFont"/>
    <w:uiPriority w:val="99"/>
    <w:unhideWhenUsed/>
    <w:rsid w:val="00754B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219">
      <w:bodyDiv w:val="1"/>
      <w:marLeft w:val="0"/>
      <w:marRight w:val="0"/>
      <w:marTop w:val="0"/>
      <w:marBottom w:val="0"/>
      <w:divBdr>
        <w:top w:val="none" w:sz="0" w:space="0" w:color="auto"/>
        <w:left w:val="none" w:sz="0" w:space="0" w:color="auto"/>
        <w:bottom w:val="none" w:sz="0" w:space="0" w:color="auto"/>
        <w:right w:val="none" w:sz="0" w:space="0" w:color="auto"/>
      </w:divBdr>
    </w:div>
    <w:div w:id="56323535">
      <w:bodyDiv w:val="1"/>
      <w:marLeft w:val="0"/>
      <w:marRight w:val="0"/>
      <w:marTop w:val="0"/>
      <w:marBottom w:val="0"/>
      <w:divBdr>
        <w:top w:val="none" w:sz="0" w:space="0" w:color="auto"/>
        <w:left w:val="none" w:sz="0" w:space="0" w:color="auto"/>
        <w:bottom w:val="none" w:sz="0" w:space="0" w:color="auto"/>
        <w:right w:val="none" w:sz="0" w:space="0" w:color="auto"/>
      </w:divBdr>
      <w:divsChild>
        <w:div w:id="74130481">
          <w:marLeft w:val="547"/>
          <w:marRight w:val="0"/>
          <w:marTop w:val="67"/>
          <w:marBottom w:val="120"/>
          <w:divBdr>
            <w:top w:val="none" w:sz="0" w:space="0" w:color="auto"/>
            <w:left w:val="none" w:sz="0" w:space="0" w:color="auto"/>
            <w:bottom w:val="none" w:sz="0" w:space="0" w:color="auto"/>
            <w:right w:val="none" w:sz="0" w:space="0" w:color="auto"/>
          </w:divBdr>
        </w:div>
        <w:div w:id="883835420">
          <w:marLeft w:val="1166"/>
          <w:marRight w:val="0"/>
          <w:marTop w:val="67"/>
          <w:marBottom w:val="120"/>
          <w:divBdr>
            <w:top w:val="none" w:sz="0" w:space="0" w:color="auto"/>
            <w:left w:val="none" w:sz="0" w:space="0" w:color="auto"/>
            <w:bottom w:val="none" w:sz="0" w:space="0" w:color="auto"/>
            <w:right w:val="none" w:sz="0" w:space="0" w:color="auto"/>
          </w:divBdr>
        </w:div>
        <w:div w:id="963383908">
          <w:marLeft w:val="1166"/>
          <w:marRight w:val="0"/>
          <w:marTop w:val="67"/>
          <w:marBottom w:val="120"/>
          <w:divBdr>
            <w:top w:val="none" w:sz="0" w:space="0" w:color="auto"/>
            <w:left w:val="none" w:sz="0" w:space="0" w:color="auto"/>
            <w:bottom w:val="none" w:sz="0" w:space="0" w:color="auto"/>
            <w:right w:val="none" w:sz="0" w:space="0" w:color="auto"/>
          </w:divBdr>
        </w:div>
        <w:div w:id="1473516992">
          <w:marLeft w:val="547"/>
          <w:marRight w:val="0"/>
          <w:marTop w:val="67"/>
          <w:marBottom w:val="120"/>
          <w:divBdr>
            <w:top w:val="none" w:sz="0" w:space="0" w:color="auto"/>
            <w:left w:val="none" w:sz="0" w:space="0" w:color="auto"/>
            <w:bottom w:val="none" w:sz="0" w:space="0" w:color="auto"/>
            <w:right w:val="none" w:sz="0" w:space="0" w:color="auto"/>
          </w:divBdr>
        </w:div>
        <w:div w:id="1521355975">
          <w:marLeft w:val="547"/>
          <w:marRight w:val="0"/>
          <w:marTop w:val="67"/>
          <w:marBottom w:val="120"/>
          <w:divBdr>
            <w:top w:val="none" w:sz="0" w:space="0" w:color="auto"/>
            <w:left w:val="none" w:sz="0" w:space="0" w:color="auto"/>
            <w:bottom w:val="none" w:sz="0" w:space="0" w:color="auto"/>
            <w:right w:val="none" w:sz="0" w:space="0" w:color="auto"/>
          </w:divBdr>
        </w:div>
        <w:div w:id="1726483726">
          <w:marLeft w:val="547"/>
          <w:marRight w:val="0"/>
          <w:marTop w:val="67"/>
          <w:marBottom w:val="120"/>
          <w:divBdr>
            <w:top w:val="none" w:sz="0" w:space="0" w:color="auto"/>
            <w:left w:val="none" w:sz="0" w:space="0" w:color="auto"/>
            <w:bottom w:val="none" w:sz="0" w:space="0" w:color="auto"/>
            <w:right w:val="none" w:sz="0" w:space="0" w:color="auto"/>
          </w:divBdr>
        </w:div>
        <w:div w:id="1956210791">
          <w:marLeft w:val="547"/>
          <w:marRight w:val="0"/>
          <w:marTop w:val="67"/>
          <w:marBottom w:val="120"/>
          <w:divBdr>
            <w:top w:val="none" w:sz="0" w:space="0" w:color="auto"/>
            <w:left w:val="none" w:sz="0" w:space="0" w:color="auto"/>
            <w:bottom w:val="none" w:sz="0" w:space="0" w:color="auto"/>
            <w:right w:val="none" w:sz="0" w:space="0" w:color="auto"/>
          </w:divBdr>
        </w:div>
      </w:divsChild>
    </w:div>
    <w:div w:id="164831188">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206995116">
      <w:bodyDiv w:val="1"/>
      <w:marLeft w:val="0"/>
      <w:marRight w:val="0"/>
      <w:marTop w:val="0"/>
      <w:marBottom w:val="0"/>
      <w:divBdr>
        <w:top w:val="none" w:sz="0" w:space="0" w:color="auto"/>
        <w:left w:val="none" w:sz="0" w:space="0" w:color="auto"/>
        <w:bottom w:val="none" w:sz="0" w:space="0" w:color="auto"/>
        <w:right w:val="none" w:sz="0" w:space="0" w:color="auto"/>
      </w:divBdr>
    </w:div>
    <w:div w:id="293757386">
      <w:bodyDiv w:val="1"/>
      <w:marLeft w:val="0"/>
      <w:marRight w:val="0"/>
      <w:marTop w:val="0"/>
      <w:marBottom w:val="0"/>
      <w:divBdr>
        <w:top w:val="none" w:sz="0" w:space="0" w:color="auto"/>
        <w:left w:val="none" w:sz="0" w:space="0" w:color="auto"/>
        <w:bottom w:val="none" w:sz="0" w:space="0" w:color="auto"/>
        <w:right w:val="none" w:sz="0" w:space="0" w:color="auto"/>
      </w:divBdr>
    </w:div>
    <w:div w:id="478544353">
      <w:bodyDiv w:val="1"/>
      <w:marLeft w:val="0"/>
      <w:marRight w:val="0"/>
      <w:marTop w:val="0"/>
      <w:marBottom w:val="0"/>
      <w:divBdr>
        <w:top w:val="none" w:sz="0" w:space="0" w:color="auto"/>
        <w:left w:val="none" w:sz="0" w:space="0" w:color="auto"/>
        <w:bottom w:val="none" w:sz="0" w:space="0" w:color="auto"/>
        <w:right w:val="none" w:sz="0" w:space="0" w:color="auto"/>
      </w:divBdr>
      <w:divsChild>
        <w:div w:id="891694644">
          <w:marLeft w:val="0"/>
          <w:marRight w:val="0"/>
          <w:marTop w:val="0"/>
          <w:marBottom w:val="100"/>
          <w:divBdr>
            <w:top w:val="none" w:sz="0" w:space="0" w:color="auto"/>
            <w:left w:val="none" w:sz="0" w:space="0" w:color="auto"/>
            <w:bottom w:val="none" w:sz="0" w:space="0" w:color="auto"/>
            <w:right w:val="none" w:sz="0" w:space="0" w:color="auto"/>
          </w:divBdr>
          <w:divsChild>
            <w:div w:id="554514187">
              <w:marLeft w:val="0"/>
              <w:marRight w:val="0"/>
              <w:marTop w:val="0"/>
              <w:marBottom w:val="0"/>
              <w:divBdr>
                <w:top w:val="none" w:sz="0" w:space="0" w:color="auto"/>
                <w:left w:val="none" w:sz="0" w:space="0" w:color="auto"/>
                <w:bottom w:val="none" w:sz="0" w:space="0" w:color="auto"/>
                <w:right w:val="none" w:sz="0" w:space="0" w:color="auto"/>
              </w:divBdr>
              <w:divsChild>
                <w:div w:id="1042680213">
                  <w:marLeft w:val="0"/>
                  <w:marRight w:val="0"/>
                  <w:marTop w:val="0"/>
                  <w:marBottom w:val="0"/>
                  <w:divBdr>
                    <w:top w:val="none" w:sz="0" w:space="0" w:color="auto"/>
                    <w:left w:val="none" w:sz="0" w:space="0" w:color="auto"/>
                    <w:bottom w:val="none" w:sz="0" w:space="0" w:color="auto"/>
                    <w:right w:val="none" w:sz="0" w:space="0" w:color="auto"/>
                  </w:divBdr>
                  <w:divsChild>
                    <w:div w:id="1343623998">
                      <w:marLeft w:val="0"/>
                      <w:marRight w:val="0"/>
                      <w:marTop w:val="168"/>
                      <w:marBottom w:val="168"/>
                      <w:divBdr>
                        <w:top w:val="none" w:sz="0" w:space="0" w:color="auto"/>
                        <w:left w:val="none" w:sz="0" w:space="0" w:color="auto"/>
                        <w:bottom w:val="none" w:sz="0" w:space="0" w:color="auto"/>
                        <w:right w:val="none" w:sz="0" w:space="0" w:color="auto"/>
                      </w:divBdr>
                      <w:divsChild>
                        <w:div w:id="2023434935">
                          <w:marLeft w:val="0"/>
                          <w:marRight w:val="0"/>
                          <w:marTop w:val="0"/>
                          <w:marBottom w:val="0"/>
                          <w:divBdr>
                            <w:top w:val="none" w:sz="0" w:space="0" w:color="auto"/>
                            <w:left w:val="none" w:sz="0" w:space="0" w:color="auto"/>
                            <w:bottom w:val="none" w:sz="0" w:space="0" w:color="auto"/>
                            <w:right w:val="none" w:sz="0" w:space="0" w:color="auto"/>
                          </w:divBdr>
                          <w:divsChild>
                            <w:div w:id="16437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82247">
      <w:bodyDiv w:val="1"/>
      <w:marLeft w:val="0"/>
      <w:marRight w:val="0"/>
      <w:marTop w:val="0"/>
      <w:marBottom w:val="0"/>
      <w:divBdr>
        <w:top w:val="none" w:sz="0" w:space="0" w:color="auto"/>
        <w:left w:val="none" w:sz="0" w:space="0" w:color="auto"/>
        <w:bottom w:val="none" w:sz="0" w:space="0" w:color="auto"/>
        <w:right w:val="none" w:sz="0" w:space="0" w:color="auto"/>
      </w:divBdr>
    </w:div>
    <w:div w:id="774133057">
      <w:bodyDiv w:val="1"/>
      <w:marLeft w:val="0"/>
      <w:marRight w:val="0"/>
      <w:marTop w:val="0"/>
      <w:marBottom w:val="0"/>
      <w:divBdr>
        <w:top w:val="none" w:sz="0" w:space="0" w:color="auto"/>
        <w:left w:val="none" w:sz="0" w:space="0" w:color="auto"/>
        <w:bottom w:val="none" w:sz="0" w:space="0" w:color="auto"/>
        <w:right w:val="none" w:sz="0" w:space="0" w:color="auto"/>
      </w:divBdr>
      <w:divsChild>
        <w:div w:id="1706825480">
          <w:marLeft w:val="0"/>
          <w:marRight w:val="0"/>
          <w:marTop w:val="0"/>
          <w:marBottom w:val="0"/>
          <w:divBdr>
            <w:top w:val="none" w:sz="0" w:space="0" w:color="auto"/>
            <w:left w:val="none" w:sz="0" w:space="0" w:color="auto"/>
            <w:bottom w:val="none" w:sz="0" w:space="0" w:color="auto"/>
            <w:right w:val="none" w:sz="0" w:space="0" w:color="auto"/>
          </w:divBdr>
          <w:divsChild>
            <w:div w:id="2137210880">
              <w:marLeft w:val="0"/>
              <w:marRight w:val="0"/>
              <w:marTop w:val="0"/>
              <w:marBottom w:val="0"/>
              <w:divBdr>
                <w:top w:val="none" w:sz="0" w:space="0" w:color="auto"/>
                <w:left w:val="none" w:sz="0" w:space="0" w:color="auto"/>
                <w:bottom w:val="none" w:sz="0" w:space="0" w:color="auto"/>
                <w:right w:val="none" w:sz="0" w:space="0" w:color="auto"/>
              </w:divBdr>
              <w:divsChild>
                <w:div w:id="253706401">
                  <w:marLeft w:val="0"/>
                  <w:marRight w:val="0"/>
                  <w:marTop w:val="0"/>
                  <w:marBottom w:val="0"/>
                  <w:divBdr>
                    <w:top w:val="none" w:sz="0" w:space="0" w:color="auto"/>
                    <w:left w:val="none" w:sz="0" w:space="0" w:color="auto"/>
                    <w:bottom w:val="none" w:sz="0" w:space="0" w:color="auto"/>
                    <w:right w:val="none" w:sz="0" w:space="0" w:color="auto"/>
                  </w:divBdr>
                  <w:divsChild>
                    <w:div w:id="1812551786">
                      <w:marLeft w:val="0"/>
                      <w:marRight w:val="0"/>
                      <w:marTop w:val="0"/>
                      <w:marBottom w:val="0"/>
                      <w:divBdr>
                        <w:top w:val="none" w:sz="0" w:space="0" w:color="auto"/>
                        <w:left w:val="none" w:sz="0" w:space="0" w:color="auto"/>
                        <w:bottom w:val="none" w:sz="0" w:space="0" w:color="auto"/>
                        <w:right w:val="none" w:sz="0" w:space="0" w:color="auto"/>
                      </w:divBdr>
                      <w:divsChild>
                        <w:div w:id="1629118473">
                          <w:marLeft w:val="0"/>
                          <w:marRight w:val="0"/>
                          <w:marTop w:val="0"/>
                          <w:marBottom w:val="0"/>
                          <w:divBdr>
                            <w:top w:val="none" w:sz="0" w:space="0" w:color="auto"/>
                            <w:left w:val="none" w:sz="0" w:space="0" w:color="auto"/>
                            <w:bottom w:val="none" w:sz="0" w:space="0" w:color="auto"/>
                            <w:right w:val="none" w:sz="0" w:space="0" w:color="auto"/>
                          </w:divBdr>
                          <w:divsChild>
                            <w:div w:id="111091747">
                              <w:marLeft w:val="0"/>
                              <w:marRight w:val="0"/>
                              <w:marTop w:val="0"/>
                              <w:marBottom w:val="0"/>
                              <w:divBdr>
                                <w:top w:val="none" w:sz="0" w:space="0" w:color="auto"/>
                                <w:left w:val="none" w:sz="0" w:space="0" w:color="auto"/>
                                <w:bottom w:val="none" w:sz="0" w:space="0" w:color="auto"/>
                                <w:right w:val="none" w:sz="0" w:space="0" w:color="auto"/>
                              </w:divBdr>
                              <w:divsChild>
                                <w:div w:id="646275849">
                                  <w:marLeft w:val="0"/>
                                  <w:marRight w:val="0"/>
                                  <w:marTop w:val="0"/>
                                  <w:marBottom w:val="0"/>
                                  <w:divBdr>
                                    <w:top w:val="none" w:sz="0" w:space="0" w:color="auto"/>
                                    <w:left w:val="none" w:sz="0" w:space="0" w:color="auto"/>
                                    <w:bottom w:val="none" w:sz="0" w:space="0" w:color="auto"/>
                                    <w:right w:val="none" w:sz="0" w:space="0" w:color="auto"/>
                                  </w:divBdr>
                                  <w:divsChild>
                                    <w:div w:id="1906210889">
                                      <w:marLeft w:val="0"/>
                                      <w:marRight w:val="0"/>
                                      <w:marTop w:val="0"/>
                                      <w:marBottom w:val="0"/>
                                      <w:divBdr>
                                        <w:top w:val="none" w:sz="0" w:space="0" w:color="auto"/>
                                        <w:left w:val="none" w:sz="0" w:space="0" w:color="auto"/>
                                        <w:bottom w:val="none" w:sz="0" w:space="0" w:color="auto"/>
                                        <w:right w:val="none" w:sz="0" w:space="0" w:color="auto"/>
                                      </w:divBdr>
                                      <w:divsChild>
                                        <w:div w:id="104733818">
                                          <w:marLeft w:val="0"/>
                                          <w:marRight w:val="0"/>
                                          <w:marTop w:val="0"/>
                                          <w:marBottom w:val="0"/>
                                          <w:divBdr>
                                            <w:top w:val="none" w:sz="0" w:space="0" w:color="auto"/>
                                            <w:left w:val="none" w:sz="0" w:space="0" w:color="auto"/>
                                            <w:bottom w:val="none" w:sz="0" w:space="0" w:color="auto"/>
                                            <w:right w:val="none" w:sz="0" w:space="0" w:color="auto"/>
                                          </w:divBdr>
                                          <w:divsChild>
                                            <w:div w:id="198784691">
                                              <w:marLeft w:val="0"/>
                                              <w:marRight w:val="0"/>
                                              <w:marTop w:val="0"/>
                                              <w:marBottom w:val="0"/>
                                              <w:divBdr>
                                                <w:top w:val="none" w:sz="0" w:space="0" w:color="auto"/>
                                                <w:left w:val="none" w:sz="0" w:space="0" w:color="auto"/>
                                                <w:bottom w:val="none" w:sz="0" w:space="0" w:color="auto"/>
                                                <w:right w:val="none" w:sz="0" w:space="0" w:color="auto"/>
                                              </w:divBdr>
                                              <w:divsChild>
                                                <w:div w:id="1196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731292">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sChild>
        <w:div w:id="133371666">
          <w:marLeft w:val="547"/>
          <w:marRight w:val="0"/>
          <w:marTop w:val="60"/>
          <w:marBottom w:val="120"/>
          <w:divBdr>
            <w:top w:val="none" w:sz="0" w:space="0" w:color="auto"/>
            <w:left w:val="none" w:sz="0" w:space="0" w:color="auto"/>
            <w:bottom w:val="none" w:sz="0" w:space="0" w:color="auto"/>
            <w:right w:val="none" w:sz="0" w:space="0" w:color="auto"/>
          </w:divBdr>
        </w:div>
        <w:div w:id="292903832">
          <w:marLeft w:val="547"/>
          <w:marRight w:val="0"/>
          <w:marTop w:val="60"/>
          <w:marBottom w:val="120"/>
          <w:divBdr>
            <w:top w:val="none" w:sz="0" w:space="0" w:color="auto"/>
            <w:left w:val="none" w:sz="0" w:space="0" w:color="auto"/>
            <w:bottom w:val="none" w:sz="0" w:space="0" w:color="auto"/>
            <w:right w:val="none" w:sz="0" w:space="0" w:color="auto"/>
          </w:divBdr>
        </w:div>
        <w:div w:id="750201437">
          <w:marLeft w:val="547"/>
          <w:marRight w:val="0"/>
          <w:marTop w:val="60"/>
          <w:marBottom w:val="120"/>
          <w:divBdr>
            <w:top w:val="none" w:sz="0" w:space="0" w:color="auto"/>
            <w:left w:val="none" w:sz="0" w:space="0" w:color="auto"/>
            <w:bottom w:val="none" w:sz="0" w:space="0" w:color="auto"/>
            <w:right w:val="none" w:sz="0" w:space="0" w:color="auto"/>
          </w:divBdr>
        </w:div>
        <w:div w:id="1627467465">
          <w:marLeft w:val="547"/>
          <w:marRight w:val="0"/>
          <w:marTop w:val="60"/>
          <w:marBottom w:val="120"/>
          <w:divBdr>
            <w:top w:val="none" w:sz="0" w:space="0" w:color="auto"/>
            <w:left w:val="none" w:sz="0" w:space="0" w:color="auto"/>
            <w:bottom w:val="none" w:sz="0" w:space="0" w:color="auto"/>
            <w:right w:val="none" w:sz="0" w:space="0" w:color="auto"/>
          </w:divBdr>
        </w:div>
        <w:div w:id="1663974014">
          <w:marLeft w:val="547"/>
          <w:marRight w:val="0"/>
          <w:marTop w:val="60"/>
          <w:marBottom w:val="120"/>
          <w:divBdr>
            <w:top w:val="none" w:sz="0" w:space="0" w:color="auto"/>
            <w:left w:val="none" w:sz="0" w:space="0" w:color="auto"/>
            <w:bottom w:val="none" w:sz="0" w:space="0" w:color="auto"/>
            <w:right w:val="none" w:sz="0" w:space="0" w:color="auto"/>
          </w:divBdr>
        </w:div>
        <w:div w:id="1841699328">
          <w:marLeft w:val="547"/>
          <w:marRight w:val="0"/>
          <w:marTop w:val="60"/>
          <w:marBottom w:val="120"/>
          <w:divBdr>
            <w:top w:val="none" w:sz="0" w:space="0" w:color="auto"/>
            <w:left w:val="none" w:sz="0" w:space="0" w:color="auto"/>
            <w:bottom w:val="none" w:sz="0" w:space="0" w:color="auto"/>
            <w:right w:val="none" w:sz="0" w:space="0" w:color="auto"/>
          </w:divBdr>
        </w:div>
        <w:div w:id="1883008161">
          <w:marLeft w:val="547"/>
          <w:marRight w:val="0"/>
          <w:marTop w:val="60"/>
          <w:marBottom w:val="120"/>
          <w:divBdr>
            <w:top w:val="none" w:sz="0" w:space="0" w:color="auto"/>
            <w:left w:val="none" w:sz="0" w:space="0" w:color="auto"/>
            <w:bottom w:val="none" w:sz="0" w:space="0" w:color="auto"/>
            <w:right w:val="none" w:sz="0" w:space="0" w:color="auto"/>
          </w:divBdr>
        </w:div>
        <w:div w:id="1966698459">
          <w:marLeft w:val="547"/>
          <w:marRight w:val="0"/>
          <w:marTop w:val="60"/>
          <w:marBottom w:val="120"/>
          <w:divBdr>
            <w:top w:val="none" w:sz="0" w:space="0" w:color="auto"/>
            <w:left w:val="none" w:sz="0" w:space="0" w:color="auto"/>
            <w:bottom w:val="none" w:sz="0" w:space="0" w:color="auto"/>
            <w:right w:val="none" w:sz="0" w:space="0" w:color="auto"/>
          </w:divBdr>
        </w:div>
      </w:divsChild>
    </w:div>
    <w:div w:id="937837181">
      <w:bodyDiv w:val="1"/>
      <w:marLeft w:val="0"/>
      <w:marRight w:val="0"/>
      <w:marTop w:val="0"/>
      <w:marBottom w:val="0"/>
      <w:divBdr>
        <w:top w:val="none" w:sz="0" w:space="0" w:color="auto"/>
        <w:left w:val="none" w:sz="0" w:space="0" w:color="auto"/>
        <w:bottom w:val="none" w:sz="0" w:space="0" w:color="auto"/>
        <w:right w:val="none" w:sz="0" w:space="0" w:color="auto"/>
      </w:divBdr>
      <w:divsChild>
        <w:div w:id="752357522">
          <w:marLeft w:val="0"/>
          <w:marRight w:val="0"/>
          <w:marTop w:val="0"/>
          <w:marBottom w:val="0"/>
          <w:divBdr>
            <w:top w:val="none" w:sz="0" w:space="0" w:color="auto"/>
            <w:left w:val="none" w:sz="0" w:space="0" w:color="auto"/>
            <w:bottom w:val="none" w:sz="0" w:space="0" w:color="auto"/>
            <w:right w:val="none" w:sz="0" w:space="0" w:color="auto"/>
          </w:divBdr>
          <w:divsChild>
            <w:div w:id="2015377817">
              <w:marLeft w:val="0"/>
              <w:marRight w:val="0"/>
              <w:marTop w:val="0"/>
              <w:marBottom w:val="0"/>
              <w:divBdr>
                <w:top w:val="none" w:sz="0" w:space="0" w:color="auto"/>
                <w:left w:val="none" w:sz="0" w:space="0" w:color="auto"/>
                <w:bottom w:val="none" w:sz="0" w:space="0" w:color="auto"/>
                <w:right w:val="none" w:sz="0" w:space="0" w:color="auto"/>
              </w:divBdr>
              <w:divsChild>
                <w:div w:id="96143023">
                  <w:marLeft w:val="0"/>
                  <w:marRight w:val="0"/>
                  <w:marTop w:val="0"/>
                  <w:marBottom w:val="0"/>
                  <w:divBdr>
                    <w:top w:val="none" w:sz="0" w:space="0" w:color="auto"/>
                    <w:left w:val="none" w:sz="0" w:space="0" w:color="auto"/>
                    <w:bottom w:val="none" w:sz="0" w:space="0" w:color="auto"/>
                    <w:right w:val="none" w:sz="0" w:space="0" w:color="auto"/>
                  </w:divBdr>
                  <w:divsChild>
                    <w:div w:id="745226725">
                      <w:marLeft w:val="0"/>
                      <w:marRight w:val="0"/>
                      <w:marTop w:val="0"/>
                      <w:marBottom w:val="0"/>
                      <w:divBdr>
                        <w:top w:val="none" w:sz="0" w:space="0" w:color="auto"/>
                        <w:left w:val="none" w:sz="0" w:space="0" w:color="auto"/>
                        <w:bottom w:val="none" w:sz="0" w:space="0" w:color="auto"/>
                        <w:right w:val="none" w:sz="0" w:space="0" w:color="auto"/>
                      </w:divBdr>
                      <w:divsChild>
                        <w:div w:id="1484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6691">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49190746">
      <w:bodyDiv w:val="1"/>
      <w:marLeft w:val="0"/>
      <w:marRight w:val="0"/>
      <w:marTop w:val="0"/>
      <w:marBottom w:val="0"/>
      <w:divBdr>
        <w:top w:val="none" w:sz="0" w:space="0" w:color="auto"/>
        <w:left w:val="none" w:sz="0" w:space="0" w:color="auto"/>
        <w:bottom w:val="none" w:sz="0" w:space="0" w:color="auto"/>
        <w:right w:val="none" w:sz="0" w:space="0" w:color="auto"/>
      </w:divBdr>
    </w:div>
    <w:div w:id="1055087795">
      <w:bodyDiv w:val="1"/>
      <w:marLeft w:val="0"/>
      <w:marRight w:val="0"/>
      <w:marTop w:val="0"/>
      <w:marBottom w:val="0"/>
      <w:divBdr>
        <w:top w:val="none" w:sz="0" w:space="0" w:color="auto"/>
        <w:left w:val="none" w:sz="0" w:space="0" w:color="auto"/>
        <w:bottom w:val="none" w:sz="0" w:space="0" w:color="auto"/>
        <w:right w:val="none" w:sz="0" w:space="0" w:color="auto"/>
      </w:divBdr>
    </w:div>
    <w:div w:id="1131090121">
      <w:bodyDiv w:val="1"/>
      <w:marLeft w:val="0"/>
      <w:marRight w:val="0"/>
      <w:marTop w:val="0"/>
      <w:marBottom w:val="0"/>
      <w:divBdr>
        <w:top w:val="none" w:sz="0" w:space="0" w:color="auto"/>
        <w:left w:val="none" w:sz="0" w:space="0" w:color="auto"/>
        <w:bottom w:val="none" w:sz="0" w:space="0" w:color="auto"/>
        <w:right w:val="none" w:sz="0" w:space="0" w:color="auto"/>
      </w:divBdr>
    </w:div>
    <w:div w:id="1180509772">
      <w:bodyDiv w:val="1"/>
      <w:marLeft w:val="0"/>
      <w:marRight w:val="0"/>
      <w:marTop w:val="0"/>
      <w:marBottom w:val="0"/>
      <w:divBdr>
        <w:top w:val="none" w:sz="0" w:space="0" w:color="auto"/>
        <w:left w:val="none" w:sz="0" w:space="0" w:color="auto"/>
        <w:bottom w:val="none" w:sz="0" w:space="0" w:color="auto"/>
        <w:right w:val="none" w:sz="0" w:space="0" w:color="auto"/>
      </w:divBdr>
    </w:div>
    <w:div w:id="1298992620">
      <w:bodyDiv w:val="1"/>
      <w:marLeft w:val="0"/>
      <w:marRight w:val="0"/>
      <w:marTop w:val="0"/>
      <w:marBottom w:val="0"/>
      <w:divBdr>
        <w:top w:val="none" w:sz="0" w:space="0" w:color="auto"/>
        <w:left w:val="none" w:sz="0" w:space="0" w:color="auto"/>
        <w:bottom w:val="none" w:sz="0" w:space="0" w:color="auto"/>
        <w:right w:val="none" w:sz="0" w:space="0" w:color="auto"/>
      </w:divBdr>
    </w:div>
    <w:div w:id="1336878261">
      <w:bodyDiv w:val="1"/>
      <w:marLeft w:val="0"/>
      <w:marRight w:val="0"/>
      <w:marTop w:val="0"/>
      <w:marBottom w:val="0"/>
      <w:divBdr>
        <w:top w:val="none" w:sz="0" w:space="0" w:color="auto"/>
        <w:left w:val="none" w:sz="0" w:space="0" w:color="auto"/>
        <w:bottom w:val="none" w:sz="0" w:space="0" w:color="auto"/>
        <w:right w:val="none" w:sz="0" w:space="0" w:color="auto"/>
      </w:divBdr>
    </w:div>
    <w:div w:id="1406881853">
      <w:bodyDiv w:val="1"/>
      <w:marLeft w:val="0"/>
      <w:marRight w:val="0"/>
      <w:marTop w:val="0"/>
      <w:marBottom w:val="0"/>
      <w:divBdr>
        <w:top w:val="none" w:sz="0" w:space="0" w:color="auto"/>
        <w:left w:val="none" w:sz="0" w:space="0" w:color="auto"/>
        <w:bottom w:val="none" w:sz="0" w:space="0" w:color="auto"/>
        <w:right w:val="none" w:sz="0" w:space="0" w:color="auto"/>
      </w:divBdr>
    </w:div>
    <w:div w:id="1437142119">
      <w:bodyDiv w:val="1"/>
      <w:marLeft w:val="0"/>
      <w:marRight w:val="0"/>
      <w:marTop w:val="0"/>
      <w:marBottom w:val="0"/>
      <w:divBdr>
        <w:top w:val="none" w:sz="0" w:space="0" w:color="auto"/>
        <w:left w:val="none" w:sz="0" w:space="0" w:color="auto"/>
        <w:bottom w:val="none" w:sz="0" w:space="0" w:color="auto"/>
        <w:right w:val="none" w:sz="0" w:space="0" w:color="auto"/>
      </w:divBdr>
      <w:divsChild>
        <w:div w:id="1465848048">
          <w:marLeft w:val="0"/>
          <w:marRight w:val="0"/>
          <w:marTop w:val="0"/>
          <w:marBottom w:val="100"/>
          <w:divBdr>
            <w:top w:val="none" w:sz="0" w:space="0" w:color="auto"/>
            <w:left w:val="none" w:sz="0" w:space="0" w:color="auto"/>
            <w:bottom w:val="none" w:sz="0" w:space="0" w:color="auto"/>
            <w:right w:val="none" w:sz="0" w:space="0" w:color="auto"/>
          </w:divBdr>
          <w:divsChild>
            <w:div w:id="402147736">
              <w:marLeft w:val="0"/>
              <w:marRight w:val="0"/>
              <w:marTop w:val="0"/>
              <w:marBottom w:val="0"/>
              <w:divBdr>
                <w:top w:val="none" w:sz="0" w:space="0" w:color="auto"/>
                <w:left w:val="none" w:sz="0" w:space="0" w:color="auto"/>
                <w:bottom w:val="none" w:sz="0" w:space="0" w:color="auto"/>
                <w:right w:val="none" w:sz="0" w:space="0" w:color="auto"/>
              </w:divBdr>
              <w:divsChild>
                <w:div w:id="1380744221">
                  <w:marLeft w:val="0"/>
                  <w:marRight w:val="0"/>
                  <w:marTop w:val="0"/>
                  <w:marBottom w:val="0"/>
                  <w:divBdr>
                    <w:top w:val="none" w:sz="0" w:space="0" w:color="auto"/>
                    <w:left w:val="none" w:sz="0" w:space="0" w:color="auto"/>
                    <w:bottom w:val="none" w:sz="0" w:space="0" w:color="auto"/>
                    <w:right w:val="none" w:sz="0" w:space="0" w:color="auto"/>
                  </w:divBdr>
                  <w:divsChild>
                    <w:div w:id="706488712">
                      <w:marLeft w:val="0"/>
                      <w:marRight w:val="0"/>
                      <w:marTop w:val="168"/>
                      <w:marBottom w:val="168"/>
                      <w:divBdr>
                        <w:top w:val="none" w:sz="0" w:space="0" w:color="auto"/>
                        <w:left w:val="none" w:sz="0" w:space="0" w:color="auto"/>
                        <w:bottom w:val="none" w:sz="0" w:space="0" w:color="auto"/>
                        <w:right w:val="none" w:sz="0" w:space="0" w:color="auto"/>
                      </w:divBdr>
                      <w:divsChild>
                        <w:div w:id="1701274235">
                          <w:marLeft w:val="0"/>
                          <w:marRight w:val="0"/>
                          <w:marTop w:val="0"/>
                          <w:marBottom w:val="0"/>
                          <w:divBdr>
                            <w:top w:val="none" w:sz="0" w:space="0" w:color="auto"/>
                            <w:left w:val="none" w:sz="0" w:space="0" w:color="auto"/>
                            <w:bottom w:val="none" w:sz="0" w:space="0" w:color="auto"/>
                            <w:right w:val="none" w:sz="0" w:space="0" w:color="auto"/>
                          </w:divBdr>
                          <w:divsChild>
                            <w:div w:id="625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801">
      <w:bodyDiv w:val="1"/>
      <w:marLeft w:val="0"/>
      <w:marRight w:val="0"/>
      <w:marTop w:val="0"/>
      <w:marBottom w:val="0"/>
      <w:divBdr>
        <w:top w:val="none" w:sz="0" w:space="0" w:color="auto"/>
        <w:left w:val="none" w:sz="0" w:space="0" w:color="auto"/>
        <w:bottom w:val="none" w:sz="0" w:space="0" w:color="auto"/>
        <w:right w:val="none" w:sz="0" w:space="0" w:color="auto"/>
      </w:divBdr>
    </w:div>
    <w:div w:id="1441686400">
      <w:bodyDiv w:val="1"/>
      <w:marLeft w:val="0"/>
      <w:marRight w:val="0"/>
      <w:marTop w:val="0"/>
      <w:marBottom w:val="0"/>
      <w:divBdr>
        <w:top w:val="none" w:sz="0" w:space="0" w:color="auto"/>
        <w:left w:val="none" w:sz="0" w:space="0" w:color="auto"/>
        <w:bottom w:val="none" w:sz="0" w:space="0" w:color="auto"/>
        <w:right w:val="none" w:sz="0" w:space="0" w:color="auto"/>
      </w:divBdr>
    </w:div>
    <w:div w:id="1456942400">
      <w:bodyDiv w:val="1"/>
      <w:marLeft w:val="0"/>
      <w:marRight w:val="0"/>
      <w:marTop w:val="0"/>
      <w:marBottom w:val="0"/>
      <w:divBdr>
        <w:top w:val="none" w:sz="0" w:space="0" w:color="auto"/>
        <w:left w:val="none" w:sz="0" w:space="0" w:color="auto"/>
        <w:bottom w:val="none" w:sz="0" w:space="0" w:color="auto"/>
        <w:right w:val="none" w:sz="0" w:space="0" w:color="auto"/>
      </w:divBdr>
    </w:div>
    <w:div w:id="1456948072">
      <w:bodyDiv w:val="1"/>
      <w:marLeft w:val="0"/>
      <w:marRight w:val="0"/>
      <w:marTop w:val="0"/>
      <w:marBottom w:val="0"/>
      <w:divBdr>
        <w:top w:val="none" w:sz="0" w:space="0" w:color="auto"/>
        <w:left w:val="none" w:sz="0" w:space="0" w:color="auto"/>
        <w:bottom w:val="none" w:sz="0" w:space="0" w:color="auto"/>
        <w:right w:val="none" w:sz="0" w:space="0" w:color="auto"/>
      </w:divBdr>
      <w:divsChild>
        <w:div w:id="777677831">
          <w:marLeft w:val="547"/>
          <w:marRight w:val="0"/>
          <w:marTop w:val="60"/>
          <w:marBottom w:val="120"/>
          <w:divBdr>
            <w:top w:val="none" w:sz="0" w:space="0" w:color="auto"/>
            <w:left w:val="none" w:sz="0" w:space="0" w:color="auto"/>
            <w:bottom w:val="none" w:sz="0" w:space="0" w:color="auto"/>
            <w:right w:val="none" w:sz="0" w:space="0" w:color="auto"/>
          </w:divBdr>
        </w:div>
        <w:div w:id="973561971">
          <w:marLeft w:val="547"/>
          <w:marRight w:val="0"/>
          <w:marTop w:val="60"/>
          <w:marBottom w:val="120"/>
          <w:divBdr>
            <w:top w:val="none" w:sz="0" w:space="0" w:color="auto"/>
            <w:left w:val="none" w:sz="0" w:space="0" w:color="auto"/>
            <w:bottom w:val="none" w:sz="0" w:space="0" w:color="auto"/>
            <w:right w:val="none" w:sz="0" w:space="0" w:color="auto"/>
          </w:divBdr>
        </w:div>
        <w:div w:id="1202479349">
          <w:marLeft w:val="547"/>
          <w:marRight w:val="0"/>
          <w:marTop w:val="60"/>
          <w:marBottom w:val="120"/>
          <w:divBdr>
            <w:top w:val="none" w:sz="0" w:space="0" w:color="auto"/>
            <w:left w:val="none" w:sz="0" w:space="0" w:color="auto"/>
            <w:bottom w:val="none" w:sz="0" w:space="0" w:color="auto"/>
            <w:right w:val="none" w:sz="0" w:space="0" w:color="auto"/>
          </w:divBdr>
        </w:div>
        <w:div w:id="1348361701">
          <w:marLeft w:val="547"/>
          <w:marRight w:val="0"/>
          <w:marTop w:val="60"/>
          <w:marBottom w:val="120"/>
          <w:divBdr>
            <w:top w:val="none" w:sz="0" w:space="0" w:color="auto"/>
            <w:left w:val="none" w:sz="0" w:space="0" w:color="auto"/>
            <w:bottom w:val="none" w:sz="0" w:space="0" w:color="auto"/>
            <w:right w:val="none" w:sz="0" w:space="0" w:color="auto"/>
          </w:divBdr>
        </w:div>
        <w:div w:id="1626615170">
          <w:marLeft w:val="547"/>
          <w:marRight w:val="0"/>
          <w:marTop w:val="60"/>
          <w:marBottom w:val="120"/>
          <w:divBdr>
            <w:top w:val="none" w:sz="0" w:space="0" w:color="auto"/>
            <w:left w:val="none" w:sz="0" w:space="0" w:color="auto"/>
            <w:bottom w:val="none" w:sz="0" w:space="0" w:color="auto"/>
            <w:right w:val="none" w:sz="0" w:space="0" w:color="auto"/>
          </w:divBdr>
        </w:div>
        <w:div w:id="1777678235">
          <w:marLeft w:val="547"/>
          <w:marRight w:val="0"/>
          <w:marTop w:val="60"/>
          <w:marBottom w:val="120"/>
          <w:divBdr>
            <w:top w:val="none" w:sz="0" w:space="0" w:color="auto"/>
            <w:left w:val="none" w:sz="0" w:space="0" w:color="auto"/>
            <w:bottom w:val="none" w:sz="0" w:space="0" w:color="auto"/>
            <w:right w:val="none" w:sz="0" w:space="0" w:color="auto"/>
          </w:divBdr>
        </w:div>
        <w:div w:id="1881549172">
          <w:marLeft w:val="547"/>
          <w:marRight w:val="0"/>
          <w:marTop w:val="60"/>
          <w:marBottom w:val="120"/>
          <w:divBdr>
            <w:top w:val="none" w:sz="0" w:space="0" w:color="auto"/>
            <w:left w:val="none" w:sz="0" w:space="0" w:color="auto"/>
            <w:bottom w:val="none" w:sz="0" w:space="0" w:color="auto"/>
            <w:right w:val="none" w:sz="0" w:space="0" w:color="auto"/>
          </w:divBdr>
        </w:div>
        <w:div w:id="2050060937">
          <w:marLeft w:val="547"/>
          <w:marRight w:val="0"/>
          <w:marTop w:val="60"/>
          <w:marBottom w:val="120"/>
          <w:divBdr>
            <w:top w:val="none" w:sz="0" w:space="0" w:color="auto"/>
            <w:left w:val="none" w:sz="0" w:space="0" w:color="auto"/>
            <w:bottom w:val="none" w:sz="0" w:space="0" w:color="auto"/>
            <w:right w:val="none" w:sz="0" w:space="0" w:color="auto"/>
          </w:divBdr>
        </w:div>
      </w:divsChild>
    </w:div>
    <w:div w:id="1588153315">
      <w:bodyDiv w:val="1"/>
      <w:marLeft w:val="0"/>
      <w:marRight w:val="0"/>
      <w:marTop w:val="0"/>
      <w:marBottom w:val="0"/>
      <w:divBdr>
        <w:top w:val="none" w:sz="0" w:space="0" w:color="auto"/>
        <w:left w:val="none" w:sz="0" w:space="0" w:color="auto"/>
        <w:bottom w:val="none" w:sz="0" w:space="0" w:color="auto"/>
        <w:right w:val="none" w:sz="0" w:space="0" w:color="auto"/>
      </w:divBdr>
      <w:divsChild>
        <w:div w:id="7759898">
          <w:marLeft w:val="547"/>
          <w:marRight w:val="0"/>
          <w:marTop w:val="67"/>
          <w:marBottom w:val="0"/>
          <w:divBdr>
            <w:top w:val="none" w:sz="0" w:space="0" w:color="auto"/>
            <w:left w:val="none" w:sz="0" w:space="0" w:color="auto"/>
            <w:bottom w:val="none" w:sz="0" w:space="0" w:color="auto"/>
            <w:right w:val="none" w:sz="0" w:space="0" w:color="auto"/>
          </w:divBdr>
        </w:div>
        <w:div w:id="240677951">
          <w:marLeft w:val="547"/>
          <w:marRight w:val="0"/>
          <w:marTop w:val="67"/>
          <w:marBottom w:val="0"/>
          <w:divBdr>
            <w:top w:val="none" w:sz="0" w:space="0" w:color="auto"/>
            <w:left w:val="none" w:sz="0" w:space="0" w:color="auto"/>
            <w:bottom w:val="none" w:sz="0" w:space="0" w:color="auto"/>
            <w:right w:val="none" w:sz="0" w:space="0" w:color="auto"/>
          </w:divBdr>
        </w:div>
        <w:div w:id="504907864">
          <w:marLeft w:val="547"/>
          <w:marRight w:val="0"/>
          <w:marTop w:val="67"/>
          <w:marBottom w:val="0"/>
          <w:divBdr>
            <w:top w:val="none" w:sz="0" w:space="0" w:color="auto"/>
            <w:left w:val="none" w:sz="0" w:space="0" w:color="auto"/>
            <w:bottom w:val="none" w:sz="0" w:space="0" w:color="auto"/>
            <w:right w:val="none" w:sz="0" w:space="0" w:color="auto"/>
          </w:divBdr>
        </w:div>
        <w:div w:id="1060515699">
          <w:marLeft w:val="547"/>
          <w:marRight w:val="0"/>
          <w:marTop w:val="67"/>
          <w:marBottom w:val="120"/>
          <w:divBdr>
            <w:top w:val="none" w:sz="0" w:space="0" w:color="auto"/>
            <w:left w:val="none" w:sz="0" w:space="0" w:color="auto"/>
            <w:bottom w:val="none" w:sz="0" w:space="0" w:color="auto"/>
            <w:right w:val="none" w:sz="0" w:space="0" w:color="auto"/>
          </w:divBdr>
        </w:div>
        <w:div w:id="1172261018">
          <w:marLeft w:val="547"/>
          <w:marRight w:val="0"/>
          <w:marTop w:val="67"/>
          <w:marBottom w:val="0"/>
          <w:divBdr>
            <w:top w:val="none" w:sz="0" w:space="0" w:color="auto"/>
            <w:left w:val="none" w:sz="0" w:space="0" w:color="auto"/>
            <w:bottom w:val="none" w:sz="0" w:space="0" w:color="auto"/>
            <w:right w:val="none" w:sz="0" w:space="0" w:color="auto"/>
          </w:divBdr>
        </w:div>
        <w:div w:id="1899781640">
          <w:marLeft w:val="547"/>
          <w:marRight w:val="0"/>
          <w:marTop w:val="67"/>
          <w:marBottom w:val="0"/>
          <w:divBdr>
            <w:top w:val="none" w:sz="0" w:space="0" w:color="auto"/>
            <w:left w:val="none" w:sz="0" w:space="0" w:color="auto"/>
            <w:bottom w:val="none" w:sz="0" w:space="0" w:color="auto"/>
            <w:right w:val="none" w:sz="0" w:space="0" w:color="auto"/>
          </w:divBdr>
        </w:div>
        <w:div w:id="2024279183">
          <w:marLeft w:val="547"/>
          <w:marRight w:val="0"/>
          <w:marTop w:val="0"/>
          <w:marBottom w:val="0"/>
          <w:divBdr>
            <w:top w:val="none" w:sz="0" w:space="0" w:color="auto"/>
            <w:left w:val="none" w:sz="0" w:space="0" w:color="auto"/>
            <w:bottom w:val="none" w:sz="0" w:space="0" w:color="auto"/>
            <w:right w:val="none" w:sz="0" w:space="0" w:color="auto"/>
          </w:divBdr>
        </w:div>
      </w:divsChild>
    </w:div>
    <w:div w:id="1760639976">
      <w:bodyDiv w:val="1"/>
      <w:marLeft w:val="0"/>
      <w:marRight w:val="0"/>
      <w:marTop w:val="0"/>
      <w:marBottom w:val="0"/>
      <w:divBdr>
        <w:top w:val="none" w:sz="0" w:space="0" w:color="auto"/>
        <w:left w:val="none" w:sz="0" w:space="0" w:color="auto"/>
        <w:bottom w:val="none" w:sz="0" w:space="0" w:color="auto"/>
        <w:right w:val="none" w:sz="0" w:space="0" w:color="auto"/>
      </w:divBdr>
    </w:div>
    <w:div w:id="1978366153">
      <w:bodyDiv w:val="1"/>
      <w:marLeft w:val="0"/>
      <w:marRight w:val="0"/>
      <w:marTop w:val="0"/>
      <w:marBottom w:val="0"/>
      <w:divBdr>
        <w:top w:val="none" w:sz="0" w:space="0" w:color="auto"/>
        <w:left w:val="none" w:sz="0" w:space="0" w:color="auto"/>
        <w:bottom w:val="none" w:sz="0" w:space="0" w:color="auto"/>
        <w:right w:val="none" w:sz="0" w:space="0" w:color="auto"/>
      </w:divBdr>
    </w:div>
    <w:div w:id="2055151466">
      <w:bodyDiv w:val="1"/>
      <w:marLeft w:val="0"/>
      <w:marRight w:val="0"/>
      <w:marTop w:val="0"/>
      <w:marBottom w:val="0"/>
      <w:divBdr>
        <w:top w:val="none" w:sz="0" w:space="0" w:color="auto"/>
        <w:left w:val="none" w:sz="0" w:space="0" w:color="auto"/>
        <w:bottom w:val="none" w:sz="0" w:space="0" w:color="auto"/>
        <w:right w:val="none" w:sz="0" w:space="0" w:color="auto"/>
      </w:divBdr>
    </w:div>
    <w:div w:id="2076200940">
      <w:bodyDiv w:val="1"/>
      <w:marLeft w:val="0"/>
      <w:marRight w:val="0"/>
      <w:marTop w:val="0"/>
      <w:marBottom w:val="0"/>
      <w:divBdr>
        <w:top w:val="none" w:sz="0" w:space="0" w:color="auto"/>
        <w:left w:val="none" w:sz="0" w:space="0" w:color="auto"/>
        <w:bottom w:val="none" w:sz="0" w:space="0" w:color="auto"/>
        <w:right w:val="none" w:sz="0" w:space="0" w:color="auto"/>
      </w:divBdr>
    </w:div>
    <w:div w:id="2078433047">
      <w:bodyDiv w:val="1"/>
      <w:marLeft w:val="0"/>
      <w:marRight w:val="0"/>
      <w:marTop w:val="0"/>
      <w:marBottom w:val="0"/>
      <w:divBdr>
        <w:top w:val="none" w:sz="0" w:space="0" w:color="auto"/>
        <w:left w:val="none" w:sz="0" w:space="0" w:color="auto"/>
        <w:bottom w:val="none" w:sz="0" w:space="0" w:color="auto"/>
        <w:right w:val="none" w:sz="0" w:space="0" w:color="auto"/>
      </w:divBdr>
    </w:div>
    <w:div w:id="21344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image" Target="media/image3.jpeg"/><Relationship Id="rId42" Type="http://schemas.openxmlformats.org/officeDocument/2006/relationships/header" Target="header14.xml"/><Relationship Id="rId47" Type="http://schemas.openxmlformats.org/officeDocument/2006/relationships/image" Target="media/image7.png"/><Relationship Id="rId63" Type="http://schemas.openxmlformats.org/officeDocument/2006/relationships/image" Target="media/image22.png"/><Relationship Id="rId68" Type="http://schemas.openxmlformats.org/officeDocument/2006/relationships/header" Target="header16.xml"/><Relationship Id="rId84" Type="http://schemas.openxmlformats.org/officeDocument/2006/relationships/header" Target="header24.xml"/><Relationship Id="rId89" Type="http://schemas.openxmlformats.org/officeDocument/2006/relationships/header" Target="header27.xm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image" Target="media/image5.jpeg"/><Relationship Id="rId37" Type="http://schemas.openxmlformats.org/officeDocument/2006/relationships/footer" Target="footer8.xml"/><Relationship Id="rId53" Type="http://schemas.openxmlformats.org/officeDocument/2006/relationships/image" Target="media/image13.png"/><Relationship Id="rId58" Type="http://schemas.openxmlformats.org/officeDocument/2006/relationships/image" Target="media/image18.png"/><Relationship Id="rId74" Type="http://schemas.openxmlformats.org/officeDocument/2006/relationships/header" Target="header19.xml"/><Relationship Id="rId79" Type="http://schemas.openxmlformats.org/officeDocument/2006/relationships/hyperlink" Target="https://www.aeic.gov.au/observations-and-recommendations" TargetMode="External"/><Relationship Id="rId5" Type="http://schemas.openxmlformats.org/officeDocument/2006/relationships/numbering" Target="numbering.xml"/><Relationship Id="rId90" Type="http://schemas.openxmlformats.org/officeDocument/2006/relationships/footer" Target="footer18.xml"/><Relationship Id="rId95" Type="http://schemas.openxmlformats.org/officeDocument/2006/relationships/footer" Target="footer20.xml"/><Relationship Id="rId22" Type="http://schemas.openxmlformats.org/officeDocument/2006/relationships/header" Target="header4.xml"/><Relationship Id="rId27" Type="http://schemas.openxmlformats.org/officeDocument/2006/relationships/header" Target="header8.xml"/><Relationship Id="rId43" Type="http://schemas.openxmlformats.org/officeDocument/2006/relationships/footer" Target="footer9.xml"/><Relationship Id="rId48" Type="http://schemas.openxmlformats.org/officeDocument/2006/relationships/image" Target="media/image8.png"/><Relationship Id="rId64" Type="http://schemas.openxmlformats.org/officeDocument/2006/relationships/image" Target="media/image23.png"/><Relationship Id="rId69" Type="http://schemas.openxmlformats.org/officeDocument/2006/relationships/header" Target="header17.xml"/><Relationship Id="rId80" Type="http://schemas.openxmlformats.org/officeDocument/2006/relationships/hyperlink" Target="https://qldhydro.com.au/contact-us/feedback-and-complaints/" TargetMode="External"/><Relationship Id="rId85"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image" Target="media/image6.jpeg"/><Relationship Id="rId38" Type="http://schemas.openxmlformats.org/officeDocument/2006/relationships/header" Target="header12.xml"/><Relationship Id="rId46" Type="http://schemas.openxmlformats.org/officeDocument/2006/relationships/hyperlink" Target="http://www.aeic.gov.au/about" TargetMode="External"/><Relationship Id="rId59" Type="http://schemas.openxmlformats.org/officeDocument/2006/relationships/image" Target="media/image19.png"/><Relationship Id="rId67" Type="http://schemas.openxmlformats.org/officeDocument/2006/relationships/image" Target="media/image26.png"/><Relationship Id="rId20" Type="http://schemas.openxmlformats.org/officeDocument/2006/relationships/footer" Target="footer3.xml"/><Relationship Id="rId41" Type="http://schemas.openxmlformats.org/officeDocument/2006/relationships/header" Target="header13.xml"/><Relationship Id="rId54" Type="http://schemas.openxmlformats.org/officeDocument/2006/relationships/image" Target="media/image14.png"/><Relationship Id="rId62" Type="http://schemas.openxmlformats.org/officeDocument/2006/relationships/chart" Target="charts/chart1.xml"/><Relationship Id="rId70" Type="http://schemas.openxmlformats.org/officeDocument/2006/relationships/footer" Target="footer11.xml"/><Relationship Id="rId75" Type="http://schemas.openxmlformats.org/officeDocument/2006/relationships/header" Target="header20.xml"/><Relationship Id="rId83" Type="http://schemas.openxmlformats.org/officeDocument/2006/relationships/footer" Target="footer15.xml"/><Relationship Id="rId88" Type="http://schemas.openxmlformats.org/officeDocument/2006/relationships/footer" Target="footer17.xml"/><Relationship Id="rId91" Type="http://schemas.openxmlformats.org/officeDocument/2006/relationships/hyperlink" Target="https://www.aeic.gov.au/news-media/news/community-engagement-review-report" TargetMode="External"/><Relationship Id="rId96"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image" Target="media/image9.png"/><Relationship Id="rId57" Type="http://schemas.openxmlformats.org/officeDocument/2006/relationships/image" Target="media/image17.png"/><Relationship Id="rId10" Type="http://schemas.openxmlformats.org/officeDocument/2006/relationships/endnotes" Target="endnotes.xml"/><Relationship Id="rId31" Type="http://schemas.openxmlformats.org/officeDocument/2006/relationships/hyperlink" Target="http://www.aeic.gov.au" TargetMode="External"/><Relationship Id="rId44" Type="http://schemas.openxmlformats.org/officeDocument/2006/relationships/footer" Target="footer10.xml"/><Relationship Id="rId52" Type="http://schemas.openxmlformats.org/officeDocument/2006/relationships/image" Target="media/image12.png"/><Relationship Id="rId60" Type="http://schemas.openxmlformats.org/officeDocument/2006/relationships/image" Target="media/image20.png"/><Relationship Id="rId65" Type="http://schemas.openxmlformats.org/officeDocument/2006/relationships/image" Target="media/image24.png"/><Relationship Id="rId73" Type="http://schemas.openxmlformats.org/officeDocument/2006/relationships/hyperlink" Target="http://www.aeic.gov.au" TargetMode="External"/><Relationship Id="rId78" Type="http://schemas.openxmlformats.org/officeDocument/2006/relationships/footer" Target="footer14.xml"/><Relationship Id="rId81" Type="http://schemas.openxmlformats.org/officeDocument/2006/relationships/header" Target="header22.xml"/><Relationship Id="rId86" Type="http://schemas.openxmlformats.org/officeDocument/2006/relationships/header" Target="header26.xml"/><Relationship Id="rId94" Type="http://schemas.openxmlformats.org/officeDocument/2006/relationships/header" Target="header29.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cid:image001.jpg@01D68600.1FD800E0" TargetMode="External"/><Relationship Id="rId18" Type="http://schemas.openxmlformats.org/officeDocument/2006/relationships/footer" Target="footer2.xml"/><Relationship Id="rId39" Type="http://schemas.openxmlformats.org/officeDocument/2006/relationships/hyperlink" Target="http://www.aeic.gov.au/about" TargetMode="External"/><Relationship Id="rId34" Type="http://schemas.openxmlformats.org/officeDocument/2006/relationships/header" Target="header10.xml"/><Relationship Id="rId50" Type="http://schemas.openxmlformats.org/officeDocument/2006/relationships/image" Target="media/image10.png"/><Relationship Id="rId55" Type="http://schemas.openxmlformats.org/officeDocument/2006/relationships/image" Target="media/image15.png"/><Relationship Id="rId76" Type="http://schemas.openxmlformats.org/officeDocument/2006/relationships/footer" Target="footer13.xml"/><Relationship Id="rId97" Type="http://schemas.openxmlformats.org/officeDocument/2006/relationships/footer" Target="footer21.xml"/><Relationship Id="rId7" Type="http://schemas.openxmlformats.org/officeDocument/2006/relationships/settings" Target="settings.xml"/><Relationship Id="rId71" Type="http://schemas.openxmlformats.org/officeDocument/2006/relationships/header" Target="header18.xml"/><Relationship Id="rId92" Type="http://schemas.openxmlformats.org/officeDocument/2006/relationships/header" Target="header28.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header" Target="header6.xml"/><Relationship Id="rId40" Type="http://schemas.openxmlformats.org/officeDocument/2006/relationships/hyperlink" Target="mailto:aeic@aeic.gov.au" TargetMode="External"/><Relationship Id="rId45" Type="http://schemas.openxmlformats.org/officeDocument/2006/relationships/header" Target="header15.xml"/><Relationship Id="rId66" Type="http://schemas.openxmlformats.org/officeDocument/2006/relationships/image" Target="media/image25.png"/><Relationship Id="rId87" Type="http://schemas.openxmlformats.org/officeDocument/2006/relationships/footer" Target="footer16.xml"/><Relationship Id="rId61" Type="http://schemas.openxmlformats.org/officeDocument/2006/relationships/image" Target="media/image21.png"/><Relationship Id="rId82" Type="http://schemas.openxmlformats.org/officeDocument/2006/relationships/header" Target="header23.xml"/><Relationship Id="rId19" Type="http://schemas.openxmlformats.org/officeDocument/2006/relationships/header" Target="header3.xml"/><Relationship Id="rId14" Type="http://schemas.openxmlformats.org/officeDocument/2006/relationships/hyperlink" Target="https://creativecommons.org/licenses/by/4.0/" TargetMode="External"/><Relationship Id="rId30" Type="http://schemas.openxmlformats.org/officeDocument/2006/relationships/footer" Target="footer6.xml"/><Relationship Id="rId35" Type="http://schemas.openxmlformats.org/officeDocument/2006/relationships/header" Target="header11.xml"/><Relationship Id="rId56" Type="http://schemas.openxmlformats.org/officeDocument/2006/relationships/image" Target="media/image16.png"/><Relationship Id="rId77"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image" Target="media/image11.png"/><Relationship Id="rId72" Type="http://schemas.openxmlformats.org/officeDocument/2006/relationships/footer" Target="footer12.xml"/><Relationship Id="rId93" Type="http://schemas.openxmlformats.org/officeDocument/2006/relationships/footer" Target="footer19.xml"/><Relationship Id="rId98"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Figure 15</a:t>
            </a:r>
            <a:r>
              <a:rPr lang="en-US"/>
              <a:t>: Number of cases closed at each process stage</a:t>
            </a:r>
          </a:p>
          <a:p>
            <a:pPr>
              <a:defRPr/>
            </a:pPr>
            <a:r>
              <a:rPr lang="en-US" i="1"/>
              <a:t>(Total: 938)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Cases</c:v>
                </c:pt>
              </c:strCache>
            </c:strRef>
          </c:tx>
          <c:spPr>
            <a:solidFill>
              <a:schemeClr val="accent1"/>
            </a:solidFill>
            <a:ln>
              <a:noFill/>
            </a:ln>
            <a:effectLst/>
          </c:spPr>
          <c:invertIfNegative val="0"/>
          <c:cat>
            <c:strRef>
              <c:f>Sheet1!$A$2:$A$6</c:f>
              <c:strCache>
                <c:ptCount val="5"/>
                <c:pt idx="0">
                  <c:v>Recommendation</c:v>
                </c:pt>
                <c:pt idx="1">
                  <c:v>Conciliation</c:v>
                </c:pt>
                <c:pt idx="2">
                  <c:v>Referral</c:v>
                </c:pt>
                <c:pt idx="3">
                  <c:v>Enquiry</c:v>
                </c:pt>
                <c:pt idx="4">
                  <c:v>Complaint accepted</c:v>
                </c:pt>
              </c:strCache>
            </c:strRef>
          </c:cat>
          <c:val>
            <c:numRef>
              <c:f>Sheet1!$B$2:$B$6</c:f>
              <c:numCache>
                <c:formatCode>General</c:formatCode>
                <c:ptCount val="5"/>
                <c:pt idx="0">
                  <c:v>3</c:v>
                </c:pt>
                <c:pt idx="1">
                  <c:v>14</c:v>
                </c:pt>
                <c:pt idx="2">
                  <c:v>344</c:v>
                </c:pt>
                <c:pt idx="3">
                  <c:v>564</c:v>
                </c:pt>
                <c:pt idx="4">
                  <c:v>13</c:v>
                </c:pt>
              </c:numCache>
            </c:numRef>
          </c:val>
          <c:extLst>
            <c:ext xmlns:c16="http://schemas.microsoft.com/office/drawing/2014/chart" uri="{C3380CC4-5D6E-409C-BE32-E72D297353CC}">
              <c16:uniqueId val="{00000000-FC8F-4BC0-9427-FB5E24920324}"/>
            </c:ext>
          </c:extLst>
        </c:ser>
        <c:dLbls>
          <c:showLegendKey val="0"/>
          <c:showVal val="0"/>
          <c:showCatName val="0"/>
          <c:showSerName val="0"/>
          <c:showPercent val="0"/>
          <c:showBubbleSize val="0"/>
        </c:dLbls>
        <c:gapWidth val="182"/>
        <c:axId val="1586076384"/>
        <c:axId val="1160375423"/>
      </c:barChart>
      <c:catAx>
        <c:axId val="158607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375423"/>
        <c:crosses val="autoZero"/>
        <c:auto val="1"/>
        <c:lblAlgn val="ctr"/>
        <c:lblOffset val="100"/>
        <c:noMultiLvlLbl val="0"/>
      </c:catAx>
      <c:valAx>
        <c:axId val="11603754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607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D4444-9551-4719-919E-8B4C7059E15D}">
  <ds:schemaRefs>
    <ds:schemaRef ds:uri="http://schemas.openxmlformats.org/officeDocument/2006/bibliography"/>
  </ds:schemaRefs>
</ds:datastoreItem>
</file>

<file path=customXml/itemProps2.xml><?xml version="1.0" encoding="utf-8"?>
<ds:datastoreItem xmlns:ds="http://schemas.openxmlformats.org/officeDocument/2006/customXml" ds:itemID="{9A7FCBB8-74A3-4474-A870-D5105C5FF1DA}"/>
</file>

<file path=customXml/itemProps3.xml><?xml version="1.0" encoding="utf-8"?>
<ds:datastoreItem xmlns:ds="http://schemas.openxmlformats.org/officeDocument/2006/customXml" ds:itemID="{B8DA8E20-377E-4D37-9A08-B9409F44FEA0}">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869c146-c82e-4435-92e4-da91542262fd"/>
    <ds:schemaRef ds:uri="81c01dc6-2c49-4730-b140-874c95cac377"/>
    <ds:schemaRef ds:uri="b98728ac-f998-415c-abee-6b046fb1441e"/>
    <ds:schemaRef ds:uri="http://www.w3.org/XML/1998/namespace"/>
  </ds:schemaRefs>
</ds:datastoreItem>
</file>

<file path=customXml/itemProps4.xml><?xml version="1.0" encoding="utf-8"?>
<ds:datastoreItem xmlns:ds="http://schemas.openxmlformats.org/officeDocument/2006/customXml" ds:itemID="{5E475FF6-5B6A-4A4E-A668-2312F3F00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42</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AEIC (2023) Annual Report</vt:lpstr>
    </vt:vector>
  </TitlesOfParts>
  <Company/>
  <LinksUpToDate>false</LinksUpToDate>
  <CharactersWithSpaces>59970</CharactersWithSpaces>
  <SharedDoc>false</SharedDoc>
  <HLinks>
    <vt:vector size="270" baseType="variant">
      <vt:variant>
        <vt:i4>2424952</vt:i4>
      </vt:variant>
      <vt:variant>
        <vt:i4>249</vt:i4>
      </vt:variant>
      <vt:variant>
        <vt:i4>0</vt:i4>
      </vt:variant>
      <vt:variant>
        <vt:i4>5</vt:i4>
      </vt:variant>
      <vt:variant>
        <vt:lpwstr>https://www.aeic.gov.au/news-media/news/community-engagement-review-report</vt:lpwstr>
      </vt:variant>
      <vt:variant>
        <vt:lpwstr/>
      </vt:variant>
      <vt:variant>
        <vt:i4>3735590</vt:i4>
      </vt:variant>
      <vt:variant>
        <vt:i4>246</vt:i4>
      </vt:variant>
      <vt:variant>
        <vt:i4>0</vt:i4>
      </vt:variant>
      <vt:variant>
        <vt:i4>5</vt:i4>
      </vt:variant>
      <vt:variant>
        <vt:lpwstr>http://www.aeic.gov.au/</vt:lpwstr>
      </vt:variant>
      <vt:variant>
        <vt:lpwstr/>
      </vt:variant>
      <vt:variant>
        <vt:i4>4390942</vt:i4>
      </vt:variant>
      <vt:variant>
        <vt:i4>243</vt:i4>
      </vt:variant>
      <vt:variant>
        <vt:i4>0</vt:i4>
      </vt:variant>
      <vt:variant>
        <vt:i4>5</vt:i4>
      </vt:variant>
      <vt:variant>
        <vt:lpwstr>http://www.aeic.gov.au/about</vt:lpwstr>
      </vt:variant>
      <vt:variant>
        <vt:lpwstr/>
      </vt:variant>
      <vt:variant>
        <vt:i4>6029355</vt:i4>
      </vt:variant>
      <vt:variant>
        <vt:i4>240</vt:i4>
      </vt:variant>
      <vt:variant>
        <vt:i4>0</vt:i4>
      </vt:variant>
      <vt:variant>
        <vt:i4>5</vt:i4>
      </vt:variant>
      <vt:variant>
        <vt:lpwstr>mailto:aeic@aeic.gov.au</vt:lpwstr>
      </vt:variant>
      <vt:variant>
        <vt:lpwstr/>
      </vt:variant>
      <vt:variant>
        <vt:i4>4390942</vt:i4>
      </vt:variant>
      <vt:variant>
        <vt:i4>237</vt:i4>
      </vt:variant>
      <vt:variant>
        <vt:i4>0</vt:i4>
      </vt:variant>
      <vt:variant>
        <vt:i4>5</vt:i4>
      </vt:variant>
      <vt:variant>
        <vt:lpwstr>http://www.aeic.gov.au/about</vt:lpwstr>
      </vt:variant>
      <vt:variant>
        <vt:lpwstr/>
      </vt:variant>
      <vt:variant>
        <vt:i4>3735590</vt:i4>
      </vt:variant>
      <vt:variant>
        <vt:i4>234</vt:i4>
      </vt:variant>
      <vt:variant>
        <vt:i4>0</vt:i4>
      </vt:variant>
      <vt:variant>
        <vt:i4>5</vt:i4>
      </vt:variant>
      <vt:variant>
        <vt:lpwstr>http://www.aeic.gov.au/</vt:lpwstr>
      </vt:variant>
      <vt:variant>
        <vt:lpwstr/>
      </vt:variant>
      <vt:variant>
        <vt:i4>1310783</vt:i4>
      </vt:variant>
      <vt:variant>
        <vt:i4>227</vt:i4>
      </vt:variant>
      <vt:variant>
        <vt:i4>0</vt:i4>
      </vt:variant>
      <vt:variant>
        <vt:i4>5</vt:i4>
      </vt:variant>
      <vt:variant>
        <vt:lpwstr/>
      </vt:variant>
      <vt:variant>
        <vt:lpwstr>_Toc161672817</vt:lpwstr>
      </vt:variant>
      <vt:variant>
        <vt:i4>1310783</vt:i4>
      </vt:variant>
      <vt:variant>
        <vt:i4>221</vt:i4>
      </vt:variant>
      <vt:variant>
        <vt:i4>0</vt:i4>
      </vt:variant>
      <vt:variant>
        <vt:i4>5</vt:i4>
      </vt:variant>
      <vt:variant>
        <vt:lpwstr/>
      </vt:variant>
      <vt:variant>
        <vt:lpwstr>_Toc161672816</vt:lpwstr>
      </vt:variant>
      <vt:variant>
        <vt:i4>1310783</vt:i4>
      </vt:variant>
      <vt:variant>
        <vt:i4>215</vt:i4>
      </vt:variant>
      <vt:variant>
        <vt:i4>0</vt:i4>
      </vt:variant>
      <vt:variant>
        <vt:i4>5</vt:i4>
      </vt:variant>
      <vt:variant>
        <vt:lpwstr/>
      </vt:variant>
      <vt:variant>
        <vt:lpwstr>_Toc161672815</vt:lpwstr>
      </vt:variant>
      <vt:variant>
        <vt:i4>1310783</vt:i4>
      </vt:variant>
      <vt:variant>
        <vt:i4>209</vt:i4>
      </vt:variant>
      <vt:variant>
        <vt:i4>0</vt:i4>
      </vt:variant>
      <vt:variant>
        <vt:i4>5</vt:i4>
      </vt:variant>
      <vt:variant>
        <vt:lpwstr/>
      </vt:variant>
      <vt:variant>
        <vt:lpwstr>_Toc161672814</vt:lpwstr>
      </vt:variant>
      <vt:variant>
        <vt:i4>1310783</vt:i4>
      </vt:variant>
      <vt:variant>
        <vt:i4>203</vt:i4>
      </vt:variant>
      <vt:variant>
        <vt:i4>0</vt:i4>
      </vt:variant>
      <vt:variant>
        <vt:i4>5</vt:i4>
      </vt:variant>
      <vt:variant>
        <vt:lpwstr/>
      </vt:variant>
      <vt:variant>
        <vt:lpwstr>_Toc161672813</vt:lpwstr>
      </vt:variant>
      <vt:variant>
        <vt:i4>1310783</vt:i4>
      </vt:variant>
      <vt:variant>
        <vt:i4>197</vt:i4>
      </vt:variant>
      <vt:variant>
        <vt:i4>0</vt:i4>
      </vt:variant>
      <vt:variant>
        <vt:i4>5</vt:i4>
      </vt:variant>
      <vt:variant>
        <vt:lpwstr/>
      </vt:variant>
      <vt:variant>
        <vt:lpwstr>_Toc161672812</vt:lpwstr>
      </vt:variant>
      <vt:variant>
        <vt:i4>1310783</vt:i4>
      </vt:variant>
      <vt:variant>
        <vt:i4>191</vt:i4>
      </vt:variant>
      <vt:variant>
        <vt:i4>0</vt:i4>
      </vt:variant>
      <vt:variant>
        <vt:i4>5</vt:i4>
      </vt:variant>
      <vt:variant>
        <vt:lpwstr/>
      </vt:variant>
      <vt:variant>
        <vt:lpwstr>_Toc161672811</vt:lpwstr>
      </vt:variant>
      <vt:variant>
        <vt:i4>1310783</vt:i4>
      </vt:variant>
      <vt:variant>
        <vt:i4>185</vt:i4>
      </vt:variant>
      <vt:variant>
        <vt:i4>0</vt:i4>
      </vt:variant>
      <vt:variant>
        <vt:i4>5</vt:i4>
      </vt:variant>
      <vt:variant>
        <vt:lpwstr/>
      </vt:variant>
      <vt:variant>
        <vt:lpwstr>_Toc161672810</vt:lpwstr>
      </vt:variant>
      <vt:variant>
        <vt:i4>1376319</vt:i4>
      </vt:variant>
      <vt:variant>
        <vt:i4>179</vt:i4>
      </vt:variant>
      <vt:variant>
        <vt:i4>0</vt:i4>
      </vt:variant>
      <vt:variant>
        <vt:i4>5</vt:i4>
      </vt:variant>
      <vt:variant>
        <vt:lpwstr/>
      </vt:variant>
      <vt:variant>
        <vt:lpwstr>_Toc161672809</vt:lpwstr>
      </vt:variant>
      <vt:variant>
        <vt:i4>1376319</vt:i4>
      </vt:variant>
      <vt:variant>
        <vt:i4>173</vt:i4>
      </vt:variant>
      <vt:variant>
        <vt:i4>0</vt:i4>
      </vt:variant>
      <vt:variant>
        <vt:i4>5</vt:i4>
      </vt:variant>
      <vt:variant>
        <vt:lpwstr/>
      </vt:variant>
      <vt:variant>
        <vt:lpwstr>_Toc161672808</vt:lpwstr>
      </vt:variant>
      <vt:variant>
        <vt:i4>1376319</vt:i4>
      </vt:variant>
      <vt:variant>
        <vt:i4>167</vt:i4>
      </vt:variant>
      <vt:variant>
        <vt:i4>0</vt:i4>
      </vt:variant>
      <vt:variant>
        <vt:i4>5</vt:i4>
      </vt:variant>
      <vt:variant>
        <vt:lpwstr/>
      </vt:variant>
      <vt:variant>
        <vt:lpwstr>_Toc161672807</vt:lpwstr>
      </vt:variant>
      <vt:variant>
        <vt:i4>1376319</vt:i4>
      </vt:variant>
      <vt:variant>
        <vt:i4>161</vt:i4>
      </vt:variant>
      <vt:variant>
        <vt:i4>0</vt:i4>
      </vt:variant>
      <vt:variant>
        <vt:i4>5</vt:i4>
      </vt:variant>
      <vt:variant>
        <vt:lpwstr/>
      </vt:variant>
      <vt:variant>
        <vt:lpwstr>_Toc161672806</vt:lpwstr>
      </vt:variant>
      <vt:variant>
        <vt:i4>1376319</vt:i4>
      </vt:variant>
      <vt:variant>
        <vt:i4>155</vt:i4>
      </vt:variant>
      <vt:variant>
        <vt:i4>0</vt:i4>
      </vt:variant>
      <vt:variant>
        <vt:i4>5</vt:i4>
      </vt:variant>
      <vt:variant>
        <vt:lpwstr/>
      </vt:variant>
      <vt:variant>
        <vt:lpwstr>_Toc161672805</vt:lpwstr>
      </vt:variant>
      <vt:variant>
        <vt:i4>1376319</vt:i4>
      </vt:variant>
      <vt:variant>
        <vt:i4>149</vt:i4>
      </vt:variant>
      <vt:variant>
        <vt:i4>0</vt:i4>
      </vt:variant>
      <vt:variant>
        <vt:i4>5</vt:i4>
      </vt:variant>
      <vt:variant>
        <vt:lpwstr/>
      </vt:variant>
      <vt:variant>
        <vt:lpwstr>_Toc161672804</vt:lpwstr>
      </vt:variant>
      <vt:variant>
        <vt:i4>1376319</vt:i4>
      </vt:variant>
      <vt:variant>
        <vt:i4>143</vt:i4>
      </vt:variant>
      <vt:variant>
        <vt:i4>0</vt:i4>
      </vt:variant>
      <vt:variant>
        <vt:i4>5</vt:i4>
      </vt:variant>
      <vt:variant>
        <vt:lpwstr/>
      </vt:variant>
      <vt:variant>
        <vt:lpwstr>_Toc161672803</vt:lpwstr>
      </vt:variant>
      <vt:variant>
        <vt:i4>1376319</vt:i4>
      </vt:variant>
      <vt:variant>
        <vt:i4>137</vt:i4>
      </vt:variant>
      <vt:variant>
        <vt:i4>0</vt:i4>
      </vt:variant>
      <vt:variant>
        <vt:i4>5</vt:i4>
      </vt:variant>
      <vt:variant>
        <vt:lpwstr/>
      </vt:variant>
      <vt:variant>
        <vt:lpwstr>_Toc161672802</vt:lpwstr>
      </vt:variant>
      <vt:variant>
        <vt:i4>1376319</vt:i4>
      </vt:variant>
      <vt:variant>
        <vt:i4>131</vt:i4>
      </vt:variant>
      <vt:variant>
        <vt:i4>0</vt:i4>
      </vt:variant>
      <vt:variant>
        <vt:i4>5</vt:i4>
      </vt:variant>
      <vt:variant>
        <vt:lpwstr/>
      </vt:variant>
      <vt:variant>
        <vt:lpwstr>_Toc161672801</vt:lpwstr>
      </vt:variant>
      <vt:variant>
        <vt:i4>1376319</vt:i4>
      </vt:variant>
      <vt:variant>
        <vt:i4>125</vt:i4>
      </vt:variant>
      <vt:variant>
        <vt:i4>0</vt:i4>
      </vt:variant>
      <vt:variant>
        <vt:i4>5</vt:i4>
      </vt:variant>
      <vt:variant>
        <vt:lpwstr/>
      </vt:variant>
      <vt:variant>
        <vt:lpwstr>_Toc161672800</vt:lpwstr>
      </vt:variant>
      <vt:variant>
        <vt:i4>1835056</vt:i4>
      </vt:variant>
      <vt:variant>
        <vt:i4>119</vt:i4>
      </vt:variant>
      <vt:variant>
        <vt:i4>0</vt:i4>
      </vt:variant>
      <vt:variant>
        <vt:i4>5</vt:i4>
      </vt:variant>
      <vt:variant>
        <vt:lpwstr/>
      </vt:variant>
      <vt:variant>
        <vt:lpwstr>_Toc161672799</vt:lpwstr>
      </vt:variant>
      <vt:variant>
        <vt:i4>1835056</vt:i4>
      </vt:variant>
      <vt:variant>
        <vt:i4>113</vt:i4>
      </vt:variant>
      <vt:variant>
        <vt:i4>0</vt:i4>
      </vt:variant>
      <vt:variant>
        <vt:i4>5</vt:i4>
      </vt:variant>
      <vt:variant>
        <vt:lpwstr/>
      </vt:variant>
      <vt:variant>
        <vt:lpwstr>_Toc161672798</vt:lpwstr>
      </vt:variant>
      <vt:variant>
        <vt:i4>1835056</vt:i4>
      </vt:variant>
      <vt:variant>
        <vt:i4>107</vt:i4>
      </vt:variant>
      <vt:variant>
        <vt:i4>0</vt:i4>
      </vt:variant>
      <vt:variant>
        <vt:i4>5</vt:i4>
      </vt:variant>
      <vt:variant>
        <vt:lpwstr/>
      </vt:variant>
      <vt:variant>
        <vt:lpwstr>_Toc161672797</vt:lpwstr>
      </vt:variant>
      <vt:variant>
        <vt:i4>1835056</vt:i4>
      </vt:variant>
      <vt:variant>
        <vt:i4>101</vt:i4>
      </vt:variant>
      <vt:variant>
        <vt:i4>0</vt:i4>
      </vt:variant>
      <vt:variant>
        <vt:i4>5</vt:i4>
      </vt:variant>
      <vt:variant>
        <vt:lpwstr/>
      </vt:variant>
      <vt:variant>
        <vt:lpwstr>_Toc161672796</vt:lpwstr>
      </vt:variant>
      <vt:variant>
        <vt:i4>1835056</vt:i4>
      </vt:variant>
      <vt:variant>
        <vt:i4>95</vt:i4>
      </vt:variant>
      <vt:variant>
        <vt:i4>0</vt:i4>
      </vt:variant>
      <vt:variant>
        <vt:i4>5</vt:i4>
      </vt:variant>
      <vt:variant>
        <vt:lpwstr/>
      </vt:variant>
      <vt:variant>
        <vt:lpwstr>_Toc161672795</vt:lpwstr>
      </vt:variant>
      <vt:variant>
        <vt:i4>1835056</vt:i4>
      </vt:variant>
      <vt:variant>
        <vt:i4>89</vt:i4>
      </vt:variant>
      <vt:variant>
        <vt:i4>0</vt:i4>
      </vt:variant>
      <vt:variant>
        <vt:i4>5</vt:i4>
      </vt:variant>
      <vt:variant>
        <vt:lpwstr/>
      </vt:variant>
      <vt:variant>
        <vt:lpwstr>_Toc161672794</vt:lpwstr>
      </vt:variant>
      <vt:variant>
        <vt:i4>1835056</vt:i4>
      </vt:variant>
      <vt:variant>
        <vt:i4>83</vt:i4>
      </vt:variant>
      <vt:variant>
        <vt:i4>0</vt:i4>
      </vt:variant>
      <vt:variant>
        <vt:i4>5</vt:i4>
      </vt:variant>
      <vt:variant>
        <vt:lpwstr/>
      </vt:variant>
      <vt:variant>
        <vt:lpwstr>_Toc161672793</vt:lpwstr>
      </vt:variant>
      <vt:variant>
        <vt:i4>1835056</vt:i4>
      </vt:variant>
      <vt:variant>
        <vt:i4>77</vt:i4>
      </vt:variant>
      <vt:variant>
        <vt:i4>0</vt:i4>
      </vt:variant>
      <vt:variant>
        <vt:i4>5</vt:i4>
      </vt:variant>
      <vt:variant>
        <vt:lpwstr/>
      </vt:variant>
      <vt:variant>
        <vt:lpwstr>_Toc161672792</vt:lpwstr>
      </vt:variant>
      <vt:variant>
        <vt:i4>1835056</vt:i4>
      </vt:variant>
      <vt:variant>
        <vt:i4>71</vt:i4>
      </vt:variant>
      <vt:variant>
        <vt:i4>0</vt:i4>
      </vt:variant>
      <vt:variant>
        <vt:i4>5</vt:i4>
      </vt:variant>
      <vt:variant>
        <vt:lpwstr/>
      </vt:variant>
      <vt:variant>
        <vt:lpwstr>_Toc161672791</vt:lpwstr>
      </vt:variant>
      <vt:variant>
        <vt:i4>1835056</vt:i4>
      </vt:variant>
      <vt:variant>
        <vt:i4>65</vt:i4>
      </vt:variant>
      <vt:variant>
        <vt:i4>0</vt:i4>
      </vt:variant>
      <vt:variant>
        <vt:i4>5</vt:i4>
      </vt:variant>
      <vt:variant>
        <vt:lpwstr/>
      </vt:variant>
      <vt:variant>
        <vt:lpwstr>_Toc161672790</vt:lpwstr>
      </vt:variant>
      <vt:variant>
        <vt:i4>1900592</vt:i4>
      </vt:variant>
      <vt:variant>
        <vt:i4>59</vt:i4>
      </vt:variant>
      <vt:variant>
        <vt:i4>0</vt:i4>
      </vt:variant>
      <vt:variant>
        <vt:i4>5</vt:i4>
      </vt:variant>
      <vt:variant>
        <vt:lpwstr/>
      </vt:variant>
      <vt:variant>
        <vt:lpwstr>_Toc161672789</vt:lpwstr>
      </vt:variant>
      <vt:variant>
        <vt:i4>1900592</vt:i4>
      </vt:variant>
      <vt:variant>
        <vt:i4>53</vt:i4>
      </vt:variant>
      <vt:variant>
        <vt:i4>0</vt:i4>
      </vt:variant>
      <vt:variant>
        <vt:i4>5</vt:i4>
      </vt:variant>
      <vt:variant>
        <vt:lpwstr/>
      </vt:variant>
      <vt:variant>
        <vt:lpwstr>_Toc161672788</vt:lpwstr>
      </vt:variant>
      <vt:variant>
        <vt:i4>1900592</vt:i4>
      </vt:variant>
      <vt:variant>
        <vt:i4>47</vt:i4>
      </vt:variant>
      <vt:variant>
        <vt:i4>0</vt:i4>
      </vt:variant>
      <vt:variant>
        <vt:i4>5</vt:i4>
      </vt:variant>
      <vt:variant>
        <vt:lpwstr/>
      </vt:variant>
      <vt:variant>
        <vt:lpwstr>_Toc161672787</vt:lpwstr>
      </vt:variant>
      <vt:variant>
        <vt:i4>1900592</vt:i4>
      </vt:variant>
      <vt:variant>
        <vt:i4>41</vt:i4>
      </vt:variant>
      <vt:variant>
        <vt:i4>0</vt:i4>
      </vt:variant>
      <vt:variant>
        <vt:i4>5</vt:i4>
      </vt:variant>
      <vt:variant>
        <vt:lpwstr/>
      </vt:variant>
      <vt:variant>
        <vt:lpwstr>_Toc161672786</vt:lpwstr>
      </vt:variant>
      <vt:variant>
        <vt:i4>1900592</vt:i4>
      </vt:variant>
      <vt:variant>
        <vt:i4>35</vt:i4>
      </vt:variant>
      <vt:variant>
        <vt:i4>0</vt:i4>
      </vt:variant>
      <vt:variant>
        <vt:i4>5</vt:i4>
      </vt:variant>
      <vt:variant>
        <vt:lpwstr/>
      </vt:variant>
      <vt:variant>
        <vt:lpwstr>_Toc161672785</vt:lpwstr>
      </vt:variant>
      <vt:variant>
        <vt:i4>1900592</vt:i4>
      </vt:variant>
      <vt:variant>
        <vt:i4>29</vt:i4>
      </vt:variant>
      <vt:variant>
        <vt:i4>0</vt:i4>
      </vt:variant>
      <vt:variant>
        <vt:i4>5</vt:i4>
      </vt:variant>
      <vt:variant>
        <vt:lpwstr/>
      </vt:variant>
      <vt:variant>
        <vt:lpwstr>_Toc161672784</vt:lpwstr>
      </vt:variant>
      <vt:variant>
        <vt:i4>1900592</vt:i4>
      </vt:variant>
      <vt:variant>
        <vt:i4>23</vt:i4>
      </vt:variant>
      <vt:variant>
        <vt:i4>0</vt:i4>
      </vt:variant>
      <vt:variant>
        <vt:i4>5</vt:i4>
      </vt:variant>
      <vt:variant>
        <vt:lpwstr/>
      </vt:variant>
      <vt:variant>
        <vt:lpwstr>_Toc161672783</vt:lpwstr>
      </vt:variant>
      <vt:variant>
        <vt:i4>1900592</vt:i4>
      </vt:variant>
      <vt:variant>
        <vt:i4>17</vt:i4>
      </vt:variant>
      <vt:variant>
        <vt:i4>0</vt:i4>
      </vt:variant>
      <vt:variant>
        <vt:i4>5</vt:i4>
      </vt:variant>
      <vt:variant>
        <vt:lpwstr/>
      </vt:variant>
      <vt:variant>
        <vt:lpwstr>_Toc161672782</vt:lpwstr>
      </vt:variant>
      <vt:variant>
        <vt:i4>1900592</vt:i4>
      </vt:variant>
      <vt:variant>
        <vt:i4>11</vt:i4>
      </vt:variant>
      <vt:variant>
        <vt:i4>0</vt:i4>
      </vt:variant>
      <vt:variant>
        <vt:i4>5</vt:i4>
      </vt:variant>
      <vt:variant>
        <vt:lpwstr/>
      </vt:variant>
      <vt:variant>
        <vt:lpwstr>_Toc161672781</vt:lpwstr>
      </vt:variant>
      <vt:variant>
        <vt:i4>1900592</vt:i4>
      </vt:variant>
      <vt:variant>
        <vt:i4>5</vt:i4>
      </vt:variant>
      <vt:variant>
        <vt:i4>0</vt:i4>
      </vt:variant>
      <vt:variant>
        <vt:i4>5</vt:i4>
      </vt:variant>
      <vt:variant>
        <vt:lpwstr/>
      </vt:variant>
      <vt:variant>
        <vt:lpwstr>_Toc161672780</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AEIC (2023) Annual Report</dc:title>
  <dc:subject>Australian Energy Infrastructure Commissioner</dc:subject>
  <dc:creator>Office of the Australian Energy Infrastructure Commissioner</dc:creator>
  <cp:keywords/>
  <dc:description/>
  <cp:lastModifiedBy>Lien Nguyen</cp:lastModifiedBy>
  <cp:revision>10</cp:revision>
  <cp:lastPrinted>2024-05-24T03:55:00Z</cp:lastPrinted>
  <dcterms:created xsi:type="dcterms:W3CDTF">2024-04-30T01:00:00Z</dcterms:created>
  <dcterms:modified xsi:type="dcterms:W3CDTF">2024-06-12T06:19:00Z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{eba0daa3-7a6b-4345-a184-35bbfa05a52e}</vt:lpwstr>
  </property>
  <property fmtid="{D5CDD505-2E9C-101B-9397-08002B2CF9AE}" pid="6" name="RecordPoint_ActiveItemUniqueId">
    <vt:lpwstr>{c7f303cf-4e73-4432-adbf-b63f54c0b646}</vt:lpwstr>
  </property>
  <property fmtid="{D5CDD505-2E9C-101B-9397-08002B2CF9AE}" pid="7" name="RecordPoint_ActiveItemWebId">
    <vt:lpwstr>{c7ab633b-628c-4474-be8c-b698d69082f2}</vt:lpwstr>
  </property>
  <property fmtid="{D5CDD505-2E9C-101B-9397-08002B2CF9AE}" pid="8" name="DocHub_Year">
    <vt:lpwstr/>
  </property>
  <property fmtid="{D5CDD505-2E9C-101B-9397-08002B2CF9AE}" pid="9" name="DocHub_DocumentType">
    <vt:lpwstr>107;#Publication|06e93801-71cb-48e6-a8b7-fc1a9a5a1404</vt:lpwstr>
  </property>
  <property fmtid="{D5CDD505-2E9C-101B-9397-08002B2CF9AE}" pid="10" name="DocHub_SecurityClassification">
    <vt:lpwstr>1;#OFFICIAL|6106d03b-a1a0-4e30-9d91-d5e9fb4314f9</vt:lpwstr>
  </property>
  <property fmtid="{D5CDD505-2E9C-101B-9397-08002B2CF9AE}" pid="11" name="DocHub_Keywords">
    <vt:lpwstr/>
  </property>
  <property fmtid="{D5CDD505-2E9C-101B-9397-08002B2CF9AE}" pid="12" name="DocHub_WorkActivity">
    <vt:lpwstr>17;#Reporting|12af97d0-e555-43d0-b3d2-0f0b8e33cc04</vt:lpwstr>
  </property>
  <property fmtid="{D5CDD505-2E9C-101B-9397-08002B2CF9AE}" pid="13" name="_CopySource">
    <vt:lpwstr/>
  </property>
  <property fmtid="{D5CDD505-2E9C-101B-9397-08002B2CF9AE}" pid="14" name="MediaServiceImageTags">
    <vt:lpwstr/>
  </property>
</Properties>
</file>