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8C91" w14:textId="77777777" w:rsidR="003E74F5" w:rsidRDefault="003E74F5" w:rsidP="00150130">
      <w:pPr>
        <w:pStyle w:val="Header"/>
        <w:rPr>
          <w:b/>
          <w:bCs/>
        </w:rPr>
      </w:pPr>
    </w:p>
    <w:p w14:paraId="1FD7F884" w14:textId="77777777" w:rsidR="00F047DD" w:rsidRPr="00F047DD" w:rsidRDefault="00F047DD" w:rsidP="00F047DD">
      <w:pPr>
        <w:rPr>
          <w:sz w:val="24"/>
          <w:szCs w:val="24"/>
        </w:rPr>
      </w:pPr>
      <w:r w:rsidRPr="00F047DD">
        <w:rPr>
          <w:sz w:val="24"/>
          <w:szCs w:val="24"/>
        </w:rPr>
        <w:t xml:space="preserve"> </w:t>
      </w:r>
      <w:r w:rsidRPr="00F047DD">
        <w:rPr>
          <w:b/>
          <w:bCs/>
          <w:sz w:val="24"/>
          <w:szCs w:val="24"/>
        </w:rPr>
        <w:t xml:space="preserve">Additional Senate Budget Estimates (Monday 24 February 2025) </w:t>
      </w:r>
    </w:p>
    <w:p w14:paraId="3B659CA5" w14:textId="77777777" w:rsidR="00F047DD" w:rsidRPr="006A7256" w:rsidRDefault="00F047DD" w:rsidP="00F047DD">
      <w:pPr>
        <w:rPr>
          <w:b/>
          <w:bCs/>
          <w:i/>
          <w:iCs/>
          <w:sz w:val="24"/>
          <w:szCs w:val="24"/>
          <w:u w:val="single"/>
        </w:rPr>
      </w:pPr>
      <w:r w:rsidRPr="00F047DD">
        <w:rPr>
          <w:b/>
          <w:bCs/>
          <w:i/>
          <w:iCs/>
          <w:sz w:val="24"/>
          <w:szCs w:val="24"/>
          <w:u w:val="single"/>
        </w:rPr>
        <w:t xml:space="preserve">Opening Statement – Australian Energy Infrastructure Commissioner </w:t>
      </w:r>
    </w:p>
    <w:p w14:paraId="76C3B0B6" w14:textId="77777777" w:rsidR="00894A12" w:rsidRPr="00F047DD" w:rsidRDefault="00894A12" w:rsidP="00F047DD">
      <w:pPr>
        <w:rPr>
          <w:sz w:val="24"/>
          <w:szCs w:val="24"/>
          <w:u w:val="single"/>
        </w:rPr>
      </w:pPr>
    </w:p>
    <w:p w14:paraId="443744BA" w14:textId="77777777" w:rsidR="00F047DD" w:rsidRPr="00F047DD" w:rsidRDefault="00F047DD" w:rsidP="00F047DD">
      <w:pPr>
        <w:rPr>
          <w:sz w:val="24"/>
          <w:szCs w:val="24"/>
        </w:rPr>
      </w:pPr>
      <w:r w:rsidRPr="00F047DD">
        <w:rPr>
          <w:sz w:val="24"/>
          <w:szCs w:val="24"/>
        </w:rPr>
        <w:t xml:space="preserve">Good afternoon, Senators. Thank you for the opportunity to appear before the committee. I would like to make a brief opening statement which I have provided to the Committee. </w:t>
      </w:r>
    </w:p>
    <w:p w14:paraId="175464CC" w14:textId="77777777" w:rsidR="00F047DD" w:rsidRPr="00F047DD" w:rsidRDefault="00F047DD" w:rsidP="00F047DD">
      <w:pPr>
        <w:rPr>
          <w:sz w:val="24"/>
          <w:szCs w:val="24"/>
        </w:rPr>
      </w:pPr>
      <w:r w:rsidRPr="00F047DD">
        <w:rPr>
          <w:sz w:val="24"/>
          <w:szCs w:val="24"/>
        </w:rPr>
        <w:t xml:space="preserve">I would like to start today by briefly introducing myself and providing a short overview of my key priorities. </w:t>
      </w:r>
    </w:p>
    <w:p w14:paraId="1BAB95B1" w14:textId="77777777" w:rsidR="00F047DD" w:rsidRPr="00F047DD" w:rsidRDefault="00F047DD" w:rsidP="00F047DD">
      <w:pPr>
        <w:rPr>
          <w:sz w:val="24"/>
          <w:szCs w:val="24"/>
        </w:rPr>
      </w:pPr>
      <w:r w:rsidRPr="00F047DD">
        <w:rPr>
          <w:sz w:val="24"/>
          <w:szCs w:val="24"/>
        </w:rPr>
        <w:t xml:space="preserve">They are, in essence: </w:t>
      </w:r>
    </w:p>
    <w:p w14:paraId="209A67E4" w14:textId="77777777" w:rsidR="00F047DD" w:rsidRPr="00605164" w:rsidRDefault="00F047DD" w:rsidP="00605164">
      <w:pPr>
        <w:pStyle w:val="ListParagraph"/>
        <w:numPr>
          <w:ilvl w:val="0"/>
          <w:numId w:val="13"/>
        </w:numPr>
        <w:rPr>
          <w:sz w:val="24"/>
          <w:szCs w:val="24"/>
        </w:rPr>
      </w:pPr>
      <w:r w:rsidRPr="00605164">
        <w:rPr>
          <w:sz w:val="24"/>
          <w:szCs w:val="24"/>
        </w:rPr>
        <w:t xml:space="preserve">supporting rural and regional communities and working with industry to make sure we get the best outcomes possible as part of the current energy transition, and </w:t>
      </w:r>
    </w:p>
    <w:p w14:paraId="63A620FC" w14:textId="3F419DF8" w:rsidR="00F047DD" w:rsidRPr="00605164" w:rsidRDefault="00F047DD" w:rsidP="00F047DD">
      <w:pPr>
        <w:pStyle w:val="ListParagraph"/>
        <w:numPr>
          <w:ilvl w:val="0"/>
          <w:numId w:val="13"/>
        </w:numPr>
        <w:rPr>
          <w:sz w:val="24"/>
          <w:szCs w:val="24"/>
        </w:rPr>
      </w:pPr>
      <w:r w:rsidRPr="00605164">
        <w:rPr>
          <w:sz w:val="24"/>
          <w:szCs w:val="24"/>
        </w:rPr>
        <w:t xml:space="preserve">providing advice to governments on the implementation of the previous Commissioner’s </w:t>
      </w:r>
      <w:r w:rsidRPr="00605164">
        <w:rPr>
          <w:i/>
          <w:iCs/>
          <w:sz w:val="24"/>
          <w:szCs w:val="24"/>
        </w:rPr>
        <w:t>Community Engagement Review</w:t>
      </w:r>
      <w:r w:rsidRPr="00605164">
        <w:rPr>
          <w:sz w:val="24"/>
          <w:szCs w:val="24"/>
        </w:rPr>
        <w:t xml:space="preserve">. </w:t>
      </w:r>
    </w:p>
    <w:p w14:paraId="774C4CF8" w14:textId="308ECBA3" w:rsidR="00F047DD" w:rsidRPr="00F047DD" w:rsidRDefault="00F047DD" w:rsidP="00F047DD">
      <w:pPr>
        <w:rPr>
          <w:sz w:val="24"/>
          <w:szCs w:val="24"/>
        </w:rPr>
      </w:pPr>
      <w:r w:rsidRPr="00F047DD">
        <w:rPr>
          <w:sz w:val="24"/>
          <w:szCs w:val="24"/>
        </w:rPr>
        <w:t xml:space="preserve">Briefly for background I was </w:t>
      </w:r>
      <w:r w:rsidR="002269FA" w:rsidRPr="002269FA">
        <w:rPr>
          <w:sz w:val="24"/>
          <w:szCs w:val="24"/>
        </w:rPr>
        <w:t>appointed</w:t>
      </w:r>
      <w:r w:rsidRPr="00F047DD">
        <w:rPr>
          <w:sz w:val="24"/>
          <w:szCs w:val="24"/>
        </w:rPr>
        <w:t xml:space="preserve"> to the role of Australian Energy Infrastructure Commissioner – late last year. </w:t>
      </w:r>
    </w:p>
    <w:p w14:paraId="4531B5BD" w14:textId="77777777" w:rsidR="00F047DD" w:rsidRPr="00F047DD" w:rsidRDefault="00F047DD" w:rsidP="00F047DD">
      <w:pPr>
        <w:rPr>
          <w:sz w:val="24"/>
          <w:szCs w:val="24"/>
        </w:rPr>
      </w:pPr>
      <w:r w:rsidRPr="00F047DD">
        <w:rPr>
          <w:sz w:val="24"/>
          <w:szCs w:val="24"/>
        </w:rPr>
        <w:t xml:space="preserve">This role was established under the previous Australian Government in 2015 as the </w:t>
      </w:r>
      <w:r w:rsidRPr="00F047DD">
        <w:rPr>
          <w:b/>
          <w:bCs/>
          <w:sz w:val="24"/>
          <w:szCs w:val="24"/>
        </w:rPr>
        <w:t>National Wind Farm Commissioner</w:t>
      </w:r>
      <w:r w:rsidRPr="00F047DD">
        <w:rPr>
          <w:sz w:val="24"/>
          <w:szCs w:val="24"/>
        </w:rPr>
        <w:t xml:space="preserve">. After an initial three-year term, in October 2018 the Commissioner’s role was expanded to include large-scale solar farms and storage facilities and extended for a further three years. In March 2021, the role was further expanded, to include proposed, significant greenfield transmission projects. </w:t>
      </w:r>
    </w:p>
    <w:p w14:paraId="1F15E004" w14:textId="77777777" w:rsidR="00F047DD" w:rsidRPr="00F047DD" w:rsidRDefault="00F047DD" w:rsidP="00F047DD">
      <w:pPr>
        <w:rPr>
          <w:sz w:val="24"/>
          <w:szCs w:val="24"/>
        </w:rPr>
      </w:pPr>
      <w:r w:rsidRPr="00F047DD">
        <w:rPr>
          <w:sz w:val="24"/>
          <w:szCs w:val="24"/>
        </w:rPr>
        <w:t xml:space="preserve">I would like to take this time to thank the previous Commissioners for their contributions and acknowledge the important work they have done, which I will continue in my tenure as Commissioner. </w:t>
      </w:r>
    </w:p>
    <w:p w14:paraId="1761120F" w14:textId="62CE19CC" w:rsidR="00F047DD" w:rsidRPr="006A7256" w:rsidRDefault="00F047DD" w:rsidP="00F047DD">
      <w:pPr>
        <w:rPr>
          <w:sz w:val="24"/>
          <w:szCs w:val="24"/>
        </w:rPr>
      </w:pPr>
      <w:r w:rsidRPr="00F047DD">
        <w:rPr>
          <w:sz w:val="24"/>
          <w:szCs w:val="24"/>
        </w:rPr>
        <w:t xml:space="preserve">2024 was the Office’s third busiest year since the Commissioner was created in 2015, with a total of 152 new cases from January 1, 2024, to December 31, 2024. </w:t>
      </w:r>
    </w:p>
    <w:p w14:paraId="220B0144" w14:textId="77777777" w:rsidR="000B42C5" w:rsidRDefault="000B42C5" w:rsidP="00F047DD">
      <w:pPr>
        <w:rPr>
          <w:sz w:val="24"/>
          <w:szCs w:val="24"/>
        </w:rPr>
      </w:pPr>
    </w:p>
    <w:p w14:paraId="01FE7A9B" w14:textId="3ED8E662" w:rsidR="00F047DD" w:rsidRPr="00F047DD" w:rsidRDefault="00F047DD" w:rsidP="00F047DD">
      <w:pPr>
        <w:rPr>
          <w:sz w:val="24"/>
          <w:szCs w:val="24"/>
        </w:rPr>
      </w:pPr>
      <w:r w:rsidRPr="00F047DD">
        <w:rPr>
          <w:sz w:val="24"/>
          <w:szCs w:val="24"/>
        </w:rPr>
        <w:t xml:space="preserve">In terms of new cases by the project’s primary asset type: </w:t>
      </w:r>
    </w:p>
    <w:p w14:paraId="1AB245C8" w14:textId="77777777" w:rsidR="00F047DD" w:rsidRPr="00F047DD" w:rsidRDefault="00F047DD" w:rsidP="00F047DD">
      <w:pPr>
        <w:numPr>
          <w:ilvl w:val="0"/>
          <w:numId w:val="9"/>
        </w:numPr>
        <w:rPr>
          <w:sz w:val="24"/>
          <w:szCs w:val="24"/>
        </w:rPr>
      </w:pPr>
      <w:r w:rsidRPr="00F047DD">
        <w:rPr>
          <w:sz w:val="24"/>
          <w:szCs w:val="24"/>
        </w:rPr>
        <w:t xml:space="preserve">66% of related to wind farms (100 cases over 33 projects) </w:t>
      </w:r>
    </w:p>
    <w:p w14:paraId="442BC959" w14:textId="77777777" w:rsidR="00F047DD" w:rsidRPr="00F047DD" w:rsidRDefault="00F047DD" w:rsidP="00F047DD">
      <w:pPr>
        <w:numPr>
          <w:ilvl w:val="0"/>
          <w:numId w:val="9"/>
        </w:numPr>
        <w:rPr>
          <w:sz w:val="24"/>
          <w:szCs w:val="24"/>
        </w:rPr>
      </w:pPr>
      <w:r w:rsidRPr="00F047DD">
        <w:rPr>
          <w:sz w:val="24"/>
          <w:szCs w:val="24"/>
        </w:rPr>
        <w:t xml:space="preserve">12% to solar farms (18 cases over 9 projects) </w:t>
      </w:r>
    </w:p>
    <w:p w14:paraId="5ED834F2" w14:textId="77777777" w:rsidR="00F047DD" w:rsidRPr="00F047DD" w:rsidRDefault="00F047DD" w:rsidP="00F047DD">
      <w:pPr>
        <w:numPr>
          <w:ilvl w:val="0"/>
          <w:numId w:val="9"/>
        </w:numPr>
        <w:rPr>
          <w:sz w:val="24"/>
          <w:szCs w:val="24"/>
        </w:rPr>
      </w:pPr>
      <w:r w:rsidRPr="00F047DD">
        <w:rPr>
          <w:sz w:val="24"/>
          <w:szCs w:val="24"/>
        </w:rPr>
        <w:t xml:space="preserve">11% to transmission (17 cases over 4 projects) </w:t>
      </w:r>
    </w:p>
    <w:p w14:paraId="27740B0C" w14:textId="77777777" w:rsidR="00F047DD" w:rsidRPr="00F047DD" w:rsidRDefault="00F047DD" w:rsidP="00F047DD">
      <w:pPr>
        <w:numPr>
          <w:ilvl w:val="0"/>
          <w:numId w:val="9"/>
        </w:numPr>
        <w:rPr>
          <w:sz w:val="24"/>
          <w:szCs w:val="24"/>
        </w:rPr>
      </w:pPr>
      <w:r w:rsidRPr="00F047DD">
        <w:rPr>
          <w:sz w:val="24"/>
          <w:szCs w:val="24"/>
        </w:rPr>
        <w:t xml:space="preserve">2% to an energy storage facility (3 cases over 3 projects), and </w:t>
      </w:r>
    </w:p>
    <w:p w14:paraId="734FB4D9" w14:textId="20AE541C" w:rsidR="00F047DD" w:rsidRPr="00F047DD" w:rsidRDefault="00F047DD" w:rsidP="00F047DD">
      <w:pPr>
        <w:numPr>
          <w:ilvl w:val="0"/>
          <w:numId w:val="9"/>
        </w:numPr>
        <w:rPr>
          <w:sz w:val="24"/>
          <w:szCs w:val="24"/>
        </w:rPr>
      </w:pPr>
      <w:r w:rsidRPr="00F047DD">
        <w:rPr>
          <w:sz w:val="24"/>
          <w:szCs w:val="24"/>
        </w:rPr>
        <w:t xml:space="preserve">9% were general inquiries (14 cases). </w:t>
      </w:r>
    </w:p>
    <w:p w14:paraId="7BD18F79" w14:textId="77777777" w:rsidR="009648E4" w:rsidRDefault="009648E4" w:rsidP="00F047DD">
      <w:pPr>
        <w:rPr>
          <w:sz w:val="24"/>
          <w:szCs w:val="24"/>
        </w:rPr>
      </w:pPr>
    </w:p>
    <w:p w14:paraId="53D9E583" w14:textId="5ADD6DFE" w:rsidR="00F047DD" w:rsidRPr="00F047DD" w:rsidRDefault="00F047DD" w:rsidP="00F047DD">
      <w:pPr>
        <w:rPr>
          <w:sz w:val="24"/>
          <w:szCs w:val="24"/>
        </w:rPr>
      </w:pPr>
      <w:r w:rsidRPr="00F047DD">
        <w:rPr>
          <w:sz w:val="24"/>
          <w:szCs w:val="24"/>
        </w:rPr>
        <w:t xml:space="preserve">The four most common complaint issues raised in new cases in 2024, across all asset types and jurisdictions, were: </w:t>
      </w:r>
    </w:p>
    <w:p w14:paraId="6946B604" w14:textId="77777777" w:rsidR="00F047DD" w:rsidRPr="00F047DD" w:rsidRDefault="00F047DD" w:rsidP="00F047DD">
      <w:pPr>
        <w:numPr>
          <w:ilvl w:val="0"/>
          <w:numId w:val="10"/>
        </w:numPr>
        <w:rPr>
          <w:sz w:val="24"/>
          <w:szCs w:val="24"/>
        </w:rPr>
      </w:pPr>
      <w:r w:rsidRPr="00F047DD">
        <w:rPr>
          <w:sz w:val="24"/>
          <w:szCs w:val="24"/>
        </w:rPr>
        <w:t xml:space="preserve">46% related to Community Engagement (70 cases) </w:t>
      </w:r>
    </w:p>
    <w:p w14:paraId="58C1B914" w14:textId="77777777" w:rsidR="00F047DD" w:rsidRPr="00F047DD" w:rsidRDefault="00F047DD" w:rsidP="00F047DD">
      <w:pPr>
        <w:numPr>
          <w:ilvl w:val="0"/>
          <w:numId w:val="10"/>
        </w:numPr>
        <w:rPr>
          <w:sz w:val="24"/>
          <w:szCs w:val="24"/>
        </w:rPr>
      </w:pPr>
      <w:r w:rsidRPr="00F047DD">
        <w:rPr>
          <w:b/>
          <w:bCs/>
          <w:sz w:val="24"/>
          <w:szCs w:val="24"/>
        </w:rPr>
        <w:t xml:space="preserve">33% </w:t>
      </w:r>
      <w:r w:rsidRPr="00F047DD">
        <w:rPr>
          <w:sz w:val="24"/>
          <w:szCs w:val="24"/>
        </w:rPr>
        <w:t xml:space="preserve">related to Safety (50 cases) </w:t>
      </w:r>
    </w:p>
    <w:p w14:paraId="1AE61740" w14:textId="77777777" w:rsidR="00F047DD" w:rsidRPr="00F047DD" w:rsidRDefault="00F047DD" w:rsidP="00F047DD">
      <w:pPr>
        <w:numPr>
          <w:ilvl w:val="0"/>
          <w:numId w:val="10"/>
        </w:numPr>
        <w:rPr>
          <w:sz w:val="24"/>
          <w:szCs w:val="24"/>
        </w:rPr>
      </w:pPr>
      <w:r w:rsidRPr="00F047DD">
        <w:rPr>
          <w:sz w:val="24"/>
          <w:szCs w:val="24"/>
        </w:rPr>
        <w:t xml:space="preserve">32% related to the Natural Environment (49 cases) </w:t>
      </w:r>
    </w:p>
    <w:p w14:paraId="679305BB" w14:textId="681158F1" w:rsidR="00F047DD" w:rsidRDefault="00F047DD" w:rsidP="00F047DD">
      <w:pPr>
        <w:numPr>
          <w:ilvl w:val="0"/>
          <w:numId w:val="10"/>
        </w:numPr>
        <w:rPr>
          <w:sz w:val="24"/>
          <w:szCs w:val="24"/>
        </w:rPr>
      </w:pPr>
      <w:r w:rsidRPr="00F047DD">
        <w:rPr>
          <w:sz w:val="24"/>
          <w:szCs w:val="24"/>
        </w:rPr>
        <w:t xml:space="preserve">31% related to Amenity (47 cases) </w:t>
      </w:r>
    </w:p>
    <w:p w14:paraId="6DFFEBA9" w14:textId="77777777" w:rsidR="009648E4" w:rsidRPr="00F047DD" w:rsidRDefault="009648E4" w:rsidP="009648E4">
      <w:pPr>
        <w:rPr>
          <w:sz w:val="24"/>
          <w:szCs w:val="24"/>
        </w:rPr>
      </w:pPr>
    </w:p>
    <w:p w14:paraId="0E4FD2DE" w14:textId="77777777" w:rsidR="00F047DD" w:rsidRPr="00F047DD" w:rsidRDefault="00F047DD" w:rsidP="00F047DD">
      <w:pPr>
        <w:rPr>
          <w:sz w:val="24"/>
          <w:szCs w:val="24"/>
        </w:rPr>
      </w:pPr>
      <w:r w:rsidRPr="00F047DD">
        <w:rPr>
          <w:sz w:val="24"/>
          <w:szCs w:val="24"/>
        </w:rPr>
        <w:t xml:space="preserve">Senators, like you my motivation for taking on a public role is to make a real difference. I am passionate about rural and regional communities who are on the front line when we talk about the energy transition. </w:t>
      </w:r>
    </w:p>
    <w:p w14:paraId="275952C3" w14:textId="77777777" w:rsidR="00F047DD" w:rsidRPr="00F047DD" w:rsidRDefault="00F047DD" w:rsidP="00F047DD">
      <w:pPr>
        <w:rPr>
          <w:sz w:val="24"/>
          <w:szCs w:val="24"/>
        </w:rPr>
      </w:pPr>
      <w:r w:rsidRPr="00F047DD">
        <w:rPr>
          <w:sz w:val="24"/>
          <w:szCs w:val="24"/>
        </w:rPr>
        <w:t xml:space="preserve">I see my role as a key contributor and participant in the effort to make the energy transition more equitable, more transparent and </w:t>
      </w:r>
      <w:proofErr w:type="gramStart"/>
      <w:r w:rsidRPr="00F047DD">
        <w:rPr>
          <w:sz w:val="24"/>
          <w:szCs w:val="24"/>
        </w:rPr>
        <w:t>more fair</w:t>
      </w:r>
      <w:proofErr w:type="gramEnd"/>
      <w:r w:rsidRPr="00F047DD">
        <w:rPr>
          <w:sz w:val="24"/>
          <w:szCs w:val="24"/>
        </w:rPr>
        <w:t xml:space="preserve">. </w:t>
      </w:r>
    </w:p>
    <w:p w14:paraId="28C8BA97" w14:textId="77777777" w:rsidR="00F047DD" w:rsidRPr="00F047DD" w:rsidRDefault="00F047DD" w:rsidP="00F047DD">
      <w:pPr>
        <w:rPr>
          <w:sz w:val="24"/>
          <w:szCs w:val="24"/>
        </w:rPr>
      </w:pPr>
      <w:r w:rsidRPr="00F047DD">
        <w:rPr>
          <w:sz w:val="24"/>
          <w:szCs w:val="24"/>
        </w:rPr>
        <w:t xml:space="preserve">So, in plain English – that means working collaboratively with all stakeholders, including farmers and rural communities where energy infrastructure is (largely) being hosted, all levels of government, and </w:t>
      </w:r>
      <w:proofErr w:type="gramStart"/>
      <w:r w:rsidRPr="00F047DD">
        <w:rPr>
          <w:i/>
          <w:iCs/>
          <w:sz w:val="24"/>
          <w:szCs w:val="24"/>
        </w:rPr>
        <w:t xml:space="preserve">definitely </w:t>
      </w:r>
      <w:r w:rsidRPr="00F047DD">
        <w:rPr>
          <w:sz w:val="24"/>
          <w:szCs w:val="24"/>
        </w:rPr>
        <w:t>including</w:t>
      </w:r>
      <w:proofErr w:type="gramEnd"/>
      <w:r w:rsidRPr="00F047DD">
        <w:rPr>
          <w:sz w:val="24"/>
          <w:szCs w:val="24"/>
        </w:rPr>
        <w:t xml:space="preserve"> the energy and transmission industry. </w:t>
      </w:r>
    </w:p>
    <w:p w14:paraId="0239C4F4" w14:textId="60F897A7" w:rsidR="002F3B63" w:rsidRDefault="00F047DD" w:rsidP="00F047DD">
      <w:pPr>
        <w:rPr>
          <w:sz w:val="24"/>
          <w:szCs w:val="24"/>
        </w:rPr>
      </w:pPr>
      <w:r w:rsidRPr="00F047DD">
        <w:rPr>
          <w:sz w:val="24"/>
          <w:szCs w:val="24"/>
        </w:rPr>
        <w:t xml:space="preserve">It means pointing out where things have not gone well and learning from those situations and it also means seeking to replicate the scenarios when things have gone well. </w:t>
      </w:r>
    </w:p>
    <w:p w14:paraId="3D48EEBE" w14:textId="7768956F" w:rsidR="00F047DD" w:rsidRPr="00F047DD" w:rsidRDefault="00F047DD" w:rsidP="00F047DD">
      <w:pPr>
        <w:rPr>
          <w:sz w:val="24"/>
          <w:szCs w:val="24"/>
        </w:rPr>
      </w:pPr>
      <w:r w:rsidRPr="00F047DD">
        <w:rPr>
          <w:sz w:val="24"/>
          <w:szCs w:val="24"/>
        </w:rPr>
        <w:t xml:space="preserve">Key principles for me are to: </w:t>
      </w:r>
    </w:p>
    <w:p w14:paraId="31FBB1DC" w14:textId="77777777" w:rsidR="00F047DD" w:rsidRPr="0014540C" w:rsidRDefault="00F047DD" w:rsidP="0014540C">
      <w:pPr>
        <w:pStyle w:val="ListParagraph"/>
        <w:numPr>
          <w:ilvl w:val="0"/>
          <w:numId w:val="14"/>
        </w:numPr>
        <w:rPr>
          <w:sz w:val="24"/>
          <w:szCs w:val="24"/>
        </w:rPr>
      </w:pPr>
      <w:r w:rsidRPr="0014540C">
        <w:rPr>
          <w:sz w:val="24"/>
          <w:szCs w:val="24"/>
        </w:rPr>
        <w:t xml:space="preserve">build relationships – and I will come back to this point </w:t>
      </w:r>
    </w:p>
    <w:p w14:paraId="1FE31FAA" w14:textId="77777777" w:rsidR="00F047DD" w:rsidRPr="0014540C" w:rsidRDefault="00F047DD" w:rsidP="0014540C">
      <w:pPr>
        <w:pStyle w:val="ListParagraph"/>
        <w:numPr>
          <w:ilvl w:val="0"/>
          <w:numId w:val="14"/>
        </w:numPr>
        <w:rPr>
          <w:sz w:val="24"/>
          <w:szCs w:val="24"/>
        </w:rPr>
      </w:pPr>
      <w:r w:rsidRPr="0014540C">
        <w:rPr>
          <w:sz w:val="24"/>
          <w:szCs w:val="24"/>
        </w:rPr>
        <w:t xml:space="preserve">getting stakeholders to think more deeply and commit more fully to ensuring a balanced approach </w:t>
      </w:r>
    </w:p>
    <w:p w14:paraId="67426EF5" w14:textId="77777777" w:rsidR="00F047DD" w:rsidRPr="0014540C" w:rsidRDefault="00F047DD" w:rsidP="0014540C">
      <w:pPr>
        <w:pStyle w:val="ListParagraph"/>
        <w:numPr>
          <w:ilvl w:val="0"/>
          <w:numId w:val="14"/>
        </w:numPr>
        <w:rPr>
          <w:sz w:val="24"/>
          <w:szCs w:val="24"/>
        </w:rPr>
      </w:pPr>
      <w:r w:rsidRPr="0014540C">
        <w:rPr>
          <w:sz w:val="24"/>
          <w:szCs w:val="24"/>
        </w:rPr>
        <w:t xml:space="preserve">learning from what has been done to date – both good and not so good, and </w:t>
      </w:r>
    </w:p>
    <w:p w14:paraId="509845F3" w14:textId="62DF60B3" w:rsidR="00894A12" w:rsidRPr="002F3B63" w:rsidRDefault="00F047DD" w:rsidP="00894A12">
      <w:pPr>
        <w:pStyle w:val="ListParagraph"/>
        <w:numPr>
          <w:ilvl w:val="0"/>
          <w:numId w:val="14"/>
        </w:numPr>
        <w:rPr>
          <w:sz w:val="24"/>
          <w:szCs w:val="24"/>
        </w:rPr>
      </w:pPr>
      <w:r w:rsidRPr="0014540C">
        <w:rPr>
          <w:sz w:val="24"/>
          <w:szCs w:val="24"/>
        </w:rPr>
        <w:t xml:space="preserve">having honest, fact-based and practical conversations about how we can achieve positive outcomes. </w:t>
      </w:r>
    </w:p>
    <w:p w14:paraId="0AA94C90" w14:textId="77777777" w:rsidR="002F3B63" w:rsidRDefault="00F047DD" w:rsidP="00F047DD">
      <w:pPr>
        <w:rPr>
          <w:sz w:val="24"/>
          <w:szCs w:val="24"/>
        </w:rPr>
      </w:pPr>
      <w:r w:rsidRPr="00F047DD">
        <w:rPr>
          <w:sz w:val="24"/>
          <w:szCs w:val="24"/>
        </w:rPr>
        <w:t>As part of my first month or so I have been getting to know who’s who in the preverbal zoo.</w:t>
      </w:r>
    </w:p>
    <w:p w14:paraId="7FC749AF" w14:textId="77777777" w:rsidR="002F3B63" w:rsidRDefault="00F047DD" w:rsidP="00F047DD">
      <w:pPr>
        <w:rPr>
          <w:sz w:val="24"/>
          <w:szCs w:val="24"/>
        </w:rPr>
      </w:pPr>
      <w:r w:rsidRPr="00F047DD">
        <w:rPr>
          <w:sz w:val="24"/>
          <w:szCs w:val="24"/>
        </w:rPr>
        <w:t xml:space="preserve">I have met with many of the large energy developers and </w:t>
      </w:r>
      <w:proofErr w:type="gramStart"/>
      <w:r w:rsidRPr="00F047DD">
        <w:rPr>
          <w:sz w:val="24"/>
          <w:szCs w:val="24"/>
        </w:rPr>
        <w:t>stakeholders</w:t>
      </w:r>
      <w:proofErr w:type="gramEnd"/>
      <w:r w:rsidRPr="00F047DD">
        <w:rPr>
          <w:sz w:val="24"/>
          <w:szCs w:val="24"/>
        </w:rPr>
        <w:t xml:space="preserve"> and they will obviously be a key partner and I look forward to working with them in my role going forward. </w:t>
      </w:r>
    </w:p>
    <w:p w14:paraId="351B572D" w14:textId="77777777" w:rsidR="002F3B63" w:rsidRDefault="00F047DD" w:rsidP="00F047DD">
      <w:pPr>
        <w:rPr>
          <w:sz w:val="24"/>
          <w:szCs w:val="24"/>
        </w:rPr>
      </w:pPr>
      <w:r w:rsidRPr="00F047DD">
        <w:rPr>
          <w:sz w:val="24"/>
          <w:szCs w:val="24"/>
        </w:rPr>
        <w:t xml:space="preserve">I have also had the opportunity to visit </w:t>
      </w:r>
      <w:proofErr w:type="gramStart"/>
      <w:r w:rsidRPr="00F047DD">
        <w:rPr>
          <w:sz w:val="24"/>
          <w:szCs w:val="24"/>
        </w:rPr>
        <w:t>a number of</w:t>
      </w:r>
      <w:proofErr w:type="gramEnd"/>
      <w:r w:rsidRPr="00F047DD">
        <w:rPr>
          <w:sz w:val="24"/>
          <w:szCs w:val="24"/>
        </w:rPr>
        <w:t xml:space="preserve"> areas such as central highlands of Victoria, Central West NSW and south-western NSW and I am scheduled to visit Queensland next week – to hear from the community. </w:t>
      </w:r>
    </w:p>
    <w:p w14:paraId="6CDD241A" w14:textId="77777777" w:rsidR="009648E4" w:rsidRDefault="009648E4" w:rsidP="00F047DD">
      <w:pPr>
        <w:rPr>
          <w:sz w:val="24"/>
          <w:szCs w:val="24"/>
        </w:rPr>
      </w:pPr>
    </w:p>
    <w:p w14:paraId="07041A87" w14:textId="77777777" w:rsidR="009648E4" w:rsidRDefault="009648E4" w:rsidP="00F047DD">
      <w:pPr>
        <w:rPr>
          <w:sz w:val="24"/>
          <w:szCs w:val="24"/>
        </w:rPr>
      </w:pPr>
    </w:p>
    <w:p w14:paraId="2F4BFB8E" w14:textId="7ABEDBD3" w:rsidR="00F047DD" w:rsidRPr="00F047DD" w:rsidRDefault="00F047DD" w:rsidP="00F047DD">
      <w:pPr>
        <w:rPr>
          <w:sz w:val="24"/>
          <w:szCs w:val="24"/>
        </w:rPr>
      </w:pPr>
      <w:r w:rsidRPr="00F047DD">
        <w:rPr>
          <w:sz w:val="24"/>
          <w:szCs w:val="24"/>
        </w:rPr>
        <w:t xml:space="preserve">These initial meetings have confirmed what I had thought – that is – it’s a complex scenario with many different agendas and views. </w:t>
      </w:r>
    </w:p>
    <w:p w14:paraId="74DF351D" w14:textId="77777777" w:rsidR="00C21198" w:rsidRDefault="00F047DD" w:rsidP="00F047DD">
      <w:pPr>
        <w:rPr>
          <w:sz w:val="24"/>
          <w:szCs w:val="24"/>
        </w:rPr>
      </w:pPr>
      <w:r w:rsidRPr="00F047DD">
        <w:rPr>
          <w:sz w:val="24"/>
          <w:szCs w:val="24"/>
        </w:rPr>
        <w:t xml:space="preserve">Talking with some communities in particular – it has been troubling that some feel they are having this energy transmission done to them rather than done with them. </w:t>
      </w:r>
    </w:p>
    <w:p w14:paraId="1B9CFCC6" w14:textId="77777777" w:rsidR="00C21198" w:rsidRDefault="00F047DD" w:rsidP="00F047DD">
      <w:pPr>
        <w:rPr>
          <w:sz w:val="24"/>
          <w:szCs w:val="24"/>
        </w:rPr>
      </w:pPr>
      <w:r w:rsidRPr="00F047DD">
        <w:rPr>
          <w:sz w:val="24"/>
          <w:szCs w:val="24"/>
        </w:rPr>
        <w:t xml:space="preserve">Some are being asked to bear the burden of energy and transmission projects while receiving few or no advantages in return. </w:t>
      </w:r>
    </w:p>
    <w:p w14:paraId="77C0E7FB" w14:textId="320597CA" w:rsidR="00F047DD" w:rsidRPr="00F047DD" w:rsidRDefault="00F047DD" w:rsidP="00F047DD">
      <w:pPr>
        <w:rPr>
          <w:sz w:val="24"/>
          <w:szCs w:val="24"/>
        </w:rPr>
      </w:pPr>
      <w:r w:rsidRPr="00F047DD">
        <w:rPr>
          <w:sz w:val="24"/>
          <w:szCs w:val="24"/>
        </w:rPr>
        <w:t xml:space="preserve">They feel like they are being kept in the dark, not listened to, actions not being followed through and their concerns not being responding to in an empathetic way. In short there is a cohort of the community that have completely lost trust in some stakeholders – which includes governments, energy industry and many of the people in between. </w:t>
      </w:r>
    </w:p>
    <w:p w14:paraId="23CFD2F5" w14:textId="12777F48" w:rsidR="00F047DD" w:rsidRPr="00F047DD" w:rsidRDefault="00F047DD" w:rsidP="00F047DD">
      <w:pPr>
        <w:rPr>
          <w:sz w:val="24"/>
          <w:szCs w:val="24"/>
        </w:rPr>
      </w:pPr>
      <w:r w:rsidRPr="00F047DD">
        <w:rPr>
          <w:sz w:val="24"/>
          <w:szCs w:val="24"/>
        </w:rPr>
        <w:t xml:space="preserve">Those visits have reiterated in my mind a few things ... the complexity of the issue – there is no simple panacea for the challenges that we face in this space. There are a range of views on what this energy transmission can mean and there are many regions where this is and has not gone well and we – collectively need acknowledge and accept that and then actively commit to doing better. </w:t>
      </w:r>
    </w:p>
    <w:p w14:paraId="6DA6276B" w14:textId="77777777" w:rsidR="002B1398" w:rsidRDefault="00F047DD" w:rsidP="00F047DD">
      <w:pPr>
        <w:rPr>
          <w:sz w:val="24"/>
          <w:szCs w:val="24"/>
        </w:rPr>
      </w:pPr>
      <w:r w:rsidRPr="00F047DD">
        <w:rPr>
          <w:sz w:val="24"/>
          <w:szCs w:val="24"/>
        </w:rPr>
        <w:t xml:space="preserve">That being said – there are people and regions where this energy transition is going </w:t>
      </w:r>
      <w:proofErr w:type="gramStart"/>
      <w:r w:rsidRPr="00F047DD">
        <w:rPr>
          <w:sz w:val="24"/>
          <w:szCs w:val="24"/>
        </w:rPr>
        <w:t>well</w:t>
      </w:r>
      <w:proofErr w:type="gramEnd"/>
      <w:r w:rsidRPr="00F047DD">
        <w:rPr>
          <w:sz w:val="24"/>
          <w:szCs w:val="24"/>
        </w:rPr>
        <w:t xml:space="preserve"> and we should try and learn from those scenarios. The most valuable aspect in these specific scenarios has been relationships. And the trust that is the basis of that relationship. </w:t>
      </w:r>
    </w:p>
    <w:p w14:paraId="6FDC5477" w14:textId="389ECE3B" w:rsidR="00B6669C" w:rsidRDefault="00F047DD" w:rsidP="00F047DD">
      <w:pPr>
        <w:rPr>
          <w:sz w:val="24"/>
          <w:szCs w:val="24"/>
        </w:rPr>
      </w:pPr>
      <w:r w:rsidRPr="00F047DD">
        <w:rPr>
          <w:sz w:val="24"/>
          <w:szCs w:val="24"/>
        </w:rPr>
        <w:t xml:space="preserve">I had the opportunity to talk to the Hay Shire Council in southern NSW – this is an example of where the community has taken a constructive and proactive approach. They have identified a plan and communicated openly and clearly what they think good looks like and put steps in place to make it happen. While not finalised – this is a good news story that we can all learn from. </w:t>
      </w:r>
    </w:p>
    <w:p w14:paraId="0C7217B8" w14:textId="77777777" w:rsidR="001D34F3" w:rsidRDefault="00F047DD" w:rsidP="00F047DD">
      <w:pPr>
        <w:rPr>
          <w:sz w:val="24"/>
          <w:szCs w:val="24"/>
        </w:rPr>
      </w:pPr>
      <w:proofErr w:type="gramStart"/>
      <w:r w:rsidRPr="00F047DD">
        <w:rPr>
          <w:sz w:val="24"/>
          <w:szCs w:val="24"/>
        </w:rPr>
        <w:t>Of course</w:t>
      </w:r>
      <w:proofErr w:type="gramEnd"/>
      <w:r w:rsidRPr="00F047DD">
        <w:rPr>
          <w:sz w:val="24"/>
          <w:szCs w:val="24"/>
        </w:rPr>
        <w:t xml:space="preserve"> my role also includes working cooperatively with the energy sector – such as project developers and generators, who want to do the right thing while managing complicated projects in complex circumstances. </w:t>
      </w:r>
    </w:p>
    <w:p w14:paraId="294F8AA2" w14:textId="3F5A761D" w:rsidR="00F047DD" w:rsidRPr="00F047DD" w:rsidRDefault="00F047DD" w:rsidP="00F047DD">
      <w:pPr>
        <w:rPr>
          <w:sz w:val="24"/>
          <w:szCs w:val="24"/>
        </w:rPr>
      </w:pPr>
      <w:r w:rsidRPr="00F047DD">
        <w:rPr>
          <w:sz w:val="24"/>
          <w:szCs w:val="24"/>
        </w:rPr>
        <w:t xml:space="preserve">An ongoing theme among my conversations is the value of relationships. </w:t>
      </w:r>
    </w:p>
    <w:p w14:paraId="6B862085" w14:textId="77777777" w:rsidR="00F047DD" w:rsidRPr="00F047DD" w:rsidRDefault="00F047DD" w:rsidP="00F047DD">
      <w:pPr>
        <w:rPr>
          <w:sz w:val="24"/>
          <w:szCs w:val="24"/>
        </w:rPr>
      </w:pPr>
      <w:r w:rsidRPr="00F047DD">
        <w:rPr>
          <w:sz w:val="24"/>
          <w:szCs w:val="24"/>
        </w:rPr>
        <w:t xml:space="preserve">If communities and stakeholders from the energy sector and government can build relationships based on trust and </w:t>
      </w:r>
      <w:proofErr w:type="gramStart"/>
      <w:r w:rsidRPr="00F047DD">
        <w:rPr>
          <w:sz w:val="24"/>
          <w:szCs w:val="24"/>
        </w:rPr>
        <w:t>respect</w:t>
      </w:r>
      <w:proofErr w:type="gramEnd"/>
      <w:r w:rsidRPr="00F047DD">
        <w:rPr>
          <w:sz w:val="24"/>
          <w:szCs w:val="24"/>
        </w:rPr>
        <w:t xml:space="preserve"> we are on our way to a better place. I have heard horror stories about different people turning up unannounced, from a different company every month with a different story. This is a small example of what we can do </w:t>
      </w:r>
      <w:proofErr w:type="gramStart"/>
      <w:r w:rsidRPr="00F047DD">
        <w:rPr>
          <w:sz w:val="24"/>
          <w:szCs w:val="24"/>
        </w:rPr>
        <w:t>better</w:t>
      </w:r>
      <w:proofErr w:type="gramEnd"/>
      <w:r w:rsidRPr="00F047DD">
        <w:rPr>
          <w:sz w:val="24"/>
          <w:szCs w:val="24"/>
        </w:rPr>
        <w:t xml:space="preserve"> and I am committed to doing so. </w:t>
      </w:r>
    </w:p>
    <w:p w14:paraId="486864E7" w14:textId="77777777" w:rsidR="009648E4" w:rsidRDefault="009648E4" w:rsidP="00F047DD">
      <w:pPr>
        <w:rPr>
          <w:sz w:val="24"/>
          <w:szCs w:val="24"/>
        </w:rPr>
      </w:pPr>
    </w:p>
    <w:p w14:paraId="0F441E7F" w14:textId="77777777" w:rsidR="009648E4" w:rsidRDefault="009648E4" w:rsidP="00F047DD">
      <w:pPr>
        <w:rPr>
          <w:sz w:val="24"/>
          <w:szCs w:val="24"/>
        </w:rPr>
      </w:pPr>
    </w:p>
    <w:p w14:paraId="54C10DB0" w14:textId="77777777" w:rsidR="009648E4" w:rsidRDefault="009648E4" w:rsidP="00F047DD">
      <w:pPr>
        <w:rPr>
          <w:sz w:val="24"/>
          <w:szCs w:val="24"/>
        </w:rPr>
      </w:pPr>
    </w:p>
    <w:p w14:paraId="11EF783E" w14:textId="77777777" w:rsidR="009648E4" w:rsidRDefault="009648E4" w:rsidP="00F047DD">
      <w:pPr>
        <w:rPr>
          <w:sz w:val="24"/>
          <w:szCs w:val="24"/>
        </w:rPr>
      </w:pPr>
    </w:p>
    <w:p w14:paraId="139A8CF3" w14:textId="0D36FF5E" w:rsidR="00F047DD" w:rsidRPr="00F047DD" w:rsidRDefault="00F047DD" w:rsidP="00F047DD">
      <w:pPr>
        <w:rPr>
          <w:sz w:val="24"/>
          <w:szCs w:val="24"/>
        </w:rPr>
      </w:pPr>
      <w:r w:rsidRPr="00F047DD">
        <w:rPr>
          <w:sz w:val="24"/>
          <w:szCs w:val="24"/>
        </w:rPr>
        <w:t xml:space="preserve">I think at some level we all accept that to reach our shared goals of long-term reliability, affordability and sustainability, we need investment. Investment happens when there is increased certainty. Ultimately what we are all seeking is to get the transition right as soon as possible to (among other things) help keep the lights on in the most affordable, reliable and sustainable way. </w:t>
      </w:r>
    </w:p>
    <w:p w14:paraId="42732BB9" w14:textId="38683560" w:rsidR="00F047DD" w:rsidRPr="00F047DD" w:rsidRDefault="00F047DD" w:rsidP="00F047DD">
      <w:pPr>
        <w:rPr>
          <w:sz w:val="24"/>
          <w:szCs w:val="24"/>
        </w:rPr>
      </w:pPr>
      <w:proofErr w:type="gramStart"/>
      <w:r w:rsidRPr="00F047DD">
        <w:rPr>
          <w:sz w:val="24"/>
          <w:szCs w:val="24"/>
        </w:rPr>
        <w:t>So</w:t>
      </w:r>
      <w:proofErr w:type="gramEnd"/>
      <w:r w:rsidRPr="00F047DD">
        <w:rPr>
          <w:sz w:val="24"/>
          <w:szCs w:val="24"/>
        </w:rPr>
        <w:t xml:space="preserve"> the challenge for me in my role – and for the community more broadly – lies in striking the right balance, with equity, transparency, and meaningful engagement at the heart of building renewable energy projects in communities. </w:t>
      </w:r>
    </w:p>
    <w:p w14:paraId="576121EF" w14:textId="77777777" w:rsidR="00F047DD" w:rsidRPr="00F047DD" w:rsidRDefault="00F047DD" w:rsidP="00F047DD">
      <w:pPr>
        <w:rPr>
          <w:sz w:val="24"/>
          <w:szCs w:val="24"/>
        </w:rPr>
      </w:pPr>
      <w:r w:rsidRPr="00F047DD">
        <w:rPr>
          <w:sz w:val="24"/>
          <w:szCs w:val="24"/>
        </w:rPr>
        <w:t xml:space="preserve">This is not a new challenge, nor is there a lack of ideas, initiatives, and commitments already in-play. Many charters, guidelines, frameworks and plans exist, but they need to be streamlined and strengthened. </w:t>
      </w:r>
    </w:p>
    <w:p w14:paraId="445FC3D6" w14:textId="77777777" w:rsidR="00F047DD" w:rsidRPr="00F047DD" w:rsidRDefault="00F047DD" w:rsidP="00F047DD">
      <w:pPr>
        <w:rPr>
          <w:sz w:val="24"/>
          <w:szCs w:val="24"/>
        </w:rPr>
      </w:pPr>
      <w:r w:rsidRPr="00F047DD">
        <w:rPr>
          <w:sz w:val="24"/>
          <w:szCs w:val="24"/>
        </w:rPr>
        <w:t xml:space="preserve">As I flagged earlier, a big part of my motivation in taking on this role is wanting to see meaningful progress on the sensible recommendations in my predecessor’s </w:t>
      </w:r>
      <w:r w:rsidRPr="00F047DD">
        <w:rPr>
          <w:i/>
          <w:iCs/>
          <w:sz w:val="24"/>
          <w:szCs w:val="24"/>
        </w:rPr>
        <w:t>Community Engagement Review</w:t>
      </w:r>
      <w:r w:rsidRPr="00F047DD">
        <w:rPr>
          <w:sz w:val="24"/>
          <w:szCs w:val="24"/>
        </w:rPr>
        <w:t xml:space="preserve">. </w:t>
      </w:r>
    </w:p>
    <w:p w14:paraId="28E8C5CE" w14:textId="77777777" w:rsidR="00F047DD" w:rsidRPr="00F047DD" w:rsidRDefault="00F047DD" w:rsidP="00F047DD">
      <w:pPr>
        <w:rPr>
          <w:sz w:val="24"/>
          <w:szCs w:val="24"/>
        </w:rPr>
      </w:pPr>
      <w:r w:rsidRPr="00F047DD">
        <w:rPr>
          <w:sz w:val="24"/>
          <w:szCs w:val="24"/>
        </w:rPr>
        <w:t xml:space="preserve">My firm view is getting things done will require an increased joint effort on key measures, including: </w:t>
      </w:r>
    </w:p>
    <w:p w14:paraId="04F93A3E" w14:textId="77777777" w:rsidR="00F047DD" w:rsidRPr="000B42C5" w:rsidRDefault="00F047DD" w:rsidP="000B42C5">
      <w:pPr>
        <w:pStyle w:val="ListParagraph"/>
        <w:numPr>
          <w:ilvl w:val="0"/>
          <w:numId w:val="15"/>
        </w:numPr>
        <w:rPr>
          <w:sz w:val="24"/>
          <w:szCs w:val="24"/>
        </w:rPr>
      </w:pPr>
      <w:r w:rsidRPr="000B42C5">
        <w:rPr>
          <w:sz w:val="24"/>
          <w:szCs w:val="24"/>
        </w:rPr>
        <w:t xml:space="preserve">A clearer, more compelling story, explanation and demonstration on the practical reasons for the energy transition </w:t>
      </w:r>
    </w:p>
    <w:p w14:paraId="683C1E29" w14:textId="77777777" w:rsidR="00F047DD" w:rsidRPr="000B42C5" w:rsidRDefault="00F047DD" w:rsidP="000B42C5">
      <w:pPr>
        <w:pStyle w:val="ListParagraph"/>
        <w:numPr>
          <w:ilvl w:val="0"/>
          <w:numId w:val="15"/>
        </w:numPr>
        <w:rPr>
          <w:sz w:val="24"/>
          <w:szCs w:val="24"/>
        </w:rPr>
      </w:pPr>
      <w:r w:rsidRPr="000B42C5">
        <w:rPr>
          <w:sz w:val="24"/>
          <w:szCs w:val="24"/>
        </w:rPr>
        <w:t xml:space="preserve">A more comprehensive, transparent, country-wide planning framework to make sure we are conscious of what the transition will mean for things like prime farming land, for business opportunities, for the social fabric of our communities and for the environment, and </w:t>
      </w:r>
    </w:p>
    <w:p w14:paraId="563D3DDF" w14:textId="77777777" w:rsidR="00E37E77" w:rsidRDefault="00F047DD" w:rsidP="00F047DD">
      <w:pPr>
        <w:pStyle w:val="ListParagraph"/>
        <w:numPr>
          <w:ilvl w:val="0"/>
          <w:numId w:val="15"/>
        </w:numPr>
        <w:rPr>
          <w:sz w:val="24"/>
          <w:szCs w:val="24"/>
        </w:rPr>
      </w:pPr>
      <w:r w:rsidRPr="000B42C5">
        <w:rPr>
          <w:sz w:val="24"/>
          <w:szCs w:val="24"/>
        </w:rPr>
        <w:t xml:space="preserve">Practical tools, such as the Developer Rating Scheme, and more stringent and mandatory measures which carry real consequences when standards and expectations are not met </w:t>
      </w:r>
    </w:p>
    <w:p w14:paraId="4A235F7E" w14:textId="77777777" w:rsidR="00E37E77" w:rsidRDefault="00E37E77" w:rsidP="00E37E77">
      <w:pPr>
        <w:pStyle w:val="ListParagraph"/>
        <w:ind w:left="360"/>
        <w:rPr>
          <w:sz w:val="24"/>
          <w:szCs w:val="24"/>
        </w:rPr>
      </w:pPr>
    </w:p>
    <w:p w14:paraId="6B30C1EC" w14:textId="067B7AD1" w:rsidR="00F047DD" w:rsidRPr="00E37E77" w:rsidRDefault="00F047DD" w:rsidP="00E37E77">
      <w:pPr>
        <w:rPr>
          <w:sz w:val="24"/>
          <w:szCs w:val="24"/>
        </w:rPr>
      </w:pPr>
      <w:proofErr w:type="gramStart"/>
      <w:r w:rsidRPr="00E37E77">
        <w:rPr>
          <w:sz w:val="24"/>
          <w:szCs w:val="24"/>
        </w:rPr>
        <w:t>So</w:t>
      </w:r>
      <w:proofErr w:type="gramEnd"/>
      <w:r w:rsidRPr="00E37E77">
        <w:rPr>
          <w:sz w:val="24"/>
          <w:szCs w:val="24"/>
        </w:rPr>
        <w:t xml:space="preserve"> while I am early in the role – it is clear in my mind that for long-term success, energy infrastructure projects must better shaped by a spirit of true equity, transparency, and</w:t>
      </w:r>
      <w:r w:rsidR="00190115" w:rsidRPr="00E37E77">
        <w:rPr>
          <w:sz w:val="24"/>
          <w:szCs w:val="24"/>
        </w:rPr>
        <w:t xml:space="preserve"> </w:t>
      </w:r>
      <w:r w:rsidRPr="00E37E77">
        <w:rPr>
          <w:sz w:val="24"/>
          <w:szCs w:val="24"/>
        </w:rPr>
        <w:t xml:space="preserve">shared community benefit. Communities that host this infrastructure must not be left behind – they must be at the heart of Australia’s clean energy future. </w:t>
      </w:r>
    </w:p>
    <w:p w14:paraId="488C5F70" w14:textId="77777777" w:rsidR="00F047DD" w:rsidRPr="006A7256" w:rsidRDefault="00F047DD" w:rsidP="00F047DD">
      <w:pPr>
        <w:rPr>
          <w:sz w:val="24"/>
          <w:szCs w:val="24"/>
        </w:rPr>
      </w:pPr>
      <w:r w:rsidRPr="00F047DD">
        <w:rPr>
          <w:sz w:val="24"/>
          <w:szCs w:val="24"/>
        </w:rPr>
        <w:t xml:space="preserve">Thank you for your time today. I look forward to answering any questions you may have regarding my role as the AEIC and the work of my office. </w:t>
      </w:r>
    </w:p>
    <w:p w14:paraId="78345429" w14:textId="77777777" w:rsidR="00F47FB3" w:rsidRPr="00F047DD" w:rsidRDefault="00F47FB3" w:rsidP="00F047DD">
      <w:pPr>
        <w:rPr>
          <w:sz w:val="24"/>
          <w:szCs w:val="24"/>
        </w:rPr>
      </w:pPr>
    </w:p>
    <w:p w14:paraId="57D5FF8B" w14:textId="4C362A52" w:rsidR="0091682E" w:rsidRPr="006A7256" w:rsidRDefault="00F047DD" w:rsidP="00F047DD">
      <w:pPr>
        <w:rPr>
          <w:sz w:val="24"/>
          <w:szCs w:val="24"/>
        </w:rPr>
      </w:pPr>
      <w:r w:rsidRPr="006A7256">
        <w:rPr>
          <w:b/>
          <w:bCs/>
          <w:sz w:val="24"/>
          <w:szCs w:val="24"/>
        </w:rPr>
        <w:t>END</w:t>
      </w:r>
    </w:p>
    <w:sectPr w:rsidR="0091682E" w:rsidRPr="006A7256" w:rsidSect="00FD0C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4BFF5" w14:textId="77777777" w:rsidR="00EB6A75" w:rsidRDefault="00EB6A75" w:rsidP="00E877B5">
      <w:pPr>
        <w:spacing w:after="0" w:line="240" w:lineRule="auto"/>
      </w:pPr>
      <w:r>
        <w:separator/>
      </w:r>
    </w:p>
  </w:endnote>
  <w:endnote w:type="continuationSeparator" w:id="0">
    <w:p w14:paraId="4411FE0E" w14:textId="77777777" w:rsidR="00EB6A75" w:rsidRDefault="00EB6A75" w:rsidP="00E877B5">
      <w:pPr>
        <w:spacing w:after="0" w:line="240" w:lineRule="auto"/>
      </w:pPr>
      <w:r>
        <w:continuationSeparator/>
      </w:r>
    </w:p>
  </w:endnote>
  <w:endnote w:type="continuationNotice" w:id="1">
    <w:p w14:paraId="626A8234" w14:textId="77777777" w:rsidR="00EB6A75" w:rsidRDefault="00EB6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A699" w14:textId="5D55AC91" w:rsidR="00E877B5" w:rsidRDefault="00E877B5">
    <w:pPr>
      <w:pStyle w:val="Footer"/>
    </w:pPr>
    <w:r>
      <w:rPr>
        <w:noProof/>
      </w:rPr>
      <mc:AlternateContent>
        <mc:Choice Requires="wps">
          <w:drawing>
            <wp:anchor distT="0" distB="0" distL="0" distR="0" simplePos="0" relativeHeight="251658244" behindDoc="0" locked="0" layoutInCell="1" allowOverlap="1" wp14:anchorId="3ACA2101" wp14:editId="108E7A2C">
              <wp:simplePos x="635" y="635"/>
              <wp:positionH relativeFrom="page">
                <wp:align>center</wp:align>
              </wp:positionH>
              <wp:positionV relativeFrom="page">
                <wp:align>bottom</wp:align>
              </wp:positionV>
              <wp:extent cx="551815" cy="391160"/>
              <wp:effectExtent l="0" t="0" r="635" b="0"/>
              <wp:wrapNone/>
              <wp:docPr id="194139171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9D89739" w14:textId="452E29E4" w:rsidR="00E877B5" w:rsidRPr="00E877B5" w:rsidRDefault="00E877B5" w:rsidP="00E877B5">
                          <w:pPr>
                            <w:spacing w:after="0"/>
                            <w:rPr>
                              <w:rFonts w:ascii="Calibri" w:eastAsia="Calibri" w:hAnsi="Calibri" w:cs="Calibri"/>
                              <w:noProof/>
                              <w:color w:val="FF0000"/>
                              <w:sz w:val="24"/>
                              <w:szCs w:val="24"/>
                            </w:rPr>
                          </w:pPr>
                          <w:r w:rsidRPr="00E877B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CA2101"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39D89739" w14:textId="452E29E4" w:rsidR="00E877B5" w:rsidRPr="00E877B5" w:rsidRDefault="00E877B5" w:rsidP="00E877B5">
                    <w:pPr>
                      <w:spacing w:after="0"/>
                      <w:rPr>
                        <w:rFonts w:ascii="Calibri" w:eastAsia="Calibri" w:hAnsi="Calibri" w:cs="Calibri"/>
                        <w:noProof/>
                        <w:color w:val="FF0000"/>
                        <w:sz w:val="24"/>
                        <w:szCs w:val="24"/>
                      </w:rPr>
                    </w:pPr>
                    <w:r w:rsidRPr="00E877B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9068B" w14:textId="4AD6B429" w:rsidR="00E877B5" w:rsidRDefault="00470346" w:rsidP="00FD0C95">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E877B5">
      <w:rPr>
        <w:noProof/>
      </w:rPr>
      <mc:AlternateContent>
        <mc:Choice Requires="wps">
          <w:drawing>
            <wp:anchor distT="0" distB="0" distL="0" distR="0" simplePos="0" relativeHeight="251658245" behindDoc="0" locked="0" layoutInCell="1" allowOverlap="1" wp14:anchorId="48B6E98C" wp14:editId="4EC01561">
              <wp:simplePos x="635" y="635"/>
              <wp:positionH relativeFrom="page">
                <wp:align>center</wp:align>
              </wp:positionH>
              <wp:positionV relativeFrom="page">
                <wp:align>bottom</wp:align>
              </wp:positionV>
              <wp:extent cx="551815" cy="391160"/>
              <wp:effectExtent l="0" t="0" r="635" b="0"/>
              <wp:wrapNone/>
              <wp:docPr id="185265977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EBCA575" w14:textId="762431C6" w:rsidR="00E877B5" w:rsidRPr="00E877B5" w:rsidRDefault="00E877B5" w:rsidP="00E877B5">
                          <w:pPr>
                            <w:spacing w:after="0"/>
                            <w:rPr>
                              <w:rFonts w:ascii="Calibri" w:eastAsia="Calibri" w:hAnsi="Calibri" w:cs="Calibri"/>
                              <w:noProof/>
                              <w:color w:val="FF0000"/>
                              <w:sz w:val="24"/>
                              <w:szCs w:val="24"/>
                            </w:rPr>
                          </w:pPr>
                          <w:r w:rsidRPr="00E877B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B6E98C"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EBCA575" w14:textId="762431C6" w:rsidR="00E877B5" w:rsidRPr="00E877B5" w:rsidRDefault="00E877B5" w:rsidP="00E877B5">
                    <w:pPr>
                      <w:spacing w:after="0"/>
                      <w:rPr>
                        <w:rFonts w:ascii="Calibri" w:eastAsia="Calibri" w:hAnsi="Calibri" w:cs="Calibri"/>
                        <w:noProof/>
                        <w:color w:val="FF0000"/>
                        <w:sz w:val="24"/>
                        <w:szCs w:val="24"/>
                      </w:rPr>
                    </w:pPr>
                    <w:r w:rsidRPr="00E877B5">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1C27" w14:textId="7BE71B63" w:rsidR="00E877B5" w:rsidRDefault="0086072D" w:rsidP="00FD0C95">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E877B5">
      <w:rPr>
        <w:noProof/>
      </w:rPr>
      <mc:AlternateContent>
        <mc:Choice Requires="wps">
          <w:drawing>
            <wp:anchor distT="0" distB="0" distL="0" distR="0" simplePos="0" relativeHeight="251658243" behindDoc="0" locked="0" layoutInCell="1" allowOverlap="1" wp14:anchorId="01CAB001" wp14:editId="1E0D5EDC">
              <wp:simplePos x="635" y="635"/>
              <wp:positionH relativeFrom="page">
                <wp:align>center</wp:align>
              </wp:positionH>
              <wp:positionV relativeFrom="page">
                <wp:align>bottom</wp:align>
              </wp:positionV>
              <wp:extent cx="551815" cy="391160"/>
              <wp:effectExtent l="0" t="0" r="635" b="0"/>
              <wp:wrapNone/>
              <wp:docPr id="16320984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5B7803F" w14:textId="1BBFDDE9" w:rsidR="00E877B5" w:rsidRPr="00E877B5" w:rsidRDefault="00E877B5" w:rsidP="00E877B5">
                          <w:pPr>
                            <w:spacing w:after="0"/>
                            <w:rPr>
                              <w:rFonts w:ascii="Calibri" w:eastAsia="Calibri" w:hAnsi="Calibri" w:cs="Calibri"/>
                              <w:noProof/>
                              <w:color w:val="FF0000"/>
                              <w:sz w:val="24"/>
                              <w:szCs w:val="24"/>
                            </w:rPr>
                          </w:pPr>
                          <w:r w:rsidRPr="00E877B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CAB00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75B7803F" w14:textId="1BBFDDE9" w:rsidR="00E877B5" w:rsidRPr="00E877B5" w:rsidRDefault="00E877B5" w:rsidP="00E877B5">
                    <w:pPr>
                      <w:spacing w:after="0"/>
                      <w:rPr>
                        <w:rFonts w:ascii="Calibri" w:eastAsia="Calibri" w:hAnsi="Calibri" w:cs="Calibri"/>
                        <w:noProof/>
                        <w:color w:val="FF0000"/>
                        <w:sz w:val="24"/>
                        <w:szCs w:val="24"/>
                      </w:rPr>
                    </w:pPr>
                    <w:r w:rsidRPr="00E877B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E43FF" w14:textId="77777777" w:rsidR="00EB6A75" w:rsidRDefault="00EB6A75" w:rsidP="00E877B5">
      <w:pPr>
        <w:spacing w:after="0" w:line="240" w:lineRule="auto"/>
      </w:pPr>
      <w:r>
        <w:separator/>
      </w:r>
    </w:p>
  </w:footnote>
  <w:footnote w:type="continuationSeparator" w:id="0">
    <w:p w14:paraId="636F1F8F" w14:textId="77777777" w:rsidR="00EB6A75" w:rsidRDefault="00EB6A75" w:rsidP="00E877B5">
      <w:pPr>
        <w:spacing w:after="0" w:line="240" w:lineRule="auto"/>
      </w:pPr>
      <w:r>
        <w:continuationSeparator/>
      </w:r>
    </w:p>
  </w:footnote>
  <w:footnote w:type="continuationNotice" w:id="1">
    <w:p w14:paraId="4BFA65A8" w14:textId="77777777" w:rsidR="00EB6A75" w:rsidRDefault="00EB6A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4727" w14:textId="07F1990F" w:rsidR="00E877B5" w:rsidRDefault="00E877B5">
    <w:pPr>
      <w:pStyle w:val="Header"/>
    </w:pPr>
    <w:r>
      <w:rPr>
        <w:noProof/>
      </w:rPr>
      <mc:AlternateContent>
        <mc:Choice Requires="wps">
          <w:drawing>
            <wp:anchor distT="0" distB="0" distL="0" distR="0" simplePos="0" relativeHeight="251658241" behindDoc="0" locked="0" layoutInCell="1" allowOverlap="1" wp14:anchorId="5A897AF6" wp14:editId="5ED848EE">
              <wp:simplePos x="635" y="635"/>
              <wp:positionH relativeFrom="page">
                <wp:align>center</wp:align>
              </wp:positionH>
              <wp:positionV relativeFrom="page">
                <wp:align>top</wp:align>
              </wp:positionV>
              <wp:extent cx="551815" cy="391160"/>
              <wp:effectExtent l="0" t="0" r="635" b="8890"/>
              <wp:wrapNone/>
              <wp:docPr id="240935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6D2D826" w14:textId="11BB176E" w:rsidR="00E877B5" w:rsidRPr="00E877B5" w:rsidRDefault="00E877B5" w:rsidP="00E877B5">
                          <w:pPr>
                            <w:spacing w:after="0"/>
                            <w:rPr>
                              <w:rFonts w:ascii="Calibri" w:eastAsia="Calibri" w:hAnsi="Calibri" w:cs="Calibri"/>
                              <w:noProof/>
                              <w:color w:val="FF0000"/>
                              <w:sz w:val="24"/>
                              <w:szCs w:val="24"/>
                            </w:rPr>
                          </w:pPr>
                          <w:r w:rsidRPr="00E877B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897AF6"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76D2D826" w14:textId="11BB176E" w:rsidR="00E877B5" w:rsidRPr="00E877B5" w:rsidRDefault="00E877B5" w:rsidP="00E877B5">
                    <w:pPr>
                      <w:spacing w:after="0"/>
                      <w:rPr>
                        <w:rFonts w:ascii="Calibri" w:eastAsia="Calibri" w:hAnsi="Calibri" w:cs="Calibri"/>
                        <w:noProof/>
                        <w:color w:val="FF0000"/>
                        <w:sz w:val="24"/>
                        <w:szCs w:val="24"/>
                      </w:rPr>
                    </w:pPr>
                    <w:r w:rsidRPr="00E877B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A186A" w14:textId="03A69A24" w:rsidR="00E877B5" w:rsidRPr="00FD0C95" w:rsidRDefault="00E877B5">
    <w:pPr>
      <w:pStyle w:val="Header"/>
      <w:rPr>
        <w:b/>
        <w:bCs/>
      </w:rPr>
    </w:pPr>
    <w:r w:rsidRPr="00FD0C95">
      <w:rPr>
        <w:b/>
        <w:bCs/>
        <w:noProof/>
      </w:rPr>
      <mc:AlternateContent>
        <mc:Choice Requires="wps">
          <w:drawing>
            <wp:anchor distT="0" distB="0" distL="0" distR="0" simplePos="0" relativeHeight="251658242" behindDoc="0" locked="0" layoutInCell="1" allowOverlap="1" wp14:anchorId="5CDE1A74" wp14:editId="0873C55B">
              <wp:simplePos x="635" y="635"/>
              <wp:positionH relativeFrom="page">
                <wp:align>center</wp:align>
              </wp:positionH>
              <wp:positionV relativeFrom="page">
                <wp:align>top</wp:align>
              </wp:positionV>
              <wp:extent cx="551815" cy="391160"/>
              <wp:effectExtent l="0" t="0" r="635" b="8890"/>
              <wp:wrapNone/>
              <wp:docPr id="3076319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A621D75" w14:textId="0110E6ED" w:rsidR="00E877B5" w:rsidRPr="00E877B5" w:rsidRDefault="00E877B5" w:rsidP="00E877B5">
                          <w:pPr>
                            <w:spacing w:after="0"/>
                            <w:rPr>
                              <w:rFonts w:ascii="Calibri" w:eastAsia="Calibri" w:hAnsi="Calibri" w:cs="Calibri"/>
                              <w:noProof/>
                              <w:color w:val="FF0000"/>
                              <w:sz w:val="24"/>
                              <w:szCs w:val="24"/>
                            </w:rPr>
                          </w:pPr>
                          <w:r w:rsidRPr="00E877B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DE1A74"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5A621D75" w14:textId="0110E6ED" w:rsidR="00E877B5" w:rsidRPr="00E877B5" w:rsidRDefault="00E877B5" w:rsidP="00E877B5">
                    <w:pPr>
                      <w:spacing w:after="0"/>
                      <w:rPr>
                        <w:rFonts w:ascii="Calibri" w:eastAsia="Calibri" w:hAnsi="Calibri" w:cs="Calibri"/>
                        <w:noProof/>
                        <w:color w:val="FF0000"/>
                        <w:sz w:val="24"/>
                        <w:szCs w:val="24"/>
                      </w:rPr>
                    </w:pPr>
                    <w:r w:rsidRPr="00E877B5">
                      <w:rPr>
                        <w:rFonts w:ascii="Calibri" w:eastAsia="Calibri" w:hAnsi="Calibri" w:cs="Calibri"/>
                        <w:noProof/>
                        <w:color w:val="FF0000"/>
                        <w:sz w:val="24"/>
                        <w:szCs w:val="24"/>
                      </w:rPr>
                      <w:t>OFFICIAL</w:t>
                    </w:r>
                  </w:p>
                </w:txbxContent>
              </v:textbox>
              <w10:wrap anchorx="page" anchory="page"/>
            </v:shape>
          </w:pict>
        </mc:Fallback>
      </mc:AlternateContent>
    </w:r>
    <w:r w:rsidR="009D5AFA" w:rsidRPr="00FD0C95">
      <w:rPr>
        <w:b/>
        <w:bCs/>
      </w:rPr>
      <w:t>AUSTRALIAN ENERGY INFRASTRUCTURE COMMISSIONER</w:t>
    </w:r>
  </w:p>
  <w:p w14:paraId="11A4C7EA" w14:textId="4E1617FF" w:rsidR="00582E4F" w:rsidRPr="00FD0C95" w:rsidRDefault="006C309E">
    <w:pPr>
      <w:pStyle w:val="Header"/>
      <w:rPr>
        <w:i/>
        <w:iCs/>
      </w:rPr>
    </w:pPr>
    <w:r w:rsidRPr="00FD0C95">
      <w:rPr>
        <w:i/>
        <w:iCs/>
      </w:rPr>
      <w:t>Additional Senate Budget Estimates (</w:t>
    </w:r>
    <w:r w:rsidR="00252885" w:rsidRPr="00FD0C95">
      <w:rPr>
        <w:i/>
        <w:iCs/>
      </w:rPr>
      <w:t>Monday 24 February 2025) – Opening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EFCA" w14:textId="77777777" w:rsidR="00B4065D" w:rsidRDefault="00B4065D">
    <w:pPr>
      <w:pStyle w:val="Header"/>
      <w:pBdr>
        <w:bottom w:val="single" w:sz="6" w:space="1" w:color="auto"/>
      </w:pBdr>
    </w:pPr>
    <w:r>
      <w:rPr>
        <w:noProof/>
        <w:lang w:eastAsia="en-AU"/>
      </w:rPr>
      <w:drawing>
        <wp:inline distT="0" distB="0" distL="0" distR="0" wp14:anchorId="702995D7" wp14:editId="0F95C801">
          <wp:extent cx="4953604" cy="790946"/>
          <wp:effectExtent l="0" t="0" r="0" b="9525"/>
          <wp:docPr id="1387459354" name="Picture 1387459354" descr="Australian Energy Infrastructure Commissioner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59354" name="Picture 1387459354" descr="Australian Energy Infrastructure Commissioner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53604" cy="790946"/>
                  </a:xfrm>
                  <a:prstGeom prst="rect">
                    <a:avLst/>
                  </a:prstGeom>
                  <a:noFill/>
                  <a:ln>
                    <a:noFill/>
                  </a:ln>
                </pic:spPr>
              </pic:pic>
            </a:graphicData>
          </a:graphic>
        </wp:inline>
      </w:drawing>
    </w:r>
  </w:p>
  <w:p w14:paraId="611EBCED" w14:textId="3224519E" w:rsidR="003E1E59" w:rsidRDefault="00E877B5">
    <w:pPr>
      <w:pStyle w:val="Header"/>
    </w:pPr>
    <w:r>
      <w:rPr>
        <w:noProof/>
      </w:rPr>
      <mc:AlternateContent>
        <mc:Choice Requires="wps">
          <w:drawing>
            <wp:anchor distT="0" distB="0" distL="0" distR="0" simplePos="0" relativeHeight="251658240" behindDoc="0" locked="0" layoutInCell="1" allowOverlap="1" wp14:anchorId="35871A51" wp14:editId="784D558F">
              <wp:simplePos x="635" y="635"/>
              <wp:positionH relativeFrom="page">
                <wp:align>center</wp:align>
              </wp:positionH>
              <wp:positionV relativeFrom="page">
                <wp:align>top</wp:align>
              </wp:positionV>
              <wp:extent cx="551815" cy="391160"/>
              <wp:effectExtent l="0" t="0" r="635" b="8890"/>
              <wp:wrapNone/>
              <wp:docPr id="4177467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BBBDD4E" w14:textId="0125D67A" w:rsidR="00E877B5" w:rsidRPr="00E877B5" w:rsidRDefault="00E877B5" w:rsidP="00E877B5">
                          <w:pPr>
                            <w:spacing w:after="0"/>
                            <w:rPr>
                              <w:rFonts w:ascii="Calibri" w:eastAsia="Calibri" w:hAnsi="Calibri" w:cs="Calibri"/>
                              <w:noProof/>
                              <w:color w:val="FF0000"/>
                              <w:sz w:val="24"/>
                              <w:szCs w:val="24"/>
                            </w:rPr>
                          </w:pPr>
                          <w:r w:rsidRPr="00E877B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871A51"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4BBBDD4E" w14:textId="0125D67A" w:rsidR="00E877B5" w:rsidRPr="00E877B5" w:rsidRDefault="00E877B5" w:rsidP="00E877B5">
                    <w:pPr>
                      <w:spacing w:after="0"/>
                      <w:rPr>
                        <w:rFonts w:ascii="Calibri" w:eastAsia="Calibri" w:hAnsi="Calibri" w:cs="Calibri"/>
                        <w:noProof/>
                        <w:color w:val="FF0000"/>
                        <w:sz w:val="24"/>
                        <w:szCs w:val="24"/>
                      </w:rPr>
                    </w:pPr>
                    <w:r w:rsidRPr="00E877B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DCD4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A41A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2668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417C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E14563"/>
    <w:multiLevelType w:val="hybridMultilevel"/>
    <w:tmpl w:val="47F84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242537"/>
    <w:multiLevelType w:val="multilevel"/>
    <w:tmpl w:val="F78651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9093E"/>
    <w:multiLevelType w:val="multilevel"/>
    <w:tmpl w:val="9BA8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06BC9"/>
    <w:multiLevelType w:val="hybridMultilevel"/>
    <w:tmpl w:val="8AD48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32231F"/>
    <w:multiLevelType w:val="multilevel"/>
    <w:tmpl w:val="2A6E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5C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0C53C00"/>
    <w:multiLevelType w:val="hybridMultilevel"/>
    <w:tmpl w:val="FFFFFFFF"/>
    <w:lvl w:ilvl="0" w:tplc="F8767B5A">
      <w:start w:val="1"/>
      <w:numFmt w:val="decimal"/>
      <w:lvlText w:val="%1."/>
      <w:lvlJc w:val="left"/>
      <w:pPr>
        <w:ind w:left="720" w:hanging="360"/>
      </w:pPr>
    </w:lvl>
    <w:lvl w:ilvl="1" w:tplc="9F4C9A58">
      <w:start w:val="1"/>
      <w:numFmt w:val="lowerLetter"/>
      <w:lvlText w:val="%2."/>
      <w:lvlJc w:val="left"/>
      <w:pPr>
        <w:ind w:left="1440" w:hanging="360"/>
      </w:pPr>
    </w:lvl>
    <w:lvl w:ilvl="2" w:tplc="8D18616C">
      <w:start w:val="1"/>
      <w:numFmt w:val="lowerRoman"/>
      <w:lvlText w:val="%3."/>
      <w:lvlJc w:val="right"/>
      <w:pPr>
        <w:ind w:left="2160" w:hanging="180"/>
      </w:pPr>
    </w:lvl>
    <w:lvl w:ilvl="3" w:tplc="C9FEA402">
      <w:start w:val="1"/>
      <w:numFmt w:val="decimal"/>
      <w:lvlText w:val="%4."/>
      <w:lvlJc w:val="left"/>
      <w:pPr>
        <w:ind w:left="2880" w:hanging="360"/>
      </w:pPr>
    </w:lvl>
    <w:lvl w:ilvl="4" w:tplc="8758D404">
      <w:start w:val="1"/>
      <w:numFmt w:val="lowerLetter"/>
      <w:lvlText w:val="%5."/>
      <w:lvlJc w:val="left"/>
      <w:pPr>
        <w:ind w:left="3600" w:hanging="360"/>
      </w:pPr>
    </w:lvl>
    <w:lvl w:ilvl="5" w:tplc="3B4E9C42">
      <w:start w:val="1"/>
      <w:numFmt w:val="lowerRoman"/>
      <w:lvlText w:val="%6."/>
      <w:lvlJc w:val="right"/>
      <w:pPr>
        <w:ind w:left="4320" w:hanging="180"/>
      </w:pPr>
    </w:lvl>
    <w:lvl w:ilvl="6" w:tplc="29F4C618">
      <w:start w:val="1"/>
      <w:numFmt w:val="decimal"/>
      <w:lvlText w:val="%7."/>
      <w:lvlJc w:val="left"/>
      <w:pPr>
        <w:ind w:left="5040" w:hanging="360"/>
      </w:pPr>
    </w:lvl>
    <w:lvl w:ilvl="7" w:tplc="14BA9186">
      <w:start w:val="1"/>
      <w:numFmt w:val="lowerLetter"/>
      <w:lvlText w:val="%8."/>
      <w:lvlJc w:val="left"/>
      <w:pPr>
        <w:ind w:left="5760" w:hanging="360"/>
      </w:pPr>
    </w:lvl>
    <w:lvl w:ilvl="8" w:tplc="6790621E">
      <w:start w:val="1"/>
      <w:numFmt w:val="lowerRoman"/>
      <w:lvlText w:val="%9."/>
      <w:lvlJc w:val="right"/>
      <w:pPr>
        <w:ind w:left="6480" w:hanging="180"/>
      </w:pPr>
    </w:lvl>
  </w:abstractNum>
  <w:abstractNum w:abstractNumId="11" w15:restartNumberingAfterBreak="0">
    <w:nsid w:val="5C9C0ACA"/>
    <w:multiLevelType w:val="hybridMultilevel"/>
    <w:tmpl w:val="242C3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B10040"/>
    <w:multiLevelType w:val="multilevel"/>
    <w:tmpl w:val="AAFA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210BC2"/>
    <w:multiLevelType w:val="multilevel"/>
    <w:tmpl w:val="A4DA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22FF4"/>
    <w:multiLevelType w:val="multilevel"/>
    <w:tmpl w:val="E37C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198548">
    <w:abstractNumId w:val="6"/>
  </w:num>
  <w:num w:numId="2" w16cid:durableId="1502043812">
    <w:abstractNumId w:val="5"/>
  </w:num>
  <w:num w:numId="3" w16cid:durableId="931163881">
    <w:abstractNumId w:val="12"/>
  </w:num>
  <w:num w:numId="4" w16cid:durableId="857162375">
    <w:abstractNumId w:val="8"/>
  </w:num>
  <w:num w:numId="5" w16cid:durableId="1596010315">
    <w:abstractNumId w:val="13"/>
  </w:num>
  <w:num w:numId="6" w16cid:durableId="688069605">
    <w:abstractNumId w:val="14"/>
  </w:num>
  <w:num w:numId="7" w16cid:durableId="363990093">
    <w:abstractNumId w:val="10"/>
  </w:num>
  <w:num w:numId="8" w16cid:durableId="64307337">
    <w:abstractNumId w:val="2"/>
  </w:num>
  <w:num w:numId="9" w16cid:durableId="428820825">
    <w:abstractNumId w:val="3"/>
  </w:num>
  <w:num w:numId="10" w16cid:durableId="749353243">
    <w:abstractNumId w:val="1"/>
  </w:num>
  <w:num w:numId="11" w16cid:durableId="194192698">
    <w:abstractNumId w:val="0"/>
  </w:num>
  <w:num w:numId="12" w16cid:durableId="1691640981">
    <w:abstractNumId w:val="9"/>
  </w:num>
  <w:num w:numId="13" w16cid:durableId="1226524069">
    <w:abstractNumId w:val="4"/>
  </w:num>
  <w:num w:numId="14" w16cid:durableId="1130128674">
    <w:abstractNumId w:val="7"/>
  </w:num>
  <w:num w:numId="15" w16cid:durableId="1442801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B5"/>
    <w:rsid w:val="00000E95"/>
    <w:rsid w:val="00011385"/>
    <w:rsid w:val="00016CB0"/>
    <w:rsid w:val="00021E96"/>
    <w:rsid w:val="00033BB6"/>
    <w:rsid w:val="00033E58"/>
    <w:rsid w:val="00041298"/>
    <w:rsid w:val="000412C4"/>
    <w:rsid w:val="00042DF0"/>
    <w:rsid w:val="00051710"/>
    <w:rsid w:val="00056A08"/>
    <w:rsid w:val="00057B6C"/>
    <w:rsid w:val="00070FDB"/>
    <w:rsid w:val="00071F80"/>
    <w:rsid w:val="0008434C"/>
    <w:rsid w:val="0008619A"/>
    <w:rsid w:val="000961CD"/>
    <w:rsid w:val="000B42C5"/>
    <w:rsid w:val="000B7399"/>
    <w:rsid w:val="000C15AB"/>
    <w:rsid w:val="000C3731"/>
    <w:rsid w:val="000E1894"/>
    <w:rsid w:val="000F2314"/>
    <w:rsid w:val="000F6A40"/>
    <w:rsid w:val="001026C4"/>
    <w:rsid w:val="00106D8D"/>
    <w:rsid w:val="00111007"/>
    <w:rsid w:val="00120778"/>
    <w:rsid w:val="0013001D"/>
    <w:rsid w:val="0013484D"/>
    <w:rsid w:val="00141DA3"/>
    <w:rsid w:val="00141FD2"/>
    <w:rsid w:val="001428DB"/>
    <w:rsid w:val="0014540C"/>
    <w:rsid w:val="00145A8E"/>
    <w:rsid w:val="00150130"/>
    <w:rsid w:val="001629C3"/>
    <w:rsid w:val="00173B22"/>
    <w:rsid w:val="00187477"/>
    <w:rsid w:val="00190115"/>
    <w:rsid w:val="00193247"/>
    <w:rsid w:val="001A5EA1"/>
    <w:rsid w:val="001B2795"/>
    <w:rsid w:val="001B37AE"/>
    <w:rsid w:val="001B39B6"/>
    <w:rsid w:val="001B604A"/>
    <w:rsid w:val="001B67D0"/>
    <w:rsid w:val="001C74C7"/>
    <w:rsid w:val="001D34F3"/>
    <w:rsid w:val="001D495D"/>
    <w:rsid w:val="001E0655"/>
    <w:rsid w:val="001E13E7"/>
    <w:rsid w:val="001E605F"/>
    <w:rsid w:val="00200DE1"/>
    <w:rsid w:val="00212DFC"/>
    <w:rsid w:val="0021752F"/>
    <w:rsid w:val="002269FA"/>
    <w:rsid w:val="0023178A"/>
    <w:rsid w:val="00234E09"/>
    <w:rsid w:val="00236373"/>
    <w:rsid w:val="002432E0"/>
    <w:rsid w:val="0024411C"/>
    <w:rsid w:val="0025006E"/>
    <w:rsid w:val="002513AE"/>
    <w:rsid w:val="00252885"/>
    <w:rsid w:val="00290099"/>
    <w:rsid w:val="002A438E"/>
    <w:rsid w:val="002A759F"/>
    <w:rsid w:val="002B1398"/>
    <w:rsid w:val="002D15D4"/>
    <w:rsid w:val="002D204A"/>
    <w:rsid w:val="002D237B"/>
    <w:rsid w:val="002E0ED2"/>
    <w:rsid w:val="002F3B63"/>
    <w:rsid w:val="002F477D"/>
    <w:rsid w:val="00310F9F"/>
    <w:rsid w:val="00314EE2"/>
    <w:rsid w:val="00316E08"/>
    <w:rsid w:val="0032486A"/>
    <w:rsid w:val="00332C7E"/>
    <w:rsid w:val="0034354B"/>
    <w:rsid w:val="003505EA"/>
    <w:rsid w:val="0035609E"/>
    <w:rsid w:val="003609FF"/>
    <w:rsid w:val="003679D0"/>
    <w:rsid w:val="00380476"/>
    <w:rsid w:val="00390CF6"/>
    <w:rsid w:val="00393985"/>
    <w:rsid w:val="003B0E01"/>
    <w:rsid w:val="003B18E3"/>
    <w:rsid w:val="003B69F2"/>
    <w:rsid w:val="003B7047"/>
    <w:rsid w:val="003B7CBA"/>
    <w:rsid w:val="003C708D"/>
    <w:rsid w:val="003E1E59"/>
    <w:rsid w:val="003E607F"/>
    <w:rsid w:val="003E74F5"/>
    <w:rsid w:val="003F0FB8"/>
    <w:rsid w:val="003F4C67"/>
    <w:rsid w:val="00400BB2"/>
    <w:rsid w:val="00405B2F"/>
    <w:rsid w:val="0040661B"/>
    <w:rsid w:val="0042052E"/>
    <w:rsid w:val="00424B76"/>
    <w:rsid w:val="00431F9F"/>
    <w:rsid w:val="00432528"/>
    <w:rsid w:val="0044398D"/>
    <w:rsid w:val="00446BA9"/>
    <w:rsid w:val="004629C9"/>
    <w:rsid w:val="00462DC8"/>
    <w:rsid w:val="00470346"/>
    <w:rsid w:val="00471EE6"/>
    <w:rsid w:val="00476B89"/>
    <w:rsid w:val="0048194C"/>
    <w:rsid w:val="0048387A"/>
    <w:rsid w:val="0048498F"/>
    <w:rsid w:val="00490431"/>
    <w:rsid w:val="004914AE"/>
    <w:rsid w:val="004A4F10"/>
    <w:rsid w:val="004A5DB9"/>
    <w:rsid w:val="004B2409"/>
    <w:rsid w:val="004B6524"/>
    <w:rsid w:val="004C6476"/>
    <w:rsid w:val="004D3F5F"/>
    <w:rsid w:val="004D5A38"/>
    <w:rsid w:val="004E48BD"/>
    <w:rsid w:val="00531C94"/>
    <w:rsid w:val="005623A5"/>
    <w:rsid w:val="0057002E"/>
    <w:rsid w:val="005732D4"/>
    <w:rsid w:val="0057403C"/>
    <w:rsid w:val="00577D10"/>
    <w:rsid w:val="00581E1A"/>
    <w:rsid w:val="00582E4F"/>
    <w:rsid w:val="00585869"/>
    <w:rsid w:val="00587404"/>
    <w:rsid w:val="005D799F"/>
    <w:rsid w:val="005E70D7"/>
    <w:rsid w:val="00605164"/>
    <w:rsid w:val="006220F1"/>
    <w:rsid w:val="00625BD7"/>
    <w:rsid w:val="00626B82"/>
    <w:rsid w:val="00630284"/>
    <w:rsid w:val="00630727"/>
    <w:rsid w:val="0063184C"/>
    <w:rsid w:val="00663A20"/>
    <w:rsid w:val="00663E58"/>
    <w:rsid w:val="00664D3B"/>
    <w:rsid w:val="00674CB9"/>
    <w:rsid w:val="00676883"/>
    <w:rsid w:val="00680AEC"/>
    <w:rsid w:val="00695840"/>
    <w:rsid w:val="006A7256"/>
    <w:rsid w:val="006C05E5"/>
    <w:rsid w:val="006C309E"/>
    <w:rsid w:val="006E72EE"/>
    <w:rsid w:val="006F03AE"/>
    <w:rsid w:val="006F08B5"/>
    <w:rsid w:val="00711D8D"/>
    <w:rsid w:val="00716E57"/>
    <w:rsid w:val="00732227"/>
    <w:rsid w:val="007427DF"/>
    <w:rsid w:val="00753F19"/>
    <w:rsid w:val="0076196B"/>
    <w:rsid w:val="00765A85"/>
    <w:rsid w:val="00776768"/>
    <w:rsid w:val="00794CAF"/>
    <w:rsid w:val="0079528D"/>
    <w:rsid w:val="007A03F2"/>
    <w:rsid w:val="007A1D71"/>
    <w:rsid w:val="007A2CDA"/>
    <w:rsid w:val="007B0920"/>
    <w:rsid w:val="007B0F8F"/>
    <w:rsid w:val="007B2E7C"/>
    <w:rsid w:val="007B7385"/>
    <w:rsid w:val="007B7E4F"/>
    <w:rsid w:val="007C1AF4"/>
    <w:rsid w:val="007C2729"/>
    <w:rsid w:val="007D47D2"/>
    <w:rsid w:val="007E1E42"/>
    <w:rsid w:val="007E2252"/>
    <w:rsid w:val="00816F0B"/>
    <w:rsid w:val="00836AEE"/>
    <w:rsid w:val="008438D9"/>
    <w:rsid w:val="00846592"/>
    <w:rsid w:val="008544B6"/>
    <w:rsid w:val="0086072D"/>
    <w:rsid w:val="00870401"/>
    <w:rsid w:val="00877CDA"/>
    <w:rsid w:val="0088369F"/>
    <w:rsid w:val="00885503"/>
    <w:rsid w:val="00892D27"/>
    <w:rsid w:val="00894A12"/>
    <w:rsid w:val="008A01FF"/>
    <w:rsid w:val="008A35DC"/>
    <w:rsid w:val="008C63CA"/>
    <w:rsid w:val="008D327C"/>
    <w:rsid w:val="008D6BB2"/>
    <w:rsid w:val="008D7DB0"/>
    <w:rsid w:val="008E0C64"/>
    <w:rsid w:val="008F2CE5"/>
    <w:rsid w:val="00905AF6"/>
    <w:rsid w:val="009138A9"/>
    <w:rsid w:val="0091682E"/>
    <w:rsid w:val="00926ED5"/>
    <w:rsid w:val="00944485"/>
    <w:rsid w:val="00945FB2"/>
    <w:rsid w:val="0094B235"/>
    <w:rsid w:val="0095251E"/>
    <w:rsid w:val="009648E4"/>
    <w:rsid w:val="00975399"/>
    <w:rsid w:val="00995A15"/>
    <w:rsid w:val="009962B6"/>
    <w:rsid w:val="009B2AC8"/>
    <w:rsid w:val="009B2B2E"/>
    <w:rsid w:val="009D5AFA"/>
    <w:rsid w:val="009D721B"/>
    <w:rsid w:val="009E240D"/>
    <w:rsid w:val="009E35B8"/>
    <w:rsid w:val="009E4078"/>
    <w:rsid w:val="009F28D9"/>
    <w:rsid w:val="00A02360"/>
    <w:rsid w:val="00A11455"/>
    <w:rsid w:val="00A219E7"/>
    <w:rsid w:val="00A25E1E"/>
    <w:rsid w:val="00A31212"/>
    <w:rsid w:val="00A3380C"/>
    <w:rsid w:val="00A33C00"/>
    <w:rsid w:val="00A41B5F"/>
    <w:rsid w:val="00A66509"/>
    <w:rsid w:val="00A66C91"/>
    <w:rsid w:val="00A727EC"/>
    <w:rsid w:val="00A73DD0"/>
    <w:rsid w:val="00A753F4"/>
    <w:rsid w:val="00AA2C4A"/>
    <w:rsid w:val="00AB3918"/>
    <w:rsid w:val="00AC22C2"/>
    <w:rsid w:val="00AD2412"/>
    <w:rsid w:val="00AE7625"/>
    <w:rsid w:val="00B01549"/>
    <w:rsid w:val="00B033C2"/>
    <w:rsid w:val="00B04EA3"/>
    <w:rsid w:val="00B05973"/>
    <w:rsid w:val="00B05E79"/>
    <w:rsid w:val="00B07F09"/>
    <w:rsid w:val="00B25685"/>
    <w:rsid w:val="00B331C4"/>
    <w:rsid w:val="00B36798"/>
    <w:rsid w:val="00B4065D"/>
    <w:rsid w:val="00B406DB"/>
    <w:rsid w:val="00B41819"/>
    <w:rsid w:val="00B52EF3"/>
    <w:rsid w:val="00B6669C"/>
    <w:rsid w:val="00B70F62"/>
    <w:rsid w:val="00B8188E"/>
    <w:rsid w:val="00B86345"/>
    <w:rsid w:val="00B87610"/>
    <w:rsid w:val="00B92FBB"/>
    <w:rsid w:val="00B954C2"/>
    <w:rsid w:val="00B979DB"/>
    <w:rsid w:val="00B97B36"/>
    <w:rsid w:val="00BA23EB"/>
    <w:rsid w:val="00BA2999"/>
    <w:rsid w:val="00BA448A"/>
    <w:rsid w:val="00BB136F"/>
    <w:rsid w:val="00BC1830"/>
    <w:rsid w:val="00BD1C43"/>
    <w:rsid w:val="00BD46D3"/>
    <w:rsid w:val="00BD4D6E"/>
    <w:rsid w:val="00BD6429"/>
    <w:rsid w:val="00BE08AB"/>
    <w:rsid w:val="00BE22E3"/>
    <w:rsid w:val="00BE64F5"/>
    <w:rsid w:val="00BF4AAE"/>
    <w:rsid w:val="00BF6A2A"/>
    <w:rsid w:val="00C11CEB"/>
    <w:rsid w:val="00C136CF"/>
    <w:rsid w:val="00C16221"/>
    <w:rsid w:val="00C21198"/>
    <w:rsid w:val="00C21D63"/>
    <w:rsid w:val="00C311C3"/>
    <w:rsid w:val="00C60580"/>
    <w:rsid w:val="00C664D5"/>
    <w:rsid w:val="00C7345C"/>
    <w:rsid w:val="00C820A8"/>
    <w:rsid w:val="00C951EB"/>
    <w:rsid w:val="00CA41C4"/>
    <w:rsid w:val="00CB534C"/>
    <w:rsid w:val="00CB7092"/>
    <w:rsid w:val="00CC123F"/>
    <w:rsid w:val="00CD50EA"/>
    <w:rsid w:val="00CE4083"/>
    <w:rsid w:val="00CE6DD5"/>
    <w:rsid w:val="00CF2185"/>
    <w:rsid w:val="00CF26D2"/>
    <w:rsid w:val="00CF3911"/>
    <w:rsid w:val="00CF417A"/>
    <w:rsid w:val="00CF5545"/>
    <w:rsid w:val="00CF6168"/>
    <w:rsid w:val="00D02C33"/>
    <w:rsid w:val="00D0379F"/>
    <w:rsid w:val="00D12E19"/>
    <w:rsid w:val="00D16902"/>
    <w:rsid w:val="00D26590"/>
    <w:rsid w:val="00D30802"/>
    <w:rsid w:val="00D32036"/>
    <w:rsid w:val="00D36CF5"/>
    <w:rsid w:val="00D419FB"/>
    <w:rsid w:val="00D516CA"/>
    <w:rsid w:val="00D52932"/>
    <w:rsid w:val="00D811EE"/>
    <w:rsid w:val="00D87B69"/>
    <w:rsid w:val="00DA18E0"/>
    <w:rsid w:val="00DA3237"/>
    <w:rsid w:val="00DA5407"/>
    <w:rsid w:val="00DA7D27"/>
    <w:rsid w:val="00DD0001"/>
    <w:rsid w:val="00DF438A"/>
    <w:rsid w:val="00DF7A50"/>
    <w:rsid w:val="00E00532"/>
    <w:rsid w:val="00E01BB7"/>
    <w:rsid w:val="00E16CF7"/>
    <w:rsid w:val="00E22CB6"/>
    <w:rsid w:val="00E334AF"/>
    <w:rsid w:val="00E354A8"/>
    <w:rsid w:val="00E35D53"/>
    <w:rsid w:val="00E37E77"/>
    <w:rsid w:val="00E554BC"/>
    <w:rsid w:val="00E841DF"/>
    <w:rsid w:val="00E87052"/>
    <w:rsid w:val="00E877B5"/>
    <w:rsid w:val="00E96633"/>
    <w:rsid w:val="00EB0933"/>
    <w:rsid w:val="00EB6A75"/>
    <w:rsid w:val="00ED1151"/>
    <w:rsid w:val="00ED6624"/>
    <w:rsid w:val="00EF41DF"/>
    <w:rsid w:val="00EF7435"/>
    <w:rsid w:val="00F02038"/>
    <w:rsid w:val="00F047DD"/>
    <w:rsid w:val="00F15BEC"/>
    <w:rsid w:val="00F33286"/>
    <w:rsid w:val="00F36F2B"/>
    <w:rsid w:val="00F3A75A"/>
    <w:rsid w:val="00F4331C"/>
    <w:rsid w:val="00F47B54"/>
    <w:rsid w:val="00F47FB3"/>
    <w:rsid w:val="00F5016B"/>
    <w:rsid w:val="00F6655E"/>
    <w:rsid w:val="00F91B16"/>
    <w:rsid w:val="00F953CB"/>
    <w:rsid w:val="00F968A9"/>
    <w:rsid w:val="00FA20C5"/>
    <w:rsid w:val="00FA5570"/>
    <w:rsid w:val="00FA7DE9"/>
    <w:rsid w:val="00FB0CAE"/>
    <w:rsid w:val="00FB650A"/>
    <w:rsid w:val="00FB7ED9"/>
    <w:rsid w:val="00FD0C95"/>
    <w:rsid w:val="00FD7640"/>
    <w:rsid w:val="00FE61E3"/>
    <w:rsid w:val="00FF3A3F"/>
    <w:rsid w:val="00FF6869"/>
    <w:rsid w:val="011122BF"/>
    <w:rsid w:val="015199D5"/>
    <w:rsid w:val="02B17688"/>
    <w:rsid w:val="03C5B143"/>
    <w:rsid w:val="03F5C502"/>
    <w:rsid w:val="046D84BF"/>
    <w:rsid w:val="07B30D3C"/>
    <w:rsid w:val="07CE791E"/>
    <w:rsid w:val="0C1D02BD"/>
    <w:rsid w:val="0C642125"/>
    <w:rsid w:val="0D323425"/>
    <w:rsid w:val="0E5FC05E"/>
    <w:rsid w:val="0F6B3649"/>
    <w:rsid w:val="116AAFC9"/>
    <w:rsid w:val="11D06A44"/>
    <w:rsid w:val="1334CAA9"/>
    <w:rsid w:val="1582619D"/>
    <w:rsid w:val="16F41B8D"/>
    <w:rsid w:val="17454D09"/>
    <w:rsid w:val="187F1CE0"/>
    <w:rsid w:val="1BBA7903"/>
    <w:rsid w:val="1BCA16A1"/>
    <w:rsid w:val="1D3B3109"/>
    <w:rsid w:val="1E33B739"/>
    <w:rsid w:val="1E4AB403"/>
    <w:rsid w:val="1E84DCCC"/>
    <w:rsid w:val="1EB7BDF0"/>
    <w:rsid w:val="20DCAAA4"/>
    <w:rsid w:val="20EE90DF"/>
    <w:rsid w:val="22950CF7"/>
    <w:rsid w:val="23053583"/>
    <w:rsid w:val="235F9D89"/>
    <w:rsid w:val="23FE4055"/>
    <w:rsid w:val="246D04D4"/>
    <w:rsid w:val="261F00C2"/>
    <w:rsid w:val="281333F4"/>
    <w:rsid w:val="28C15317"/>
    <w:rsid w:val="2A61BFCB"/>
    <w:rsid w:val="2B1E9637"/>
    <w:rsid w:val="2BB8DB1C"/>
    <w:rsid w:val="3015BFD2"/>
    <w:rsid w:val="30FB6C3F"/>
    <w:rsid w:val="31E2BF3E"/>
    <w:rsid w:val="32C19952"/>
    <w:rsid w:val="3427FA09"/>
    <w:rsid w:val="347D0FB0"/>
    <w:rsid w:val="3492FAC1"/>
    <w:rsid w:val="3569A7EA"/>
    <w:rsid w:val="3713AAEB"/>
    <w:rsid w:val="394E94E4"/>
    <w:rsid w:val="39C16F6D"/>
    <w:rsid w:val="3B4B446B"/>
    <w:rsid w:val="3BA0D35A"/>
    <w:rsid w:val="3C441FEC"/>
    <w:rsid w:val="3DC2BE4F"/>
    <w:rsid w:val="40F1BDFF"/>
    <w:rsid w:val="41C6E388"/>
    <w:rsid w:val="42862184"/>
    <w:rsid w:val="45DA8226"/>
    <w:rsid w:val="483C2EC7"/>
    <w:rsid w:val="4E615570"/>
    <w:rsid w:val="517F8C74"/>
    <w:rsid w:val="51BC5F74"/>
    <w:rsid w:val="55D542C3"/>
    <w:rsid w:val="5922BE5D"/>
    <w:rsid w:val="5A275324"/>
    <w:rsid w:val="5C0F1002"/>
    <w:rsid w:val="5D3928E2"/>
    <w:rsid w:val="5F6B62A3"/>
    <w:rsid w:val="5FE9789F"/>
    <w:rsid w:val="6256E83B"/>
    <w:rsid w:val="6C4A1C45"/>
    <w:rsid w:val="6C9D66BF"/>
    <w:rsid w:val="711DA45E"/>
    <w:rsid w:val="72B63BEF"/>
    <w:rsid w:val="7374D049"/>
    <w:rsid w:val="73BDEDC7"/>
    <w:rsid w:val="782CB658"/>
    <w:rsid w:val="78CD63F7"/>
    <w:rsid w:val="78F10ACE"/>
    <w:rsid w:val="7924F238"/>
    <w:rsid w:val="793ED1CF"/>
    <w:rsid w:val="7B5418BF"/>
    <w:rsid w:val="7B8AED4B"/>
    <w:rsid w:val="7BA22698"/>
    <w:rsid w:val="7C282EF4"/>
    <w:rsid w:val="7C4EF30D"/>
    <w:rsid w:val="7DE90C5D"/>
    <w:rsid w:val="7E51D945"/>
    <w:rsid w:val="7E5ADC56"/>
    <w:rsid w:val="7E8E51D1"/>
    <w:rsid w:val="7EB85155"/>
    <w:rsid w:val="7F025A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30BC"/>
  <w15:chartTrackingRefBased/>
  <w15:docId w15:val="{B4399D9F-FB92-45AB-BDD5-239EC198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7B5"/>
  </w:style>
  <w:style w:type="paragraph" w:styleId="Heading1">
    <w:name w:val="heading 1"/>
    <w:basedOn w:val="Normal"/>
    <w:next w:val="Normal"/>
    <w:link w:val="Heading1Char"/>
    <w:uiPriority w:val="9"/>
    <w:qFormat/>
    <w:rsid w:val="00E87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7B5"/>
    <w:rPr>
      <w:rFonts w:eastAsiaTheme="majorEastAsia" w:cstheme="majorBidi"/>
      <w:color w:val="272727" w:themeColor="text1" w:themeTint="D8"/>
    </w:rPr>
  </w:style>
  <w:style w:type="paragraph" w:styleId="Title">
    <w:name w:val="Title"/>
    <w:basedOn w:val="Normal"/>
    <w:next w:val="Normal"/>
    <w:link w:val="TitleChar"/>
    <w:uiPriority w:val="10"/>
    <w:qFormat/>
    <w:rsid w:val="00E87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7B5"/>
    <w:pPr>
      <w:spacing w:before="160"/>
      <w:jc w:val="center"/>
    </w:pPr>
    <w:rPr>
      <w:i/>
      <w:iCs/>
      <w:color w:val="404040" w:themeColor="text1" w:themeTint="BF"/>
    </w:rPr>
  </w:style>
  <w:style w:type="character" w:customStyle="1" w:styleId="QuoteChar">
    <w:name w:val="Quote Char"/>
    <w:basedOn w:val="DefaultParagraphFont"/>
    <w:link w:val="Quote"/>
    <w:uiPriority w:val="29"/>
    <w:rsid w:val="00E877B5"/>
    <w:rPr>
      <w:i/>
      <w:iCs/>
      <w:color w:val="404040" w:themeColor="text1" w:themeTint="BF"/>
    </w:rPr>
  </w:style>
  <w:style w:type="paragraph" w:styleId="ListParagraph">
    <w:name w:val="List Paragraph"/>
    <w:basedOn w:val="Normal"/>
    <w:uiPriority w:val="34"/>
    <w:qFormat/>
    <w:rsid w:val="00E877B5"/>
    <w:pPr>
      <w:ind w:left="720"/>
      <w:contextualSpacing/>
    </w:pPr>
  </w:style>
  <w:style w:type="character" w:styleId="IntenseEmphasis">
    <w:name w:val="Intense Emphasis"/>
    <w:basedOn w:val="DefaultParagraphFont"/>
    <w:uiPriority w:val="21"/>
    <w:qFormat/>
    <w:rsid w:val="00E877B5"/>
    <w:rPr>
      <w:i/>
      <w:iCs/>
      <w:color w:val="0F4761" w:themeColor="accent1" w:themeShade="BF"/>
    </w:rPr>
  </w:style>
  <w:style w:type="paragraph" w:styleId="IntenseQuote">
    <w:name w:val="Intense Quote"/>
    <w:basedOn w:val="Normal"/>
    <w:next w:val="Normal"/>
    <w:link w:val="IntenseQuoteChar"/>
    <w:uiPriority w:val="30"/>
    <w:qFormat/>
    <w:rsid w:val="00E87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7B5"/>
    <w:rPr>
      <w:i/>
      <w:iCs/>
      <w:color w:val="0F4761" w:themeColor="accent1" w:themeShade="BF"/>
    </w:rPr>
  </w:style>
  <w:style w:type="character" w:styleId="IntenseReference">
    <w:name w:val="Intense Reference"/>
    <w:basedOn w:val="DefaultParagraphFont"/>
    <w:uiPriority w:val="32"/>
    <w:qFormat/>
    <w:rsid w:val="00E877B5"/>
    <w:rPr>
      <w:b/>
      <w:bCs/>
      <w:smallCaps/>
      <w:color w:val="0F4761" w:themeColor="accent1" w:themeShade="BF"/>
      <w:spacing w:val="5"/>
    </w:rPr>
  </w:style>
  <w:style w:type="character" w:styleId="Hyperlink">
    <w:name w:val="Hyperlink"/>
    <w:basedOn w:val="DefaultParagraphFont"/>
    <w:uiPriority w:val="99"/>
    <w:unhideWhenUsed/>
    <w:rsid w:val="00E877B5"/>
    <w:rPr>
      <w:color w:val="467886" w:themeColor="hyperlink"/>
      <w:u w:val="single"/>
    </w:rPr>
  </w:style>
  <w:style w:type="paragraph" w:styleId="Header">
    <w:name w:val="header"/>
    <w:basedOn w:val="Normal"/>
    <w:link w:val="HeaderChar"/>
    <w:uiPriority w:val="99"/>
    <w:unhideWhenUsed/>
    <w:rsid w:val="00E8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7B5"/>
  </w:style>
  <w:style w:type="paragraph" w:styleId="Footer">
    <w:name w:val="footer"/>
    <w:basedOn w:val="Normal"/>
    <w:link w:val="FooterChar"/>
    <w:uiPriority w:val="99"/>
    <w:unhideWhenUsed/>
    <w:rsid w:val="00E8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7B5"/>
  </w:style>
  <w:style w:type="paragraph" w:styleId="Revision">
    <w:name w:val="Revision"/>
    <w:hidden/>
    <w:uiPriority w:val="99"/>
    <w:semiHidden/>
    <w:rsid w:val="00E01BB7"/>
    <w:pPr>
      <w:spacing w:after="0" w:line="240" w:lineRule="auto"/>
    </w:pPr>
  </w:style>
  <w:style w:type="character" w:styleId="CommentReference">
    <w:name w:val="annotation reference"/>
    <w:basedOn w:val="DefaultParagraphFont"/>
    <w:uiPriority w:val="99"/>
    <w:semiHidden/>
    <w:unhideWhenUsed/>
    <w:rsid w:val="00B05E79"/>
    <w:rPr>
      <w:sz w:val="16"/>
      <w:szCs w:val="16"/>
    </w:rPr>
  </w:style>
  <w:style w:type="paragraph" w:styleId="CommentText">
    <w:name w:val="annotation text"/>
    <w:basedOn w:val="Normal"/>
    <w:link w:val="CommentTextChar"/>
    <w:uiPriority w:val="99"/>
    <w:unhideWhenUsed/>
    <w:rsid w:val="00B05E79"/>
    <w:pPr>
      <w:spacing w:line="240" w:lineRule="auto"/>
    </w:pPr>
    <w:rPr>
      <w:sz w:val="20"/>
      <w:szCs w:val="20"/>
    </w:rPr>
  </w:style>
  <w:style w:type="character" w:customStyle="1" w:styleId="CommentTextChar">
    <w:name w:val="Comment Text Char"/>
    <w:basedOn w:val="DefaultParagraphFont"/>
    <w:link w:val="CommentText"/>
    <w:uiPriority w:val="99"/>
    <w:rsid w:val="00B05E79"/>
    <w:rPr>
      <w:sz w:val="20"/>
      <w:szCs w:val="20"/>
    </w:rPr>
  </w:style>
  <w:style w:type="paragraph" w:styleId="CommentSubject">
    <w:name w:val="annotation subject"/>
    <w:basedOn w:val="CommentText"/>
    <w:next w:val="CommentText"/>
    <w:link w:val="CommentSubjectChar"/>
    <w:uiPriority w:val="99"/>
    <w:semiHidden/>
    <w:unhideWhenUsed/>
    <w:rsid w:val="00B05E79"/>
    <w:rPr>
      <w:b/>
      <w:bCs/>
    </w:rPr>
  </w:style>
  <w:style w:type="character" w:customStyle="1" w:styleId="CommentSubjectChar">
    <w:name w:val="Comment Subject Char"/>
    <w:basedOn w:val="CommentTextChar"/>
    <w:link w:val="CommentSubject"/>
    <w:uiPriority w:val="99"/>
    <w:semiHidden/>
    <w:rsid w:val="00B05E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D0147964-3A3C-42D8-8E9A-4F14D928CA6D}"/>
</file>

<file path=customXml/itemProps2.xml><?xml version="1.0" encoding="utf-8"?>
<ds:datastoreItem xmlns:ds="http://schemas.openxmlformats.org/officeDocument/2006/customXml" ds:itemID="{15C36026-4BD2-4395-A12E-624F26518BA8}"/>
</file>

<file path=customXml/itemProps3.xml><?xml version="1.0" encoding="utf-8"?>
<ds:datastoreItem xmlns:ds="http://schemas.openxmlformats.org/officeDocument/2006/customXml" ds:itemID="{F92809F4-0C1E-47B6-81C3-94D87F772017}"/>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1268</Words>
  <Characters>7234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Additional Senate Budget Estimates (Monday 24 February 2025) Opening Statement – Australian Energy Infrastructure Commissioner</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Senate Budget Estimates (Monday 24 February 2025) Opening Statement – Australian Energy Infrastructure Commissioner</dc:title>
  <dc:subject/>
  <dc:creator>Australian Energy Infrastructure Commissioner</dc:creator>
  <cp:keywords/>
  <dc:description/>
  <cp:lastModifiedBy>Bec DURACK</cp:lastModifiedBy>
  <cp:revision>2</cp:revision>
  <cp:lastPrinted>2025-02-25T04:46:00Z</cp:lastPrinted>
  <dcterms:created xsi:type="dcterms:W3CDTF">2025-02-26T02:44:00Z</dcterms:created>
  <dcterms:modified xsi:type="dcterms:W3CDTF">2025-02-26T02:44:00Z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18e64f6f,16fa352,12561767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6147d89d,73b74964,6e6d583a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ies>
</file>